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Filed Pursuant to Rule 424(b)(2)</w:t>
      </w:r>
    </w:p>
    <w:p>
      <w:pPr>
        <w:jc w:val="right"/>
        <w:spacing w:after="0" w:line="237" w:lineRule="auto"/>
        <w:rPr>
          <w:sz w:val="20"/>
          <w:szCs w:val="20"/>
          <w:color w:val="auto"/>
        </w:rPr>
      </w:pPr>
      <w:r>
        <w:rPr>
          <w:rFonts w:ascii="Arial" w:cs="Arial" w:eastAsia="Arial" w:hAnsi="Arial"/>
          <w:sz w:val="14"/>
          <w:szCs w:val="14"/>
          <w:b w:val="1"/>
          <w:bCs w:val="1"/>
          <w:color w:val="auto"/>
        </w:rPr>
        <w:t>Registration No. 333-289203</w:t>
      </w:r>
    </w:p>
    <w:p>
      <w:pPr>
        <w:spacing w:after="0"/>
        <w:rPr>
          <w:sz w:val="20"/>
          <w:szCs w:val="20"/>
          <w:color w:val="auto"/>
        </w:rPr>
      </w:pPr>
      <w:r>
        <w:rPr>
          <w:rFonts w:ascii="Arial" w:cs="Arial" w:eastAsia="Arial" w:hAnsi="Arial"/>
          <w:sz w:val="14"/>
          <w:szCs w:val="14"/>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6132195</wp:posOffset>
            </wp:positionH>
            <wp:positionV relativeFrom="paragraph">
              <wp:posOffset>0</wp:posOffset>
            </wp:positionV>
            <wp:extent cx="1032510" cy="364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32510" cy="364490"/>
                    </a:xfrm>
                    <a:prstGeom prst="rect">
                      <a:avLst/>
                    </a:prstGeom>
                    <a:noFill/>
                  </pic:spPr>
                </pic:pic>
              </a:graphicData>
            </a:graphic>
          </wp:anchor>
        </w:drawing>
      </w:r>
    </w:p>
    <w:p>
      <w:pPr>
        <w:spacing w:after="0" w:line="384" w:lineRule="exact"/>
        <w:rPr>
          <w:sz w:val="24"/>
          <w:szCs w:val="24"/>
          <w:color w:val="auto"/>
        </w:rPr>
      </w:pPr>
    </w:p>
    <w:p>
      <w:pPr>
        <w:ind w:left="96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4"/>
          <w:szCs w:val="24"/>
          <w:color w:val="auto"/>
        </w:rPr>
      </w:pPr>
    </w:p>
    <w:p>
      <w:pPr>
        <w:ind w:left="10700"/>
        <w:spacing w:after="0"/>
        <w:rPr>
          <w:sz w:val="20"/>
          <w:szCs w:val="20"/>
          <w:color w:val="auto"/>
        </w:rPr>
      </w:pPr>
      <w:r>
        <w:rPr>
          <w:rFonts w:ascii="Arial" w:cs="Arial" w:eastAsia="Arial" w:hAnsi="Arial"/>
          <w:sz w:val="14"/>
          <w:szCs w:val="14"/>
          <w:color w:val="auto"/>
        </w:rPr>
        <w:t> </w:t>
      </w:r>
    </w:p>
    <w:p>
      <w:pPr>
        <w:spacing w:after="0" w:line="237" w:lineRule="auto"/>
        <w:rPr>
          <w:sz w:val="20"/>
          <w:szCs w:val="20"/>
          <w:color w:val="auto"/>
        </w:rPr>
      </w:pPr>
      <w:r>
        <w:rPr>
          <w:rFonts w:ascii="Arial" w:cs="Arial" w:eastAsia="Arial" w:hAnsi="Arial"/>
          <w:sz w:val="14"/>
          <w:szCs w:val="14"/>
          <w:color w:val="auto"/>
        </w:rPr>
        <w:t>Pricing Supplement dated June 18, 2026</w:t>
      </w:r>
    </w:p>
    <w:p>
      <w:pPr>
        <w:spacing w:after="0" w:line="238" w:lineRule="auto"/>
        <w:rPr>
          <w:sz w:val="20"/>
          <w:szCs w:val="20"/>
          <w:color w:val="auto"/>
        </w:rPr>
      </w:pPr>
      <w:r>
        <w:rPr>
          <w:rFonts w:ascii="Arial" w:cs="Arial" w:eastAsia="Arial" w:hAnsi="Arial"/>
          <w:sz w:val="14"/>
          <w:szCs w:val="14"/>
          <w:color w:val="auto"/>
        </w:rPr>
        <w:t>(To Equity Index Underlying Supplement dated August 4, 2025,</w:t>
      </w:r>
    </w:p>
    <w:p>
      <w:pPr>
        <w:spacing w:after="0" w:line="238" w:lineRule="auto"/>
        <w:rPr>
          <w:sz w:val="20"/>
          <w:szCs w:val="20"/>
          <w:color w:val="auto"/>
        </w:rPr>
      </w:pPr>
      <w:r>
        <w:rPr>
          <w:rFonts w:ascii="Arial" w:cs="Arial" w:eastAsia="Arial" w:hAnsi="Arial"/>
          <w:sz w:val="14"/>
          <w:szCs w:val="14"/>
          <w:color w:val="auto"/>
        </w:rPr>
        <w:t>Prospectus Supplement dated August 4, 2025, and Prospectus dated August 4, 2025)</w:t>
      </w:r>
    </w:p>
    <w:p>
      <w:pPr>
        <w:spacing w:after="0"/>
        <w:rPr>
          <w:sz w:val="20"/>
          <w:szCs w:val="20"/>
          <w:color w:val="auto"/>
        </w:rPr>
      </w:pPr>
      <w:r>
        <w:rPr>
          <w:rFonts w:ascii="Arial" w:cs="Arial" w:eastAsia="Arial" w:hAnsi="Arial"/>
          <w:sz w:val="14"/>
          <w:szCs w:val="14"/>
          <w:color w:val="auto"/>
        </w:rPr>
        <w:t> </w:t>
      </w:r>
    </w:p>
    <w:p>
      <w:pPr>
        <w:spacing w:after="0"/>
        <w:rPr>
          <w:sz w:val="20"/>
          <w:szCs w:val="20"/>
          <w:color w:val="auto"/>
        </w:rPr>
      </w:pPr>
      <w:r>
        <w:rPr>
          <w:rFonts w:ascii="Arial" w:cs="Arial" w:eastAsia="Arial" w:hAnsi="Arial"/>
          <w:sz w:val="20"/>
          <w:szCs w:val="20"/>
          <w:b w:val="1"/>
          <w:bCs w:val="1"/>
          <w:color w:val="7030A0"/>
        </w:rPr>
        <w:t>Marex Group plc</w:t>
      </w:r>
    </w:p>
    <w:p>
      <w:pPr>
        <w:spacing w:after="0" w:line="7" w:lineRule="exact"/>
        <w:rPr>
          <w:sz w:val="24"/>
          <w:szCs w:val="24"/>
          <w:color w:val="auto"/>
        </w:rPr>
      </w:pPr>
    </w:p>
    <w:p>
      <w:pPr>
        <w:spacing w:after="0"/>
        <w:rPr>
          <w:sz w:val="20"/>
          <w:szCs w:val="20"/>
          <w:color w:val="auto"/>
        </w:rPr>
      </w:pPr>
      <w:r>
        <w:rPr>
          <w:rFonts w:ascii="Arial" w:cs="Arial" w:eastAsia="Arial" w:hAnsi="Arial"/>
          <w:sz w:val="4"/>
          <w:szCs w:val="4"/>
          <w:color w:val="7030A0"/>
        </w:rPr>
        <w:t> </w:t>
      </w:r>
    </w:p>
    <w:p>
      <w:pPr>
        <w:spacing w:after="0" w:line="3" w:lineRule="exact"/>
        <w:rPr>
          <w:sz w:val="24"/>
          <w:szCs w:val="24"/>
          <w:color w:val="auto"/>
        </w:rPr>
      </w:pPr>
    </w:p>
    <w:p>
      <w:pPr>
        <w:ind w:right="100"/>
        <w:spacing w:after="0" w:line="197" w:lineRule="auto"/>
        <w:rPr>
          <w:sz w:val="20"/>
          <w:szCs w:val="20"/>
          <w:color w:val="auto"/>
        </w:rPr>
      </w:pPr>
      <w:r>
        <w:rPr>
          <w:rFonts w:ascii="Arial" w:cs="Arial" w:eastAsia="Arial" w:hAnsi="Arial"/>
          <w:sz w:val="14"/>
          <w:szCs w:val="14"/>
          <w:b w:val="1"/>
          <w:bCs w:val="1"/>
          <w:color w:val="7030A0"/>
        </w:rPr>
        <w:t>$1,077,000 Issuer Callable Fixed Interest Barrier Notes Linked to the Worst Performing of the S&amp;P 500</w:t>
      </w:r>
      <w:r>
        <w:rPr>
          <w:rFonts w:ascii="Arial" w:cs="Arial" w:eastAsia="Arial" w:hAnsi="Arial"/>
          <w:sz w:val="23"/>
          <w:szCs w:val="23"/>
          <w:b w:val="1"/>
          <w:bCs w:val="1"/>
          <w:color w:val="7030A0"/>
          <w:vertAlign w:val="superscript"/>
        </w:rPr>
        <w:t>®</w:t>
      </w:r>
      <w:r>
        <w:rPr>
          <w:rFonts w:ascii="Arial" w:cs="Arial" w:eastAsia="Arial" w:hAnsi="Arial"/>
          <w:sz w:val="14"/>
          <w:szCs w:val="14"/>
          <w:b w:val="1"/>
          <w:bCs w:val="1"/>
          <w:color w:val="7030A0"/>
        </w:rPr>
        <w:t xml:space="preserve"> Index, the Russell 2000</w:t>
      </w:r>
      <w:r>
        <w:rPr>
          <w:rFonts w:ascii="Arial" w:cs="Arial" w:eastAsia="Arial" w:hAnsi="Arial"/>
          <w:sz w:val="23"/>
          <w:szCs w:val="23"/>
          <w:b w:val="1"/>
          <w:bCs w:val="1"/>
          <w:color w:val="7030A0"/>
          <w:vertAlign w:val="superscript"/>
        </w:rPr>
        <w:t>®</w:t>
      </w:r>
      <w:r>
        <w:rPr>
          <w:rFonts w:ascii="Arial" w:cs="Arial" w:eastAsia="Arial" w:hAnsi="Arial"/>
          <w:sz w:val="14"/>
          <w:szCs w:val="14"/>
          <w:b w:val="1"/>
          <w:bCs w:val="1"/>
          <w:color w:val="7030A0"/>
        </w:rPr>
        <w:t xml:space="preserve"> Index and the Nasdaq-100 Index</w:t>
      </w:r>
      <w:r>
        <w:rPr>
          <w:rFonts w:ascii="Arial" w:cs="Arial" w:eastAsia="Arial" w:hAnsi="Arial"/>
          <w:sz w:val="23"/>
          <w:szCs w:val="23"/>
          <w:b w:val="1"/>
          <w:bCs w:val="1"/>
          <w:color w:val="7030A0"/>
          <w:vertAlign w:val="superscript"/>
        </w:rPr>
        <w:t>®</w:t>
      </w:r>
      <w:r>
        <w:rPr>
          <w:rFonts w:ascii="Arial" w:cs="Arial" w:eastAsia="Arial" w:hAnsi="Arial"/>
          <w:sz w:val="14"/>
          <w:szCs w:val="14"/>
          <w:b w:val="1"/>
          <w:bCs w:val="1"/>
          <w:color w:val="7030A0"/>
        </w:rPr>
        <w:t xml:space="preserve"> due June 29, 2027</w:t>
      </w:r>
    </w:p>
    <w:p>
      <w:pPr>
        <w:spacing w:after="0"/>
        <w:rPr>
          <w:sz w:val="20"/>
          <w:szCs w:val="20"/>
          <w:color w:val="auto"/>
        </w:rPr>
      </w:pPr>
      <w:r>
        <w:rPr>
          <w:rFonts w:ascii="Arial" w:cs="Arial" w:eastAsia="Arial" w:hAnsi="Arial"/>
          <w:sz w:val="14"/>
          <w:szCs w:val="14"/>
          <w:color w:val="7030A0"/>
        </w:rPr>
        <w:t> </w:t>
      </w:r>
    </w:p>
    <w:p>
      <w:pPr>
        <w:ind w:left="320" w:hanging="315"/>
        <w:spacing w:after="0" w:line="237" w:lineRule="auto"/>
        <w:tabs>
          <w:tab w:leader="none" w:pos="320" w:val="left"/>
        </w:tabs>
        <w:numPr>
          <w:ilvl w:val="0"/>
          <w:numId w:val="1"/>
        </w:numPr>
        <w:rPr>
          <w:rFonts w:ascii="Arial" w:cs="Arial" w:eastAsia="Arial" w:hAnsi="Arial"/>
          <w:sz w:val="14"/>
          <w:szCs w:val="14"/>
          <w:color w:val="7030A0"/>
        </w:rPr>
      </w:pPr>
      <w:r>
        <w:rPr>
          <w:rFonts w:ascii="Arial" w:cs="Arial" w:eastAsia="Arial" w:hAnsi="Arial"/>
          <w:sz w:val="14"/>
          <w:szCs w:val="14"/>
          <w:color w:val="auto"/>
        </w:rPr>
        <w:t>Quarterly fixed Interest Payments of $34.38 per $1,000 Principal Amount (or 3.438% of the Principal Amount, equivalent to 13.752% per annum) regardless of the performance</w:t>
      </w:r>
    </w:p>
    <w:p>
      <w:pPr>
        <w:spacing w:after="0" w:line="1" w:lineRule="exact"/>
        <w:rPr>
          <w:sz w:val="24"/>
          <w:szCs w:val="24"/>
          <w:color w:val="auto"/>
        </w:rPr>
      </w:pPr>
    </w:p>
    <w:p>
      <w:pPr>
        <w:ind w:left="320"/>
        <w:spacing w:after="0" w:line="197" w:lineRule="auto"/>
        <w:rPr>
          <w:sz w:val="20"/>
          <w:szCs w:val="20"/>
          <w:color w:val="auto"/>
        </w:rPr>
      </w:pPr>
      <w:r>
        <w:rPr>
          <w:rFonts w:ascii="Arial" w:cs="Arial" w:eastAsia="Arial" w:hAnsi="Arial"/>
          <w:sz w:val="14"/>
          <w:szCs w:val="14"/>
          <w:color w:val="auto"/>
        </w:rPr>
        <w:t>of the S&amp;P 500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Index, the Russell 2000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Index and the Nasdaq-100 Index</w:t>
      </w:r>
      <w:r>
        <w:rPr>
          <w:rFonts w:ascii="Arial" w:cs="Arial" w:eastAsia="Arial" w:hAnsi="Arial"/>
          <w:sz w:val="23"/>
          <w:szCs w:val="23"/>
          <w:color w:val="auto"/>
          <w:vertAlign w:val="superscript"/>
        </w:rPr>
        <w:t>®</w:t>
      </w:r>
      <w:r>
        <w:rPr>
          <w:rFonts w:ascii="Arial" w:cs="Arial" w:eastAsia="Arial" w:hAnsi="Arial"/>
          <w:sz w:val="14"/>
          <w:szCs w:val="14"/>
          <w:color w:val="auto"/>
        </w:rPr>
        <w:t xml:space="preserve"> (each, an “Underlying” and together the “Underlyings”) until the earlier of maturity or early redemption</w:t>
      </w:r>
    </w:p>
    <w:p>
      <w:pPr>
        <w:spacing w:after="0"/>
        <w:rPr>
          <w:sz w:val="20"/>
          <w:szCs w:val="20"/>
          <w:color w:val="auto"/>
        </w:rPr>
      </w:pPr>
      <w:r>
        <w:rPr>
          <w:rFonts w:ascii="Arial" w:cs="Arial" w:eastAsia="Arial" w:hAnsi="Arial"/>
          <w:sz w:val="14"/>
          <w:szCs w:val="14"/>
          <w:color w:val="auto"/>
        </w:rPr>
        <w:t> </w:t>
      </w:r>
    </w:p>
    <w:p>
      <w:pPr>
        <w:ind w:left="320" w:hanging="315"/>
        <w:spacing w:after="0" w:line="237" w:lineRule="auto"/>
        <w:tabs>
          <w:tab w:leader="none" w:pos="320" w:val="left"/>
        </w:tabs>
        <w:numPr>
          <w:ilvl w:val="0"/>
          <w:numId w:val="2"/>
        </w:numPr>
        <w:rPr>
          <w:rFonts w:ascii="Arial" w:cs="Arial" w:eastAsia="Arial" w:hAnsi="Arial"/>
          <w:sz w:val="14"/>
          <w:szCs w:val="14"/>
          <w:color w:val="7030A0"/>
        </w:rPr>
      </w:pPr>
      <w:r>
        <w:rPr>
          <w:rFonts w:ascii="Arial" w:cs="Arial" w:eastAsia="Arial" w:hAnsi="Arial"/>
          <w:sz w:val="14"/>
          <w:szCs w:val="14"/>
          <w:color w:val="auto"/>
        </w:rPr>
        <w:t>Redeemable at the Issuer’s option on the quarterly Call Payment Dates beginning on September 22, 2026 at the Principal Amount plus the applicable Interest Payment.</w:t>
      </w:r>
    </w:p>
    <w:p>
      <w:pPr>
        <w:spacing w:after="0" w:line="237" w:lineRule="auto"/>
        <w:rPr>
          <w:rFonts w:ascii="Arial" w:cs="Arial" w:eastAsia="Arial" w:hAnsi="Arial"/>
          <w:sz w:val="14"/>
          <w:szCs w:val="14"/>
          <w:color w:val="7030A0"/>
        </w:rPr>
      </w:pPr>
      <w:r>
        <w:rPr>
          <w:rFonts w:ascii="Arial" w:cs="Arial" w:eastAsia="Arial" w:hAnsi="Arial"/>
          <w:sz w:val="14"/>
          <w:szCs w:val="14"/>
          <w:color w:val="auto"/>
        </w:rPr>
        <w:t> </w:t>
      </w:r>
    </w:p>
    <w:p>
      <w:pPr>
        <w:ind w:left="320" w:hanging="315"/>
        <w:spacing w:after="0" w:line="237" w:lineRule="auto"/>
        <w:tabs>
          <w:tab w:leader="none" w:pos="320" w:val="left"/>
        </w:tabs>
        <w:numPr>
          <w:ilvl w:val="0"/>
          <w:numId w:val="2"/>
        </w:numPr>
        <w:rPr>
          <w:rFonts w:ascii="Arial" w:cs="Arial" w:eastAsia="Arial" w:hAnsi="Arial"/>
          <w:sz w:val="14"/>
          <w:szCs w:val="14"/>
          <w:color w:val="7030A0"/>
        </w:rPr>
      </w:pPr>
      <w:r>
        <w:rPr>
          <w:rFonts w:ascii="Arial" w:cs="Arial" w:eastAsia="Arial" w:hAnsi="Arial"/>
          <w:sz w:val="14"/>
          <w:szCs w:val="14"/>
          <w:color w:val="auto"/>
        </w:rPr>
        <w:t>If the Notes are not redeemed early, at maturity:</w:t>
      </w:r>
    </w:p>
    <w:p>
      <w:pPr>
        <w:spacing w:after="0" w:line="238" w:lineRule="auto"/>
        <w:rPr>
          <w:sz w:val="20"/>
          <w:szCs w:val="20"/>
          <w:color w:val="auto"/>
        </w:rPr>
      </w:pPr>
      <w:r>
        <w:rPr>
          <w:rFonts w:ascii="Arial" w:cs="Arial" w:eastAsia="Arial" w:hAnsi="Arial"/>
          <w:sz w:val="14"/>
          <w:szCs w:val="14"/>
          <w:color w:val="auto"/>
        </w:rPr>
        <w:t> </w:t>
      </w:r>
    </w:p>
    <w:p>
      <w:pPr>
        <w:ind w:left="860" w:hanging="249"/>
        <w:spacing w:after="0" w:line="238" w:lineRule="auto"/>
        <w:tabs>
          <w:tab w:leader="none" w:pos="8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Return of the Principal Amount if a Trigger Event does not occur or the Final Value of the Worst Performing Underlying is at or above its Initial Value</w:t>
      </w:r>
    </w:p>
    <w:p>
      <w:pPr>
        <w:spacing w:after="0" w:line="237" w:lineRule="auto"/>
        <w:rPr>
          <w:sz w:val="20"/>
          <w:szCs w:val="20"/>
          <w:color w:val="auto"/>
        </w:rPr>
      </w:pPr>
      <w:r>
        <w:rPr>
          <w:rFonts w:ascii="Arial" w:cs="Arial" w:eastAsia="Arial" w:hAnsi="Arial"/>
          <w:sz w:val="14"/>
          <w:szCs w:val="14"/>
          <w:color w:val="auto"/>
        </w:rPr>
        <w:t> </w:t>
      </w:r>
    </w:p>
    <w:p>
      <w:pPr>
        <w:spacing w:after="0" w:line="1" w:lineRule="exact"/>
        <w:rPr>
          <w:sz w:val="24"/>
          <w:szCs w:val="24"/>
          <w:color w:val="auto"/>
        </w:rPr>
      </w:pPr>
    </w:p>
    <w:p>
      <w:pPr>
        <w:ind w:left="860" w:hanging="249"/>
        <w:spacing w:after="0" w:line="237" w:lineRule="auto"/>
        <w:tabs>
          <w:tab w:leader="none" w:pos="8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a Trigger Event occurs and the Worst Performing Underlying decreases from its Initial Value to its Final Value, full exposure to such decrease, and you will lose all or a portion of your Principal Amount.</w:t>
      </w:r>
    </w:p>
    <w:p>
      <w:pPr>
        <w:spacing w:after="0"/>
        <w:rPr>
          <w:sz w:val="20"/>
          <w:szCs w:val="20"/>
          <w:color w:val="auto"/>
        </w:rPr>
      </w:pPr>
      <w:r>
        <w:rPr>
          <w:rFonts w:ascii="Arial" w:cs="Arial" w:eastAsia="Arial" w:hAnsi="Arial"/>
          <w:sz w:val="14"/>
          <w:szCs w:val="14"/>
          <w:color w:val="auto"/>
        </w:rPr>
        <w:t> </w:t>
      </w:r>
    </w:p>
    <w:p>
      <w:pPr>
        <w:ind w:left="320" w:hanging="315"/>
        <w:spacing w:after="0" w:line="237" w:lineRule="auto"/>
        <w:tabs>
          <w:tab w:leader="none" w:pos="320" w:val="left"/>
        </w:tabs>
        <w:numPr>
          <w:ilvl w:val="0"/>
          <w:numId w:val="5"/>
        </w:numPr>
        <w:rPr>
          <w:rFonts w:ascii="Arial" w:cs="Arial" w:eastAsia="Arial" w:hAnsi="Arial"/>
          <w:sz w:val="14"/>
          <w:szCs w:val="14"/>
          <w:color w:val="7030A0"/>
        </w:rPr>
      </w:pPr>
      <w:r>
        <w:rPr>
          <w:rFonts w:ascii="Arial" w:cs="Arial" w:eastAsia="Arial" w:hAnsi="Arial"/>
          <w:sz w:val="14"/>
          <w:szCs w:val="14"/>
          <w:color w:val="auto"/>
        </w:rPr>
        <w:t>A Trigger Event occurs if the Closing Level of any Underlying is at or below its Barrier Value (70.00% of its Initial Value) on any Trading Day during the Observation Period</w:t>
      </w:r>
    </w:p>
    <w:p>
      <w:pPr>
        <w:spacing w:after="0" w:line="237" w:lineRule="auto"/>
        <w:rPr>
          <w:rFonts w:ascii="Arial" w:cs="Arial" w:eastAsia="Arial" w:hAnsi="Arial"/>
          <w:sz w:val="14"/>
          <w:szCs w:val="14"/>
          <w:color w:val="7030A0"/>
        </w:rPr>
      </w:pPr>
      <w:r>
        <w:rPr>
          <w:rFonts w:ascii="Arial" w:cs="Arial" w:eastAsia="Arial" w:hAnsi="Arial"/>
          <w:sz w:val="14"/>
          <w:szCs w:val="14"/>
          <w:color w:val="auto"/>
        </w:rPr>
        <w:t> </w:t>
      </w:r>
    </w:p>
    <w:p>
      <w:pPr>
        <w:ind w:left="320" w:hanging="315"/>
        <w:spacing w:after="0" w:line="237" w:lineRule="auto"/>
        <w:tabs>
          <w:tab w:leader="none" w:pos="320" w:val="left"/>
        </w:tabs>
        <w:numPr>
          <w:ilvl w:val="0"/>
          <w:numId w:val="5"/>
        </w:numPr>
        <w:rPr>
          <w:rFonts w:ascii="Arial" w:cs="Arial" w:eastAsia="Arial" w:hAnsi="Arial"/>
          <w:sz w:val="14"/>
          <w:szCs w:val="14"/>
          <w:color w:val="7030A0"/>
        </w:rPr>
      </w:pPr>
      <w:r>
        <w:rPr>
          <w:rFonts w:ascii="Arial" w:cs="Arial" w:eastAsia="Arial" w:hAnsi="Arial"/>
          <w:sz w:val="14"/>
          <w:szCs w:val="14"/>
          <w:color w:val="auto"/>
        </w:rPr>
        <w:t>Term: Approximately one year, if not redeemed</w:t>
      </w:r>
    </w:p>
    <w:p>
      <w:pPr>
        <w:spacing w:after="0" w:line="238" w:lineRule="auto"/>
        <w:rPr>
          <w:sz w:val="20"/>
          <w:szCs w:val="20"/>
          <w:color w:val="auto"/>
        </w:rPr>
      </w:pPr>
      <w:r>
        <w:rPr>
          <w:rFonts w:ascii="Arial" w:cs="Arial" w:eastAsia="Arial" w:hAnsi="Arial"/>
          <w:sz w:val="14"/>
          <w:szCs w:val="14"/>
          <w:color w:val="auto"/>
        </w:rPr>
        <w:t> </w:t>
      </w:r>
    </w:p>
    <w:p>
      <w:pPr>
        <w:spacing w:after="0" w:line="238" w:lineRule="auto"/>
        <w:tabs>
          <w:tab w:leader="none" w:pos="300" w:val="left"/>
        </w:tabs>
        <w:rPr>
          <w:sz w:val="20"/>
          <w:szCs w:val="20"/>
          <w:color w:val="auto"/>
        </w:rPr>
      </w:pPr>
      <w:r>
        <w:rPr>
          <w:rFonts w:ascii="Arial" w:cs="Arial" w:eastAsia="Arial" w:hAnsi="Arial"/>
          <w:sz w:val="14"/>
          <w:szCs w:val="14"/>
          <w:color w:val="7030A0"/>
        </w:rPr>
        <w:t>►</w:t>
      </w:r>
      <w:r>
        <w:rPr>
          <w:rFonts w:ascii="Arial" w:cs="Arial" w:eastAsia="Arial" w:hAnsi="Arial"/>
          <w:sz w:val="14"/>
          <w:szCs w:val="14"/>
          <w:color w:val="auto"/>
        </w:rPr>
        <w:tab/>
        <w:t>All payments on the Notes are subject to the credit risk of Marex Group plc (“Marex”)</w:t>
      </w:r>
    </w:p>
    <w:p>
      <w:pPr>
        <w:spacing w:after="0" w:line="237" w:lineRule="auto"/>
        <w:rPr>
          <w:sz w:val="20"/>
          <w:szCs w:val="20"/>
          <w:color w:val="auto"/>
        </w:rPr>
      </w:pPr>
      <w:r>
        <w:rPr>
          <w:rFonts w:ascii="Arial" w:cs="Arial" w:eastAsia="Arial" w:hAnsi="Arial"/>
          <w:sz w:val="14"/>
          <w:szCs w:val="14"/>
          <w:color w:val="auto"/>
        </w:rPr>
        <w:t> </w:t>
      </w:r>
    </w:p>
    <w:p>
      <w:pPr>
        <w:ind w:left="20"/>
        <w:spacing w:after="0" w:line="238" w:lineRule="auto"/>
        <w:rPr>
          <w:sz w:val="20"/>
          <w:szCs w:val="20"/>
          <w:color w:val="auto"/>
        </w:rPr>
      </w:pPr>
      <w:r>
        <w:rPr>
          <w:rFonts w:ascii="Arial" w:cs="Arial" w:eastAsia="Arial" w:hAnsi="Arial"/>
          <w:sz w:val="14"/>
          <w:szCs w:val="14"/>
          <w:color w:val="auto"/>
        </w:rPr>
        <w:t>Application has been made for the Issuer Callable Fixed Interest Barrier Notes (the “Notes”) offered hereunder to be admitted to listing and trading on the Vienna Multilateral</w:t>
      </w:r>
    </w:p>
    <w:p>
      <w:pPr>
        <w:ind w:left="20"/>
        <w:spacing w:after="0" w:line="238" w:lineRule="auto"/>
        <w:rPr>
          <w:sz w:val="20"/>
          <w:szCs w:val="20"/>
          <w:color w:val="auto"/>
        </w:rPr>
      </w:pPr>
      <w:r>
        <w:rPr>
          <w:rFonts w:ascii="Arial" w:cs="Arial" w:eastAsia="Arial" w:hAnsi="Arial"/>
          <w:sz w:val="14"/>
          <w:szCs w:val="14"/>
          <w:color w:val="auto"/>
        </w:rPr>
        <w:t>Trading Facility (“Vienna MTF”) of the Vienna Stock Exchange. The Vienna MTF is not a regulated market as defined by Directive 2014/65/EU (as amended, “MiFID II”). It is,</w:t>
      </w:r>
    </w:p>
    <w:p>
      <w:pPr>
        <w:ind w:left="20"/>
        <w:spacing w:after="0" w:line="237" w:lineRule="auto"/>
        <w:rPr>
          <w:sz w:val="20"/>
          <w:szCs w:val="20"/>
          <w:color w:val="auto"/>
        </w:rPr>
      </w:pPr>
      <w:r>
        <w:rPr>
          <w:rFonts w:ascii="Arial" w:cs="Arial" w:eastAsia="Arial" w:hAnsi="Arial"/>
          <w:sz w:val="14"/>
          <w:szCs w:val="14"/>
          <w:color w:val="auto"/>
        </w:rPr>
        <w:t>however, a multilateral trading facility (MTF) for purposes of MiFID II.</w:t>
      </w:r>
    </w:p>
    <w:p>
      <w:pPr>
        <w:ind w:left="20"/>
        <w:spacing w:after="0" w:line="238" w:lineRule="auto"/>
        <w:rPr>
          <w:sz w:val="20"/>
          <w:szCs w:val="20"/>
          <w:color w:val="auto"/>
        </w:rPr>
      </w:pPr>
      <w:r>
        <w:rPr>
          <w:rFonts w:ascii="Arial" w:cs="Arial" w:eastAsia="Arial" w:hAnsi="Arial"/>
          <w:sz w:val="14"/>
          <w:szCs w:val="14"/>
          <w:color w:val="auto"/>
        </w:rPr>
        <w:t> </w:t>
      </w:r>
    </w:p>
    <w:p>
      <w:pPr>
        <w:ind w:left="20"/>
        <w:spacing w:after="0"/>
        <w:rPr>
          <w:sz w:val="20"/>
          <w:szCs w:val="20"/>
          <w:color w:val="auto"/>
        </w:rPr>
      </w:pPr>
      <w:r>
        <w:rPr>
          <w:rFonts w:ascii="Arial" w:cs="Arial" w:eastAsia="Arial" w:hAnsi="Arial"/>
          <w:sz w:val="14"/>
          <w:szCs w:val="14"/>
          <w:color w:val="auto"/>
        </w:rPr>
        <w:t>Neither the U.S. Securities and Exchange Commission (the “SEC”) nor any state securities commission has approved or disapproved of the Notes or passed upon the accuracy or the adequacy of this document or the accompanying prospectus, prospectus supplement or underlying supplement. Any representation to the contrary is a criminal offense.  </w:t>
      </w:r>
    </w:p>
    <w:p>
      <w:pPr>
        <w:spacing w:after="0" w:line="156" w:lineRule="exact"/>
        <w:rPr>
          <w:sz w:val="24"/>
          <w:szCs w:val="24"/>
          <w:color w:val="auto"/>
        </w:rPr>
      </w:pPr>
    </w:p>
    <w:p>
      <w:pPr>
        <w:ind w:left="20"/>
        <w:spacing w:after="0"/>
        <w:rPr>
          <w:sz w:val="20"/>
          <w:szCs w:val="20"/>
          <w:color w:val="auto"/>
        </w:rPr>
      </w:pPr>
      <w:r>
        <w:rPr>
          <w:rFonts w:ascii="Arial" w:cs="Arial" w:eastAsia="Arial" w:hAnsi="Arial"/>
          <w:sz w:val="14"/>
          <w:szCs w:val="14"/>
          <w:color w:val="auto"/>
        </w:rPr>
        <w:t>Any offering of the Notes will be made pursuant to Article 1(4) of Regulation (EU) 2017/1129 (as amended), including as it forms part of domestic law of the United Kingdom. Accordingly, no prospectus is required to be published in connection with such offering of the Notes in any member state of the European Economic Area (the "EEA") or the United Kingdom (the "UK"). See page ii of the accompanying prospectus supplement for further restrictions on offers and sales of the Notes in the EEA and the UK.  </w:t>
      </w:r>
    </w:p>
    <w:p>
      <w:pPr>
        <w:spacing w:after="0" w:line="155" w:lineRule="exact"/>
        <w:rPr>
          <w:sz w:val="24"/>
          <w:szCs w:val="24"/>
          <w:color w:val="auto"/>
        </w:rPr>
      </w:pPr>
    </w:p>
    <w:p>
      <w:pPr>
        <w:jc w:val="both"/>
        <w:ind w:left="20"/>
        <w:spacing w:after="0" w:line="237" w:lineRule="auto"/>
        <w:rPr>
          <w:sz w:val="20"/>
          <w:szCs w:val="20"/>
          <w:color w:val="auto"/>
        </w:rPr>
      </w:pPr>
      <w:r>
        <w:rPr>
          <w:rFonts w:ascii="Arial" w:cs="Arial" w:eastAsia="Arial" w:hAnsi="Arial"/>
          <w:sz w:val="14"/>
          <w:szCs w:val="14"/>
          <w:b w:val="1"/>
          <w:bCs w:val="1"/>
          <w:color w:val="auto"/>
        </w:rPr>
        <w:t>Investment in the Notes involves certain risks. You should refer to “Risk Factors” beginning on page PS-7 of this document, page S-1 of the accompanying prospectus supplement and page S-1 of the accompanying underlying supplement.</w:t>
      </w:r>
    </w:p>
    <w:p>
      <w:pPr>
        <w:ind w:left="20"/>
        <w:spacing w:after="0"/>
        <w:rPr>
          <w:sz w:val="20"/>
          <w:szCs w:val="20"/>
          <w:color w:val="auto"/>
        </w:rPr>
      </w:pPr>
      <w:r>
        <w:rPr>
          <w:rFonts w:ascii="Arial" w:cs="Arial" w:eastAsia="Arial" w:hAnsi="Arial"/>
          <w:sz w:val="14"/>
          <w:szCs w:val="14"/>
          <w:color w:val="auto"/>
        </w:rPr>
        <w:t> </w:t>
      </w:r>
    </w:p>
    <w:p>
      <w:pPr>
        <w:ind w:left="20"/>
        <w:spacing w:after="0" w:line="237" w:lineRule="auto"/>
        <w:rPr>
          <w:sz w:val="20"/>
          <w:szCs w:val="20"/>
          <w:color w:val="auto"/>
        </w:rPr>
      </w:pPr>
      <w:r>
        <w:rPr>
          <w:rFonts w:ascii="Arial" w:cs="Arial" w:eastAsia="Arial" w:hAnsi="Arial"/>
          <w:sz w:val="14"/>
          <w:szCs w:val="14"/>
          <w:color w:val="auto"/>
        </w:rPr>
        <w:t>The Estimated Initial Value of the Notes on the Trade Date is $993.60 per Note, which is less than the price to public. The market value of the Notes at any time will reflect many</w:t>
      </w:r>
    </w:p>
    <w:p>
      <w:pPr>
        <w:ind w:left="20"/>
        <w:spacing w:after="0" w:line="238" w:lineRule="auto"/>
        <w:rPr>
          <w:sz w:val="20"/>
          <w:szCs w:val="20"/>
          <w:color w:val="auto"/>
        </w:rPr>
      </w:pPr>
      <w:r>
        <w:rPr>
          <w:rFonts w:ascii="Arial" w:cs="Arial" w:eastAsia="Arial" w:hAnsi="Arial"/>
          <w:sz w:val="14"/>
          <w:szCs w:val="14"/>
          <w:color w:val="auto"/>
        </w:rPr>
        <w:t>factors and cannot be predicted with accuracy. See “Summary—Estimated Initial Value” on page PS-3 and “Risk Factors” beginning on page PS-7 of this document for additional</w:t>
      </w:r>
    </w:p>
    <w:p>
      <w:pPr>
        <w:ind w:left="20"/>
        <w:spacing w:after="0" w:line="238" w:lineRule="auto"/>
        <w:rPr>
          <w:sz w:val="20"/>
          <w:szCs w:val="20"/>
          <w:color w:val="auto"/>
        </w:rPr>
      </w:pPr>
      <w:r>
        <w:rPr>
          <w:rFonts w:ascii="Arial" w:cs="Arial" w:eastAsia="Arial" w:hAnsi="Arial"/>
          <w:sz w:val="14"/>
          <w:szCs w:val="14"/>
          <w:color w:val="auto"/>
        </w:rPr>
        <w:t>information.</w:t>
      </w:r>
    </w:p>
    <w:p>
      <w:pPr>
        <w:ind w:left="20"/>
        <w:spacing w:after="0"/>
        <w:rPr>
          <w:sz w:val="20"/>
          <w:szCs w:val="20"/>
          <w:color w:val="auto"/>
        </w:rPr>
      </w:pPr>
      <w:r>
        <w:rPr>
          <w:rFonts w:ascii="Arial" w:cs="Arial" w:eastAsia="Arial" w:hAnsi="Arial"/>
          <w:sz w:val="14"/>
          <w:szCs w:val="14"/>
          <w:color w:val="auto"/>
        </w:rPr>
        <w:t> </w:t>
      </w:r>
    </w:p>
    <w:tbl>
      <w:tblPr>
        <w:tblLayout w:type="fixed"/>
        <w:tblInd w:w="590" w:type="dxa"/>
        <w:tblCellMar>
          <w:top w:w="0" w:type="dxa"/>
          <w:left w:w="0" w:type="dxa"/>
          <w:bottom w:w="0" w:type="dxa"/>
          <w:right w:w="0" w:type="dxa"/>
        </w:tblCellMar>
      </w:tblPr>
      <w:tr>
        <w:trPr>
          <w:trHeight w:val="181"/>
        </w:trPr>
        <w:tc>
          <w:tcPr>
            <w:tcW w:w="18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 </w:t>
            </w:r>
          </w:p>
        </w:tc>
        <w:tc>
          <w:tcPr>
            <w:tcW w:w="11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Price to Public</w:t>
            </w:r>
          </w:p>
        </w:tc>
        <w:tc>
          <w:tcPr>
            <w:tcW w:w="2140" w:type="dxa"/>
            <w:vAlign w:val="bottom"/>
            <w:tcBorders>
              <w:top w:val="single" w:sz="8" w:color="auto"/>
              <w:bottom w:val="single" w:sz="8" w:color="auto"/>
              <w:right w:val="single" w:sz="8" w:color="auto"/>
            </w:tcBorders>
          </w:tcPr>
          <w:p>
            <w:pPr>
              <w:spacing w:after="0"/>
              <w:rPr>
                <w:sz w:val="15"/>
                <w:szCs w:val="15"/>
                <w:color w:val="auto"/>
              </w:rPr>
            </w:pPr>
          </w:p>
        </w:tc>
        <w:tc>
          <w:tcPr>
            <w:tcW w:w="2740" w:type="dxa"/>
            <w:vAlign w:val="bottom"/>
            <w:tcBorders>
              <w:top w:val="single" w:sz="8" w:color="auto"/>
              <w:bottom w:val="single" w:sz="8" w:color="auto"/>
              <w:right w:val="single" w:sz="8" w:color="auto"/>
            </w:tcBorders>
          </w:tcPr>
          <w:p>
            <w:pPr>
              <w:ind w:left="80"/>
              <w:spacing w:after="0" w:line="182" w:lineRule="exact"/>
              <w:rPr>
                <w:sz w:val="20"/>
                <w:szCs w:val="20"/>
                <w:color w:val="auto"/>
              </w:rPr>
            </w:pPr>
            <w:r>
              <w:rPr>
                <w:rFonts w:ascii="Arial" w:cs="Arial" w:eastAsia="Arial" w:hAnsi="Arial"/>
                <w:sz w:val="13"/>
                <w:szCs w:val="13"/>
                <w:b w:val="1"/>
                <w:bCs w:val="1"/>
                <w:color w:val="auto"/>
              </w:rPr>
              <w:t xml:space="preserve">Underwriting Discount </w:t>
            </w:r>
            <w:r>
              <w:rPr>
                <w:rFonts w:ascii="Arial" w:cs="Arial" w:eastAsia="Arial" w:hAnsi="Arial"/>
                <w:sz w:val="21"/>
                <w:szCs w:val="21"/>
                <w:b w:val="1"/>
                <w:bCs w:val="1"/>
                <w:color w:val="auto"/>
                <w:vertAlign w:val="superscript"/>
              </w:rPr>
              <w:t>(1)</w:t>
            </w:r>
          </w:p>
        </w:tc>
        <w:tc>
          <w:tcPr>
            <w:tcW w:w="23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Proceeds to Issuer</w:t>
            </w:r>
          </w:p>
        </w:tc>
      </w:tr>
      <w:tr>
        <w:trPr>
          <w:trHeight w:val="150"/>
        </w:trPr>
        <w:tc>
          <w:tcPr>
            <w:tcW w:w="1840" w:type="dxa"/>
            <w:vAlign w:val="bottom"/>
            <w:tcBorders>
              <w:left w:val="single" w:sz="8" w:color="auto"/>
              <w:bottom w:val="single" w:sz="8" w:color="auto"/>
              <w:right w:val="single" w:sz="8" w:color="auto"/>
            </w:tcBorders>
          </w:tcPr>
          <w:p>
            <w:pPr>
              <w:ind w:left="80"/>
              <w:spacing w:after="0" w:line="150" w:lineRule="exact"/>
              <w:rPr>
                <w:sz w:val="20"/>
                <w:szCs w:val="20"/>
                <w:color w:val="auto"/>
              </w:rPr>
            </w:pPr>
            <w:r>
              <w:rPr>
                <w:rFonts w:ascii="Arial" w:cs="Arial" w:eastAsia="Arial" w:hAnsi="Arial"/>
                <w:sz w:val="14"/>
                <w:szCs w:val="14"/>
                <w:b w:val="1"/>
                <w:bCs w:val="1"/>
                <w:color w:val="auto"/>
              </w:rPr>
              <w:t>Per Note</w:t>
            </w:r>
          </w:p>
        </w:tc>
        <w:tc>
          <w:tcPr>
            <w:tcW w:w="1100" w:type="dxa"/>
            <w:vAlign w:val="bottom"/>
            <w:tcBorders>
              <w:bottom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jc w:val="right"/>
              <w:ind w:right="1249"/>
              <w:spacing w:after="0" w:line="150" w:lineRule="exact"/>
              <w:rPr>
                <w:sz w:val="20"/>
                <w:szCs w:val="20"/>
                <w:color w:val="auto"/>
              </w:rPr>
            </w:pPr>
            <w:r>
              <w:rPr>
                <w:rFonts w:ascii="Arial" w:cs="Arial" w:eastAsia="Arial" w:hAnsi="Arial"/>
                <w:sz w:val="14"/>
                <w:szCs w:val="14"/>
                <w:color w:val="auto"/>
              </w:rPr>
              <w:t>$1,000.00</w:t>
            </w:r>
          </w:p>
        </w:tc>
        <w:tc>
          <w:tcPr>
            <w:tcW w:w="2740" w:type="dxa"/>
            <w:vAlign w:val="bottom"/>
            <w:tcBorders>
              <w:bottom w:val="single" w:sz="8" w:color="auto"/>
              <w:right w:val="single" w:sz="8" w:color="auto"/>
            </w:tcBorders>
          </w:tcPr>
          <w:p>
            <w:pPr>
              <w:jc w:val="right"/>
              <w:ind w:right="1131"/>
              <w:spacing w:after="0" w:line="150" w:lineRule="exact"/>
              <w:rPr>
                <w:sz w:val="20"/>
                <w:szCs w:val="20"/>
                <w:color w:val="auto"/>
              </w:rPr>
            </w:pPr>
            <w:r>
              <w:rPr>
                <w:rFonts w:ascii="Arial" w:cs="Arial" w:eastAsia="Arial" w:hAnsi="Arial"/>
                <w:sz w:val="14"/>
                <w:szCs w:val="14"/>
                <w:color w:val="auto"/>
              </w:rPr>
              <w:t>$5.00</w:t>
            </w:r>
          </w:p>
        </w:tc>
        <w:tc>
          <w:tcPr>
            <w:tcW w:w="2320" w:type="dxa"/>
            <w:vAlign w:val="bottom"/>
            <w:tcBorders>
              <w:bottom w:val="single" w:sz="8" w:color="auto"/>
              <w:right w:val="single" w:sz="8" w:color="auto"/>
            </w:tcBorders>
          </w:tcPr>
          <w:p>
            <w:pPr>
              <w:jc w:val="right"/>
              <w:ind w:right="849"/>
              <w:spacing w:after="0" w:line="150" w:lineRule="exact"/>
              <w:rPr>
                <w:sz w:val="20"/>
                <w:szCs w:val="20"/>
                <w:color w:val="auto"/>
              </w:rPr>
            </w:pPr>
            <w:r>
              <w:rPr>
                <w:rFonts w:ascii="Arial" w:cs="Arial" w:eastAsia="Arial" w:hAnsi="Arial"/>
                <w:sz w:val="14"/>
                <w:szCs w:val="14"/>
                <w:color w:val="auto"/>
              </w:rPr>
              <w:t>$995.00</w:t>
            </w:r>
          </w:p>
        </w:tc>
      </w:tr>
      <w:tr>
        <w:trPr>
          <w:trHeight w:val="150"/>
        </w:trPr>
        <w:tc>
          <w:tcPr>
            <w:tcW w:w="1840" w:type="dxa"/>
            <w:vAlign w:val="bottom"/>
            <w:tcBorders>
              <w:left w:val="single" w:sz="8" w:color="auto"/>
              <w:bottom w:val="single" w:sz="8" w:color="auto"/>
              <w:right w:val="single" w:sz="8" w:color="auto"/>
            </w:tcBorders>
          </w:tcPr>
          <w:p>
            <w:pPr>
              <w:ind w:left="80"/>
              <w:spacing w:after="0" w:line="150" w:lineRule="exact"/>
              <w:rPr>
                <w:sz w:val="20"/>
                <w:szCs w:val="20"/>
                <w:color w:val="auto"/>
              </w:rPr>
            </w:pPr>
            <w:r>
              <w:rPr>
                <w:rFonts w:ascii="Arial" w:cs="Arial" w:eastAsia="Arial" w:hAnsi="Arial"/>
                <w:sz w:val="14"/>
                <w:szCs w:val="14"/>
                <w:b w:val="1"/>
                <w:bCs w:val="1"/>
                <w:color w:val="auto"/>
              </w:rPr>
              <w:t>Total</w:t>
            </w:r>
          </w:p>
        </w:tc>
        <w:tc>
          <w:tcPr>
            <w:tcW w:w="1100" w:type="dxa"/>
            <w:vAlign w:val="bottom"/>
            <w:tcBorders>
              <w:bottom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jc w:val="right"/>
              <w:ind w:right="1109"/>
              <w:spacing w:after="0" w:line="150" w:lineRule="exact"/>
              <w:rPr>
                <w:sz w:val="20"/>
                <w:szCs w:val="20"/>
                <w:color w:val="auto"/>
              </w:rPr>
            </w:pPr>
            <w:r>
              <w:rPr>
                <w:rFonts w:ascii="Arial" w:cs="Arial" w:eastAsia="Arial" w:hAnsi="Arial"/>
                <w:sz w:val="14"/>
                <w:szCs w:val="14"/>
                <w:color w:val="auto"/>
              </w:rPr>
              <w:t>$1,077,000.00</w:t>
            </w:r>
          </w:p>
        </w:tc>
        <w:tc>
          <w:tcPr>
            <w:tcW w:w="2740" w:type="dxa"/>
            <w:vAlign w:val="bottom"/>
            <w:tcBorders>
              <w:bottom w:val="single" w:sz="8" w:color="auto"/>
              <w:right w:val="single" w:sz="8" w:color="auto"/>
            </w:tcBorders>
          </w:tcPr>
          <w:p>
            <w:pPr>
              <w:jc w:val="right"/>
              <w:ind w:right="991"/>
              <w:spacing w:after="0" w:line="150" w:lineRule="exact"/>
              <w:rPr>
                <w:sz w:val="20"/>
                <w:szCs w:val="20"/>
                <w:color w:val="auto"/>
              </w:rPr>
            </w:pPr>
            <w:r>
              <w:rPr>
                <w:rFonts w:ascii="Arial" w:cs="Arial" w:eastAsia="Arial" w:hAnsi="Arial"/>
                <w:sz w:val="14"/>
                <w:szCs w:val="14"/>
                <w:color w:val="auto"/>
              </w:rPr>
              <w:t>$5,385.00</w:t>
            </w:r>
          </w:p>
        </w:tc>
        <w:tc>
          <w:tcPr>
            <w:tcW w:w="2320" w:type="dxa"/>
            <w:vAlign w:val="bottom"/>
            <w:tcBorders>
              <w:bottom w:val="single" w:sz="8" w:color="auto"/>
              <w:right w:val="single" w:sz="8" w:color="auto"/>
            </w:tcBorders>
          </w:tcPr>
          <w:p>
            <w:pPr>
              <w:jc w:val="right"/>
              <w:ind w:right="649"/>
              <w:spacing w:after="0" w:line="150" w:lineRule="exact"/>
              <w:rPr>
                <w:sz w:val="20"/>
                <w:szCs w:val="20"/>
                <w:color w:val="auto"/>
              </w:rPr>
            </w:pPr>
            <w:r>
              <w:rPr>
                <w:rFonts w:ascii="Arial" w:cs="Arial" w:eastAsia="Arial" w:hAnsi="Arial"/>
                <w:sz w:val="14"/>
                <w:szCs w:val="14"/>
                <w:color w:val="auto"/>
              </w:rPr>
              <w:t>$1,071,615.00</w:t>
            </w:r>
          </w:p>
        </w:tc>
      </w:tr>
    </w:tbl>
    <w:p>
      <w:pPr>
        <w:spacing w:after="0" w:line="28" w:lineRule="exact"/>
        <w:rPr>
          <w:sz w:val="24"/>
          <w:szCs w:val="24"/>
          <w:color w:val="auto"/>
        </w:rPr>
      </w:pPr>
    </w:p>
    <w:p>
      <w:pPr>
        <w:jc w:val="both"/>
        <w:ind w:left="820" w:hanging="186"/>
        <w:spacing w:after="0" w:line="242" w:lineRule="auto"/>
        <w:rPr>
          <w:sz w:val="20"/>
          <w:szCs w:val="20"/>
          <w:color w:val="auto"/>
        </w:rPr>
      </w:pPr>
      <w:r>
        <w:rPr>
          <w:rFonts w:ascii="Arial" w:cs="Arial" w:eastAsia="Arial" w:hAnsi="Arial"/>
          <w:sz w:val="12"/>
          <w:szCs w:val="12"/>
          <w:color w:val="auto"/>
        </w:rPr>
        <w:t xml:space="preserve">(1) </w:t>
      </w:r>
      <w:r>
        <w:rPr>
          <w:rFonts w:ascii="Arial" w:cs="Arial" w:eastAsia="Arial" w:hAnsi="Arial"/>
          <w:sz w:val="14"/>
          <w:szCs w:val="14"/>
          <w:color w:val="auto"/>
        </w:rPr>
        <w:t>Marex Capital Markets Inc. (“MCMI”), an affiliate of ours, will act as the agent for the sale of the Notes. MCMI will purchase the Notes from us at an underwriting</w:t>
      </w:r>
      <w:r>
        <w:rPr>
          <w:rFonts w:ascii="Arial" w:cs="Arial" w:eastAsia="Arial" w:hAnsi="Arial"/>
          <w:sz w:val="12"/>
          <w:szCs w:val="12"/>
          <w:color w:val="auto"/>
        </w:rPr>
        <w:t xml:space="preserve"> </w:t>
      </w:r>
      <w:r>
        <w:rPr>
          <w:rFonts w:ascii="Arial" w:cs="Arial" w:eastAsia="Arial" w:hAnsi="Arial"/>
          <w:sz w:val="14"/>
          <w:szCs w:val="14"/>
          <w:color w:val="auto"/>
        </w:rPr>
        <w:t>discount of $5.00 per $1,000 Principal Amount for distribution to other registered broker-dealers or will offer the Notes directly to investors. MCMI will use the underwriting discount to pay selling concessions or fees (including custodial or clearing fees) to other registered broker-dealers. See “Supplemental Plan of Distribution (Conflicts of Interest)” on page PS-14 of this document.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 </w:t>
      </w:r>
    </w:p>
    <w:tbl>
      <w:tblPr>
        <w:tblLayout w:type="fixed"/>
        <w:tblInd w:w="870" w:type="dxa"/>
        <w:tblCellMar>
          <w:top w:w="0" w:type="dxa"/>
          <w:left w:w="0" w:type="dxa"/>
          <w:bottom w:w="0" w:type="dxa"/>
          <w:right w:w="0" w:type="dxa"/>
        </w:tblCellMar>
      </w:tblPr>
      <w:tr>
        <w:trPr>
          <w:trHeight w:val="154"/>
        </w:trPr>
        <w:tc>
          <w:tcPr>
            <w:tcW w:w="3260" w:type="dxa"/>
            <w:vAlign w:val="bottom"/>
          </w:tcPr>
          <w:p>
            <w:pPr>
              <w:spacing w:after="0"/>
              <w:rPr>
                <w:sz w:val="13"/>
                <w:szCs w:val="13"/>
                <w:color w:val="auto"/>
              </w:rPr>
            </w:pPr>
          </w:p>
        </w:tc>
        <w:tc>
          <w:tcPr>
            <w:tcW w:w="3160" w:type="dxa"/>
            <w:vAlign w:val="bottom"/>
          </w:tcPr>
          <w:p>
            <w:pPr>
              <w:jc w:val="center"/>
              <w:ind w:right="35"/>
              <w:spacing w:after="0" w:line="154" w:lineRule="exact"/>
              <w:rPr>
                <w:sz w:val="20"/>
                <w:szCs w:val="20"/>
                <w:color w:val="auto"/>
              </w:rPr>
            </w:pPr>
            <w:r>
              <w:rPr>
                <w:rFonts w:ascii="Arial" w:cs="Arial" w:eastAsia="Arial" w:hAnsi="Arial"/>
                <w:sz w:val="14"/>
                <w:szCs w:val="14"/>
                <w:color w:val="auto"/>
              </w:rPr>
              <w:t>The Notes:</w:t>
            </w:r>
          </w:p>
        </w:tc>
        <w:tc>
          <w:tcPr>
            <w:tcW w:w="3160" w:type="dxa"/>
            <w:vAlign w:val="bottom"/>
          </w:tcPr>
          <w:p>
            <w:pPr>
              <w:spacing w:after="0"/>
              <w:rPr>
                <w:sz w:val="13"/>
                <w:szCs w:val="13"/>
                <w:color w:val="auto"/>
              </w:rPr>
            </w:pPr>
          </w:p>
        </w:tc>
      </w:tr>
      <w:tr>
        <w:trPr>
          <w:trHeight w:val="81"/>
        </w:trPr>
        <w:tc>
          <w:tcPr>
            <w:tcW w:w="326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tcPr>
          <w:p>
            <w:pPr>
              <w:ind w:left="1520"/>
              <w:spacing w:after="0"/>
              <w:rPr>
                <w:sz w:val="20"/>
                <w:szCs w:val="20"/>
                <w:color w:val="auto"/>
              </w:rPr>
            </w:pPr>
            <w:r>
              <w:rPr>
                <w:rFonts w:ascii="Arial" w:cs="Arial" w:eastAsia="Arial" w:hAnsi="Arial"/>
                <w:sz w:val="7"/>
                <w:szCs w:val="7"/>
                <w:color w:val="auto"/>
              </w:rPr>
              <w:t> </w:t>
            </w:r>
          </w:p>
        </w:tc>
        <w:tc>
          <w:tcPr>
            <w:tcW w:w="3160" w:type="dxa"/>
            <w:vAlign w:val="bottom"/>
            <w:tcBorders>
              <w:bottom w:val="single" w:sz="8" w:color="auto"/>
            </w:tcBorders>
          </w:tcPr>
          <w:p>
            <w:pPr>
              <w:spacing w:after="0"/>
              <w:rPr>
                <w:sz w:val="7"/>
                <w:szCs w:val="7"/>
                <w:color w:val="auto"/>
              </w:rPr>
            </w:pPr>
          </w:p>
        </w:tc>
      </w:tr>
      <w:tr>
        <w:trPr>
          <w:trHeight w:val="150"/>
        </w:trPr>
        <w:tc>
          <w:tcPr>
            <w:tcW w:w="3260" w:type="dxa"/>
            <w:vAlign w:val="bottom"/>
            <w:tcBorders>
              <w:left w:val="single" w:sz="8" w:color="auto"/>
              <w:bottom w:val="single" w:sz="8" w:color="auto"/>
              <w:right w:val="single" w:sz="8" w:color="auto"/>
            </w:tcBorders>
          </w:tcPr>
          <w:p>
            <w:pPr>
              <w:ind w:left="80"/>
              <w:spacing w:after="0" w:line="150" w:lineRule="exact"/>
              <w:rPr>
                <w:sz w:val="20"/>
                <w:szCs w:val="20"/>
                <w:color w:val="auto"/>
              </w:rPr>
            </w:pPr>
            <w:r>
              <w:rPr>
                <w:rFonts w:ascii="Arial" w:cs="Arial" w:eastAsia="Arial" w:hAnsi="Arial"/>
                <w:sz w:val="14"/>
                <w:szCs w:val="14"/>
                <w:color w:val="auto"/>
              </w:rPr>
              <w:t>Are Not FDIC Insured</w:t>
            </w:r>
          </w:p>
        </w:tc>
        <w:tc>
          <w:tcPr>
            <w:tcW w:w="31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4"/>
                <w:szCs w:val="14"/>
                <w:color w:val="auto"/>
              </w:rPr>
              <w:t>Are Not Bank Guaranteed</w:t>
            </w:r>
          </w:p>
        </w:tc>
        <w:tc>
          <w:tcPr>
            <w:tcW w:w="31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4"/>
                <w:szCs w:val="14"/>
                <w:color w:val="auto"/>
              </w:rPr>
              <w:t>May Lose Value</w:t>
            </w:r>
          </w:p>
        </w:tc>
      </w:tr>
      <w:tr>
        <w:trPr>
          <w:trHeight w:val="135"/>
        </w:trPr>
        <w:tc>
          <w:tcPr>
            <w:tcW w:w="3260" w:type="dxa"/>
            <w:vAlign w:val="bottom"/>
          </w:tcPr>
          <w:p>
            <w:pPr>
              <w:spacing w:after="0"/>
              <w:rPr>
                <w:sz w:val="11"/>
                <w:szCs w:val="11"/>
                <w:color w:val="auto"/>
              </w:rPr>
            </w:pPr>
          </w:p>
        </w:tc>
        <w:tc>
          <w:tcPr>
            <w:tcW w:w="3160" w:type="dxa"/>
            <w:vAlign w:val="bottom"/>
          </w:tcPr>
          <w:p>
            <w:pPr>
              <w:ind w:left="1520"/>
              <w:spacing w:after="0" w:line="135" w:lineRule="exact"/>
              <w:rPr>
                <w:sz w:val="20"/>
                <w:szCs w:val="20"/>
                <w:color w:val="auto"/>
              </w:rPr>
            </w:pPr>
            <w:r>
              <w:rPr>
                <w:rFonts w:ascii="Arial" w:cs="Arial" w:eastAsia="Arial" w:hAnsi="Arial"/>
                <w:sz w:val="14"/>
                <w:szCs w:val="14"/>
                <w:color w:val="auto"/>
              </w:rPr>
              <w:t> </w:t>
            </w:r>
          </w:p>
        </w:tc>
        <w:tc>
          <w:tcPr>
            <w:tcW w:w="3160" w:type="dxa"/>
            <w:vAlign w:val="bottom"/>
          </w:tcPr>
          <w:p>
            <w:pPr>
              <w:spacing w:after="0"/>
              <w:rPr>
                <w:sz w:val="11"/>
                <w:szCs w:val="11"/>
                <w:color w:val="auto"/>
              </w:rPr>
            </w:pPr>
          </w:p>
        </w:tc>
      </w:tr>
      <w:tr>
        <w:trPr>
          <w:trHeight w:val="159"/>
        </w:trPr>
        <w:tc>
          <w:tcPr>
            <w:tcW w:w="3260" w:type="dxa"/>
            <w:vAlign w:val="bottom"/>
          </w:tcPr>
          <w:p>
            <w:pPr>
              <w:spacing w:after="0"/>
              <w:rPr>
                <w:sz w:val="13"/>
                <w:szCs w:val="13"/>
                <w:color w:val="auto"/>
              </w:rPr>
            </w:pPr>
          </w:p>
        </w:tc>
        <w:tc>
          <w:tcPr>
            <w:tcW w:w="3160" w:type="dxa"/>
            <w:vAlign w:val="bottom"/>
          </w:tcPr>
          <w:p>
            <w:pPr>
              <w:jc w:val="center"/>
              <w:ind w:right="35"/>
              <w:spacing w:after="0" w:line="159" w:lineRule="exact"/>
              <w:rPr>
                <w:sz w:val="20"/>
                <w:szCs w:val="20"/>
                <w:color w:val="auto"/>
              </w:rPr>
            </w:pPr>
            <w:r>
              <w:rPr>
                <w:rFonts w:ascii="Arial" w:cs="Arial" w:eastAsia="Arial" w:hAnsi="Arial"/>
                <w:sz w:val="14"/>
                <w:szCs w:val="14"/>
                <w:b w:val="1"/>
                <w:bCs w:val="1"/>
                <w:color w:val="auto"/>
              </w:rPr>
              <w:t>Marex Capital Markets</w:t>
            </w:r>
          </w:p>
        </w:tc>
        <w:tc>
          <w:tcPr>
            <w:tcW w:w="3160" w:type="dxa"/>
            <w:vAlign w:val="bottom"/>
          </w:tcPr>
          <w:p>
            <w:pPr>
              <w:spacing w:after="0"/>
              <w:rPr>
                <w:sz w:val="13"/>
                <w:szCs w:val="13"/>
                <w:color w:val="auto"/>
              </w:rPr>
            </w:pPr>
          </w:p>
        </w:tc>
      </w:tr>
      <w:tr>
        <w:trPr>
          <w:trHeight w:val="186"/>
        </w:trPr>
        <w:tc>
          <w:tcPr>
            <w:tcW w:w="3260" w:type="dxa"/>
            <w:vAlign w:val="bottom"/>
          </w:tcPr>
          <w:p>
            <w:pPr>
              <w:spacing w:after="0"/>
              <w:rPr>
                <w:sz w:val="16"/>
                <w:szCs w:val="16"/>
                <w:color w:val="auto"/>
              </w:rPr>
            </w:pPr>
          </w:p>
        </w:tc>
        <w:tc>
          <w:tcPr>
            <w:tcW w:w="3160" w:type="dxa"/>
            <w:vAlign w:val="bottom"/>
          </w:tcPr>
          <w:p>
            <w:pPr>
              <w:ind w:left="1520"/>
              <w:spacing w:after="0"/>
              <w:rPr>
                <w:sz w:val="20"/>
                <w:szCs w:val="20"/>
                <w:color w:val="auto"/>
              </w:rPr>
            </w:pPr>
            <w:r>
              <w:rPr>
                <w:rFonts w:ascii="Arial" w:cs="Arial" w:eastAsia="Arial" w:hAnsi="Arial"/>
                <w:sz w:val="14"/>
                <w:szCs w:val="14"/>
                <w:color w:val="auto"/>
              </w:rPr>
              <w:t> </w:t>
            </w:r>
          </w:p>
        </w:tc>
        <w:tc>
          <w:tcPr>
            <w:tcW w:w="3160" w:type="dxa"/>
            <w:vAlign w:val="bottom"/>
          </w:tcPr>
          <w:p>
            <w:pPr>
              <w:spacing w:after="0"/>
              <w:rPr>
                <w:sz w:val="16"/>
                <w:szCs w:val="16"/>
                <w:color w:val="auto"/>
              </w:rPr>
            </w:pPr>
          </w:p>
        </w:tc>
      </w:tr>
    </w:tbl>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 </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7030A0"/>
        </w:rPr>
        <w:t> </w:t>
      </w:r>
    </w:p>
    <w:p>
      <w:pPr>
        <w:spacing w:after="0" w:line="237" w:lineRule="auto"/>
        <w:rPr>
          <w:sz w:val="20"/>
          <w:szCs w:val="20"/>
          <w:color w:val="auto"/>
        </w:rPr>
      </w:pPr>
      <w:r>
        <w:rPr>
          <w:rFonts w:ascii="Arial" w:cs="Arial" w:eastAsia="Arial" w:hAnsi="Arial"/>
          <w:sz w:val="14"/>
          <w:szCs w:val="14"/>
          <w:b w:val="1"/>
          <w:bCs w:val="1"/>
          <w:color w:val="7030A0"/>
        </w:rPr>
        <w:t>SUMMARY</w:t>
      </w:r>
    </w:p>
    <w:p>
      <w:pPr>
        <w:spacing w:after="0" w:line="238" w:lineRule="auto"/>
        <w:rPr>
          <w:sz w:val="20"/>
          <w:szCs w:val="20"/>
          <w:color w:val="auto"/>
        </w:rPr>
      </w:pPr>
      <w:r>
        <w:rPr>
          <w:rFonts w:ascii="Arial" w:cs="Arial" w:eastAsia="Arial" w:hAnsi="Arial"/>
          <w:sz w:val="14"/>
          <w:szCs w:val="14"/>
          <w:color w:val="7030A0"/>
        </w:rPr>
        <w:t> </w:t>
      </w:r>
    </w:p>
    <w:p>
      <w:pPr>
        <w:spacing w:after="0" w:line="238" w:lineRule="auto"/>
        <w:rPr>
          <w:sz w:val="20"/>
          <w:szCs w:val="20"/>
          <w:color w:val="auto"/>
        </w:rPr>
      </w:pPr>
      <w:r>
        <w:rPr>
          <w:rFonts w:ascii="Arial" w:cs="Arial" w:eastAsia="Arial" w:hAnsi="Arial"/>
          <w:sz w:val="14"/>
          <w:szCs w:val="14"/>
          <w:color w:val="777777"/>
        </w:rPr>
        <w:t>The information in this “Summary” section is qualified by the more detailed information set forth in the underlying supplement, the prospectus supplement and the prospectus. See</w:t>
      </w:r>
    </w:p>
    <w:p>
      <w:pPr>
        <w:spacing w:after="0" w:line="237" w:lineRule="auto"/>
        <w:rPr>
          <w:sz w:val="20"/>
          <w:szCs w:val="20"/>
          <w:color w:val="auto"/>
        </w:rPr>
      </w:pPr>
      <w:r>
        <w:rPr>
          <w:rFonts w:ascii="Arial" w:cs="Arial" w:eastAsia="Arial" w:hAnsi="Arial"/>
          <w:sz w:val="14"/>
          <w:szCs w:val="14"/>
          <w:color w:val="777777"/>
        </w:rPr>
        <w:t>“General” in this document.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77777"/>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00" w:type="dxa"/>
            <w:vAlign w:val="bottom"/>
          </w:tcPr>
          <w:p>
            <w:pPr>
              <w:ind w:left="40"/>
              <w:spacing w:after="0"/>
              <w:rPr>
                <w:sz w:val="20"/>
                <w:szCs w:val="20"/>
                <w:color w:val="auto"/>
              </w:rPr>
            </w:pPr>
            <w:r>
              <w:rPr>
                <w:rFonts w:ascii="Arial" w:cs="Arial" w:eastAsia="Arial" w:hAnsi="Arial"/>
                <w:sz w:val="14"/>
                <w:szCs w:val="14"/>
                <w:b w:val="1"/>
                <w:bCs w:val="1"/>
                <w:color w:val="777777"/>
              </w:rPr>
              <w:t>Issuer:</w:t>
            </w:r>
          </w:p>
        </w:tc>
        <w:tc>
          <w:tcPr>
            <w:tcW w:w="9180" w:type="dxa"/>
            <w:vAlign w:val="bottom"/>
          </w:tcPr>
          <w:p>
            <w:pPr>
              <w:ind w:left="200"/>
              <w:spacing w:after="0"/>
              <w:rPr>
                <w:sz w:val="20"/>
                <w:szCs w:val="20"/>
                <w:color w:val="auto"/>
              </w:rPr>
            </w:pPr>
            <w:r>
              <w:rPr>
                <w:rFonts w:ascii="Arial" w:cs="Arial" w:eastAsia="Arial" w:hAnsi="Arial"/>
                <w:sz w:val="14"/>
                <w:szCs w:val="14"/>
                <w:color w:val="auto"/>
              </w:rPr>
              <w:t>Marex Group plc</w:t>
            </w:r>
          </w:p>
        </w:tc>
      </w:tr>
      <w:tr>
        <w:trPr>
          <w:trHeight w:val="220"/>
        </w:trPr>
        <w:tc>
          <w:tcPr>
            <w:tcW w:w="2100" w:type="dxa"/>
            <w:vAlign w:val="bottom"/>
          </w:tcPr>
          <w:p>
            <w:pPr>
              <w:ind w:left="40"/>
              <w:spacing w:after="0"/>
              <w:rPr>
                <w:sz w:val="20"/>
                <w:szCs w:val="20"/>
                <w:color w:val="auto"/>
              </w:rPr>
            </w:pPr>
            <w:r>
              <w:rPr>
                <w:rFonts w:ascii="Arial" w:cs="Arial" w:eastAsia="Arial" w:hAnsi="Arial"/>
                <w:sz w:val="14"/>
                <w:szCs w:val="14"/>
                <w:b w:val="1"/>
                <w:bCs w:val="1"/>
                <w:color w:val="777777"/>
              </w:rPr>
              <w:t>Principal Amount:</w:t>
            </w:r>
          </w:p>
        </w:tc>
        <w:tc>
          <w:tcPr>
            <w:tcW w:w="9180" w:type="dxa"/>
            <w:vAlign w:val="bottom"/>
          </w:tcPr>
          <w:p>
            <w:pPr>
              <w:ind w:left="200"/>
              <w:spacing w:after="0"/>
              <w:rPr>
                <w:sz w:val="20"/>
                <w:szCs w:val="20"/>
                <w:color w:val="auto"/>
              </w:rPr>
            </w:pPr>
            <w:r>
              <w:rPr>
                <w:rFonts w:ascii="Arial" w:cs="Arial" w:eastAsia="Arial" w:hAnsi="Arial"/>
                <w:sz w:val="14"/>
                <w:szCs w:val="14"/>
                <w:color w:val="auto"/>
              </w:rPr>
              <w:t>$1,000 per Note</w:t>
            </w:r>
          </w:p>
        </w:tc>
      </w:tr>
      <w:tr>
        <w:trPr>
          <w:trHeight w:val="235"/>
        </w:trPr>
        <w:tc>
          <w:tcPr>
            <w:tcW w:w="2100" w:type="dxa"/>
            <w:vAlign w:val="bottom"/>
          </w:tcPr>
          <w:p>
            <w:pPr>
              <w:ind w:left="40"/>
              <w:spacing w:after="0"/>
              <w:rPr>
                <w:sz w:val="20"/>
                <w:szCs w:val="20"/>
                <w:color w:val="auto"/>
              </w:rPr>
            </w:pPr>
            <w:r>
              <w:rPr>
                <w:rFonts w:ascii="Arial" w:cs="Arial" w:eastAsia="Arial" w:hAnsi="Arial"/>
                <w:sz w:val="14"/>
                <w:szCs w:val="14"/>
                <w:b w:val="1"/>
                <w:bCs w:val="1"/>
                <w:color w:val="777777"/>
              </w:rPr>
              <w:t>Reference Asset:</w:t>
            </w:r>
          </w:p>
        </w:tc>
        <w:tc>
          <w:tcPr>
            <w:tcW w:w="9180" w:type="dxa"/>
            <w:vAlign w:val="bottom"/>
          </w:tcPr>
          <w:p>
            <w:pPr>
              <w:ind w:left="200"/>
              <w:spacing w:after="0" w:line="235" w:lineRule="exact"/>
              <w:rPr>
                <w:sz w:val="20"/>
                <w:szCs w:val="20"/>
                <w:color w:val="auto"/>
              </w:rPr>
            </w:pPr>
            <w:r>
              <w:rPr>
                <w:rFonts w:ascii="Arial" w:cs="Arial" w:eastAsia="Arial" w:hAnsi="Arial"/>
                <w:sz w:val="14"/>
                <w:szCs w:val="14"/>
                <w:color w:val="auto"/>
              </w:rPr>
              <w:t>The S&amp;P 500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Index (Bloomberg symbol: SPX) (the “SPX”) , the Russell 2000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Index (Bloomberg symbol: RTY) (the “RTY”), and the Nasdaq-</w:t>
            </w:r>
          </w:p>
        </w:tc>
      </w:tr>
      <w:tr>
        <w:trPr>
          <w:trHeight w:val="262"/>
        </w:trPr>
        <w:tc>
          <w:tcPr>
            <w:tcW w:w="2100" w:type="dxa"/>
            <w:vAlign w:val="bottom"/>
          </w:tcPr>
          <w:p>
            <w:pPr>
              <w:spacing w:after="0"/>
              <w:rPr>
                <w:sz w:val="22"/>
                <w:szCs w:val="22"/>
                <w:color w:val="auto"/>
              </w:rPr>
            </w:pPr>
          </w:p>
        </w:tc>
        <w:tc>
          <w:tcPr>
            <w:tcW w:w="9180" w:type="dxa"/>
            <w:vAlign w:val="bottom"/>
          </w:tcPr>
          <w:p>
            <w:pPr>
              <w:ind w:left="200"/>
              <w:spacing w:after="0" w:line="262" w:lineRule="exact"/>
              <w:rPr>
                <w:sz w:val="20"/>
                <w:szCs w:val="20"/>
                <w:color w:val="auto"/>
              </w:rPr>
            </w:pPr>
            <w:r>
              <w:rPr>
                <w:rFonts w:ascii="Arial" w:cs="Arial" w:eastAsia="Arial" w:hAnsi="Arial"/>
                <w:sz w:val="14"/>
                <w:szCs w:val="14"/>
                <w:color w:val="auto"/>
              </w:rPr>
              <w:t>100 Index</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(Bloomberg symbol: NDX) (the “NDX”).</w:t>
            </w:r>
          </w:p>
        </w:tc>
      </w:tr>
      <w:tr>
        <w:trPr>
          <w:trHeight w:val="194"/>
        </w:trPr>
        <w:tc>
          <w:tcPr>
            <w:tcW w:w="2100" w:type="dxa"/>
            <w:vAlign w:val="bottom"/>
          </w:tcPr>
          <w:p>
            <w:pPr>
              <w:ind w:left="40"/>
              <w:spacing w:after="0"/>
              <w:rPr>
                <w:sz w:val="20"/>
                <w:szCs w:val="20"/>
                <w:color w:val="auto"/>
              </w:rPr>
            </w:pPr>
            <w:r>
              <w:rPr>
                <w:rFonts w:ascii="Arial" w:cs="Arial" w:eastAsia="Arial" w:hAnsi="Arial"/>
                <w:sz w:val="14"/>
                <w:szCs w:val="14"/>
                <w:b w:val="1"/>
                <w:bCs w:val="1"/>
                <w:color w:val="777777"/>
              </w:rPr>
              <w:t>Pricing Date:</w:t>
            </w:r>
          </w:p>
        </w:tc>
        <w:tc>
          <w:tcPr>
            <w:tcW w:w="9180" w:type="dxa"/>
            <w:vAlign w:val="bottom"/>
          </w:tcPr>
          <w:p>
            <w:pPr>
              <w:ind w:left="200"/>
              <w:spacing w:after="0"/>
              <w:rPr>
                <w:sz w:val="20"/>
                <w:szCs w:val="20"/>
                <w:color w:val="auto"/>
              </w:rPr>
            </w:pPr>
            <w:r>
              <w:rPr>
                <w:rFonts w:ascii="Arial" w:cs="Arial" w:eastAsia="Arial" w:hAnsi="Arial"/>
                <w:sz w:val="14"/>
                <w:szCs w:val="14"/>
                <w:color w:val="auto"/>
              </w:rPr>
              <w:t>June 17, 2026</w:t>
            </w:r>
          </w:p>
        </w:tc>
      </w:tr>
      <w:tr>
        <w:trPr>
          <w:trHeight w:val="226"/>
        </w:trPr>
        <w:tc>
          <w:tcPr>
            <w:tcW w:w="2100" w:type="dxa"/>
            <w:vAlign w:val="bottom"/>
          </w:tcPr>
          <w:p>
            <w:pPr>
              <w:spacing w:after="0"/>
              <w:rPr>
                <w:sz w:val="20"/>
                <w:szCs w:val="20"/>
                <w:color w:val="auto"/>
              </w:rPr>
            </w:pPr>
            <w:r>
              <w:rPr>
                <w:rFonts w:ascii="Arial" w:cs="Arial" w:eastAsia="Arial" w:hAnsi="Arial"/>
                <w:sz w:val="14"/>
                <w:szCs w:val="14"/>
                <w:b w:val="1"/>
                <w:bCs w:val="1"/>
                <w:color w:val="777777"/>
              </w:rPr>
              <w:t>Trade Date:</w:t>
            </w:r>
          </w:p>
        </w:tc>
        <w:tc>
          <w:tcPr>
            <w:tcW w:w="9180" w:type="dxa"/>
            <w:vAlign w:val="bottom"/>
          </w:tcPr>
          <w:p>
            <w:pPr>
              <w:ind w:left="200"/>
              <w:spacing w:after="0"/>
              <w:rPr>
                <w:sz w:val="20"/>
                <w:szCs w:val="20"/>
                <w:color w:val="auto"/>
              </w:rPr>
            </w:pPr>
            <w:r>
              <w:rPr>
                <w:rFonts w:ascii="Arial" w:cs="Arial" w:eastAsia="Arial" w:hAnsi="Arial"/>
                <w:sz w:val="14"/>
                <w:szCs w:val="14"/>
                <w:color w:val="auto"/>
              </w:rPr>
              <w:t>June 18, 2026</w:t>
            </w:r>
          </w:p>
        </w:tc>
      </w:tr>
      <w:tr>
        <w:trPr>
          <w:trHeight w:val="242"/>
        </w:trPr>
        <w:tc>
          <w:tcPr>
            <w:tcW w:w="2100" w:type="dxa"/>
            <w:vAlign w:val="bottom"/>
          </w:tcPr>
          <w:p>
            <w:pPr>
              <w:ind w:left="40"/>
              <w:spacing w:after="0"/>
              <w:rPr>
                <w:sz w:val="20"/>
                <w:szCs w:val="20"/>
                <w:color w:val="auto"/>
              </w:rPr>
            </w:pPr>
            <w:r>
              <w:rPr>
                <w:rFonts w:ascii="Arial" w:cs="Arial" w:eastAsia="Arial" w:hAnsi="Arial"/>
                <w:sz w:val="14"/>
                <w:szCs w:val="14"/>
                <w:b w:val="1"/>
                <w:bCs w:val="1"/>
                <w:color w:val="777777"/>
              </w:rPr>
              <w:t>Original Issue Date:</w:t>
            </w:r>
          </w:p>
        </w:tc>
        <w:tc>
          <w:tcPr>
            <w:tcW w:w="9180" w:type="dxa"/>
            <w:vAlign w:val="bottom"/>
          </w:tcPr>
          <w:p>
            <w:pPr>
              <w:ind w:left="200"/>
              <w:spacing w:after="0"/>
              <w:rPr>
                <w:sz w:val="20"/>
                <w:szCs w:val="20"/>
                <w:color w:val="auto"/>
              </w:rPr>
            </w:pPr>
            <w:r>
              <w:rPr>
                <w:rFonts w:ascii="Arial" w:cs="Arial" w:eastAsia="Arial" w:hAnsi="Arial"/>
                <w:sz w:val="14"/>
                <w:szCs w:val="14"/>
                <w:color w:val="auto"/>
              </w:rPr>
              <w:t>June 24, 2026</w:t>
            </w:r>
          </w:p>
        </w:tc>
      </w:tr>
      <w:tr>
        <w:trPr>
          <w:trHeight w:val="199"/>
        </w:trPr>
        <w:tc>
          <w:tcPr>
            <w:tcW w:w="2100" w:type="dxa"/>
            <w:vAlign w:val="bottom"/>
          </w:tcPr>
          <w:p>
            <w:pPr>
              <w:ind w:left="40"/>
              <w:spacing w:after="0"/>
              <w:rPr>
                <w:sz w:val="20"/>
                <w:szCs w:val="20"/>
                <w:color w:val="auto"/>
              </w:rPr>
            </w:pPr>
            <w:r>
              <w:rPr>
                <w:rFonts w:ascii="Arial" w:cs="Arial" w:eastAsia="Arial" w:hAnsi="Arial"/>
                <w:sz w:val="14"/>
                <w:szCs w:val="14"/>
                <w:b w:val="1"/>
                <w:bCs w:val="1"/>
                <w:color w:val="777777"/>
              </w:rPr>
              <w:t>Final Valuation Date:</w:t>
            </w:r>
          </w:p>
        </w:tc>
        <w:tc>
          <w:tcPr>
            <w:tcW w:w="9180" w:type="dxa"/>
            <w:vAlign w:val="bottom"/>
          </w:tcPr>
          <w:p>
            <w:pPr>
              <w:ind w:left="200"/>
              <w:spacing w:after="0"/>
              <w:rPr>
                <w:sz w:val="20"/>
                <w:szCs w:val="20"/>
                <w:color w:val="auto"/>
              </w:rPr>
            </w:pPr>
            <w:r>
              <w:rPr>
                <w:rFonts w:ascii="Arial" w:cs="Arial" w:eastAsia="Arial" w:hAnsi="Arial"/>
                <w:sz w:val="14"/>
                <w:szCs w:val="14"/>
                <w:color w:val="auto"/>
              </w:rPr>
              <w:t>June 24, 2027, subject to adjustment as described under “Additional Terms of the Notes—Valuation Dates” in the accompanying underlying</w:t>
            </w:r>
          </w:p>
        </w:tc>
      </w:tr>
      <w:tr>
        <w:trPr>
          <w:trHeight w:val="186"/>
        </w:trPr>
        <w:tc>
          <w:tcPr>
            <w:tcW w:w="2100" w:type="dxa"/>
            <w:vAlign w:val="bottom"/>
          </w:tcPr>
          <w:p>
            <w:pPr>
              <w:spacing w:after="0"/>
              <w:rPr>
                <w:sz w:val="16"/>
                <w:szCs w:val="16"/>
                <w:color w:val="auto"/>
              </w:rPr>
            </w:pPr>
          </w:p>
        </w:tc>
        <w:tc>
          <w:tcPr>
            <w:tcW w:w="9180" w:type="dxa"/>
            <w:vAlign w:val="bottom"/>
          </w:tcPr>
          <w:p>
            <w:pPr>
              <w:ind w:left="200"/>
              <w:spacing w:after="0"/>
              <w:rPr>
                <w:sz w:val="20"/>
                <w:szCs w:val="20"/>
                <w:color w:val="auto"/>
              </w:rPr>
            </w:pPr>
            <w:r>
              <w:rPr>
                <w:rFonts w:ascii="Arial" w:cs="Arial" w:eastAsia="Arial" w:hAnsi="Arial"/>
                <w:sz w:val="14"/>
                <w:szCs w:val="14"/>
                <w:color w:val="auto"/>
              </w:rPr>
              <w:t>supplement.</w:t>
            </w:r>
          </w:p>
        </w:tc>
      </w:tr>
      <w:tr>
        <w:trPr>
          <w:trHeight w:val="207"/>
        </w:trPr>
        <w:tc>
          <w:tcPr>
            <w:tcW w:w="2100" w:type="dxa"/>
            <w:vAlign w:val="bottom"/>
          </w:tcPr>
          <w:p>
            <w:pPr>
              <w:ind w:left="40"/>
              <w:spacing w:after="0"/>
              <w:rPr>
                <w:sz w:val="20"/>
                <w:szCs w:val="20"/>
                <w:color w:val="auto"/>
              </w:rPr>
            </w:pPr>
            <w:r>
              <w:rPr>
                <w:rFonts w:ascii="Arial" w:cs="Arial" w:eastAsia="Arial" w:hAnsi="Arial"/>
                <w:sz w:val="14"/>
                <w:szCs w:val="14"/>
                <w:b w:val="1"/>
                <w:bCs w:val="1"/>
                <w:color w:val="777777"/>
              </w:rPr>
              <w:t>Maturity Date:</w:t>
            </w:r>
          </w:p>
        </w:tc>
        <w:tc>
          <w:tcPr>
            <w:tcW w:w="9180" w:type="dxa"/>
            <w:vAlign w:val="bottom"/>
          </w:tcPr>
          <w:p>
            <w:pPr>
              <w:ind w:left="200"/>
              <w:spacing w:after="0"/>
              <w:rPr>
                <w:sz w:val="20"/>
                <w:szCs w:val="20"/>
                <w:color w:val="auto"/>
              </w:rPr>
            </w:pPr>
            <w:r>
              <w:rPr>
                <w:rFonts w:ascii="Arial" w:cs="Arial" w:eastAsia="Arial" w:hAnsi="Arial"/>
                <w:sz w:val="14"/>
                <w:szCs w:val="14"/>
                <w:color w:val="auto"/>
              </w:rPr>
              <w:t>June 29, 2027, subject to adjustment as described under “Additional Terms of the Notes—Interest Payment Dates, Coupon Payment Dates,</w:t>
            </w:r>
          </w:p>
        </w:tc>
      </w:tr>
      <w:tr>
        <w:trPr>
          <w:trHeight w:val="186"/>
        </w:trPr>
        <w:tc>
          <w:tcPr>
            <w:tcW w:w="2100" w:type="dxa"/>
            <w:vAlign w:val="bottom"/>
          </w:tcPr>
          <w:p>
            <w:pPr>
              <w:spacing w:after="0"/>
              <w:rPr>
                <w:sz w:val="16"/>
                <w:szCs w:val="16"/>
                <w:color w:val="auto"/>
              </w:rPr>
            </w:pPr>
          </w:p>
        </w:tc>
        <w:tc>
          <w:tcPr>
            <w:tcW w:w="9180" w:type="dxa"/>
            <w:vAlign w:val="bottom"/>
          </w:tcPr>
          <w:p>
            <w:pPr>
              <w:ind w:left="200"/>
              <w:spacing w:after="0"/>
              <w:rPr>
                <w:sz w:val="20"/>
                <w:szCs w:val="20"/>
                <w:color w:val="auto"/>
              </w:rPr>
            </w:pPr>
            <w:r>
              <w:rPr>
                <w:rFonts w:ascii="Arial" w:cs="Arial" w:eastAsia="Arial" w:hAnsi="Arial"/>
                <w:sz w:val="14"/>
                <w:szCs w:val="14"/>
                <w:color w:val="auto"/>
              </w:rPr>
              <w:t>Call Payment Dates and Maturity Date” in the accompanying underlying supplement.</w:t>
            </w:r>
          </w:p>
        </w:tc>
      </w:tr>
      <w:tr>
        <w:trPr>
          <w:trHeight w:val="207"/>
        </w:trPr>
        <w:tc>
          <w:tcPr>
            <w:tcW w:w="2100" w:type="dxa"/>
            <w:vAlign w:val="bottom"/>
          </w:tcPr>
          <w:p>
            <w:pPr>
              <w:ind w:left="40"/>
              <w:spacing w:after="0"/>
              <w:rPr>
                <w:sz w:val="20"/>
                <w:szCs w:val="20"/>
                <w:color w:val="auto"/>
              </w:rPr>
            </w:pPr>
            <w:r>
              <w:rPr>
                <w:rFonts w:ascii="Arial" w:cs="Arial" w:eastAsia="Arial" w:hAnsi="Arial"/>
                <w:sz w:val="14"/>
                <w:szCs w:val="14"/>
                <w:b w:val="1"/>
                <w:bCs w:val="1"/>
                <w:color w:val="777777"/>
              </w:rPr>
              <w:t>Optional Early Redemption:</w:t>
            </w:r>
          </w:p>
        </w:tc>
        <w:tc>
          <w:tcPr>
            <w:tcW w:w="9180" w:type="dxa"/>
            <w:vAlign w:val="bottom"/>
          </w:tcPr>
          <w:p>
            <w:pPr>
              <w:ind w:left="200"/>
              <w:spacing w:after="0"/>
              <w:rPr>
                <w:sz w:val="20"/>
                <w:szCs w:val="20"/>
                <w:color w:val="auto"/>
              </w:rPr>
            </w:pPr>
            <w:r>
              <w:rPr>
                <w:rFonts w:ascii="Arial" w:cs="Arial" w:eastAsia="Arial" w:hAnsi="Arial"/>
                <w:sz w:val="14"/>
                <w:szCs w:val="14"/>
                <w:color w:val="auto"/>
              </w:rPr>
              <w:t>The Issuer has the right to redeem the Notes, in whole but not in part, on any Call Payment Date. If we elect to redeem the Notes, we will send</w:t>
            </w:r>
          </w:p>
        </w:tc>
      </w:tr>
      <w:tr>
        <w:trPr>
          <w:trHeight w:val="159"/>
        </w:trPr>
        <w:tc>
          <w:tcPr>
            <w:tcW w:w="2100" w:type="dxa"/>
            <w:vAlign w:val="bottom"/>
          </w:tcPr>
          <w:p>
            <w:pPr>
              <w:spacing w:after="0"/>
              <w:rPr>
                <w:sz w:val="13"/>
                <w:szCs w:val="13"/>
                <w:color w:val="auto"/>
              </w:rPr>
            </w:pPr>
          </w:p>
        </w:tc>
        <w:tc>
          <w:tcPr>
            <w:tcW w:w="9180" w:type="dxa"/>
            <w:vAlign w:val="bottom"/>
          </w:tcPr>
          <w:p>
            <w:pPr>
              <w:ind w:left="200"/>
              <w:spacing w:after="0" w:line="159" w:lineRule="exact"/>
              <w:rPr>
                <w:sz w:val="20"/>
                <w:szCs w:val="20"/>
                <w:color w:val="auto"/>
              </w:rPr>
            </w:pPr>
            <w:r>
              <w:rPr>
                <w:rFonts w:ascii="Arial" w:cs="Arial" w:eastAsia="Arial" w:hAnsi="Arial"/>
                <w:sz w:val="14"/>
                <w:szCs w:val="14"/>
                <w:color w:val="auto"/>
              </w:rPr>
              <w:t>a notice to DTC through the trustee at least 3 Business Days and no more than 20 Business Days before the applicable Call Payment Date.</w:t>
            </w:r>
          </w:p>
        </w:tc>
      </w:tr>
      <w:tr>
        <w:trPr>
          <w:trHeight w:val="168"/>
        </w:trPr>
        <w:tc>
          <w:tcPr>
            <w:tcW w:w="2100" w:type="dxa"/>
            <w:vAlign w:val="bottom"/>
          </w:tcPr>
          <w:p>
            <w:pPr>
              <w:spacing w:after="0"/>
              <w:rPr>
                <w:sz w:val="14"/>
                <w:szCs w:val="14"/>
                <w:color w:val="auto"/>
              </w:rPr>
            </w:pPr>
          </w:p>
        </w:tc>
        <w:tc>
          <w:tcPr>
            <w:tcW w:w="9180" w:type="dxa"/>
            <w:vAlign w:val="bottom"/>
          </w:tcPr>
          <w:p>
            <w:pPr>
              <w:ind w:left="200"/>
              <w:spacing w:after="0"/>
              <w:rPr>
                <w:sz w:val="20"/>
                <w:szCs w:val="20"/>
                <w:color w:val="auto"/>
              </w:rPr>
            </w:pPr>
            <w:r>
              <w:rPr>
                <w:rFonts w:ascii="Arial" w:cs="Arial" w:eastAsia="Arial" w:hAnsi="Arial"/>
                <w:sz w:val="14"/>
                <w:szCs w:val="14"/>
                <w:color w:val="auto"/>
              </w:rPr>
              <w:t>We will have no independent obligation to notify you directly.</w:t>
            </w:r>
          </w:p>
        </w:tc>
      </w:tr>
      <w:tr>
        <w:trPr>
          <w:trHeight w:val="70"/>
        </w:trPr>
        <w:tc>
          <w:tcPr>
            <w:tcW w:w="2100" w:type="dxa"/>
            <w:vAlign w:val="bottom"/>
          </w:tcPr>
          <w:p>
            <w:pPr>
              <w:spacing w:after="0"/>
              <w:rPr>
                <w:sz w:val="6"/>
                <w:szCs w:val="6"/>
                <w:color w:val="auto"/>
              </w:rPr>
            </w:pPr>
          </w:p>
        </w:tc>
        <w:tc>
          <w:tcPr>
            <w:tcW w:w="9180" w:type="dxa"/>
            <w:vAlign w:val="bottom"/>
          </w:tcPr>
          <w:p>
            <w:pPr>
              <w:ind w:left="200"/>
              <w:spacing w:after="0" w:line="70" w:lineRule="exact"/>
              <w:rPr>
                <w:sz w:val="20"/>
                <w:szCs w:val="20"/>
                <w:color w:val="auto"/>
              </w:rPr>
            </w:pPr>
            <w:r>
              <w:rPr>
                <w:rFonts w:ascii="Arial" w:cs="Arial" w:eastAsia="Arial" w:hAnsi="Arial"/>
                <w:sz w:val="7"/>
                <w:szCs w:val="7"/>
                <w:color w:val="auto"/>
              </w:rPr>
              <w:t> </w:t>
            </w:r>
          </w:p>
        </w:tc>
      </w:tr>
      <w:tr>
        <w:trPr>
          <w:trHeight w:val="155"/>
        </w:trPr>
        <w:tc>
          <w:tcPr>
            <w:tcW w:w="2100" w:type="dxa"/>
            <w:vAlign w:val="bottom"/>
          </w:tcPr>
          <w:p>
            <w:pPr>
              <w:spacing w:after="0"/>
              <w:rPr>
                <w:sz w:val="13"/>
                <w:szCs w:val="13"/>
                <w:color w:val="auto"/>
              </w:rPr>
            </w:pPr>
          </w:p>
        </w:tc>
        <w:tc>
          <w:tcPr>
            <w:tcW w:w="9180" w:type="dxa"/>
            <w:vAlign w:val="bottom"/>
          </w:tcPr>
          <w:p>
            <w:pPr>
              <w:ind w:left="200"/>
              <w:spacing w:after="0" w:line="155" w:lineRule="exact"/>
              <w:rPr>
                <w:sz w:val="20"/>
                <w:szCs w:val="20"/>
                <w:color w:val="auto"/>
              </w:rPr>
            </w:pPr>
            <w:r>
              <w:rPr>
                <w:rFonts w:ascii="Arial" w:cs="Arial" w:eastAsia="Arial" w:hAnsi="Arial"/>
                <w:sz w:val="14"/>
                <w:szCs w:val="14"/>
                <w:color w:val="auto"/>
              </w:rPr>
              <w:t>If the Notes are redeemed, you will receive a cash payment equal to the Principal Amount plus the related Interest Payment on the applicable</w:t>
            </w:r>
          </w:p>
        </w:tc>
      </w:tr>
      <w:tr>
        <w:trPr>
          <w:trHeight w:val="168"/>
        </w:trPr>
        <w:tc>
          <w:tcPr>
            <w:tcW w:w="2100" w:type="dxa"/>
            <w:vAlign w:val="bottom"/>
          </w:tcPr>
          <w:p>
            <w:pPr>
              <w:spacing w:after="0"/>
              <w:rPr>
                <w:sz w:val="14"/>
                <w:szCs w:val="14"/>
                <w:color w:val="auto"/>
              </w:rPr>
            </w:pPr>
          </w:p>
        </w:tc>
        <w:tc>
          <w:tcPr>
            <w:tcW w:w="9180" w:type="dxa"/>
            <w:vAlign w:val="bottom"/>
          </w:tcPr>
          <w:p>
            <w:pPr>
              <w:ind w:left="200"/>
              <w:spacing w:after="0"/>
              <w:rPr>
                <w:sz w:val="20"/>
                <w:szCs w:val="20"/>
                <w:color w:val="auto"/>
              </w:rPr>
            </w:pPr>
            <w:r>
              <w:rPr>
                <w:rFonts w:ascii="Arial" w:cs="Arial" w:eastAsia="Arial" w:hAnsi="Arial"/>
                <w:sz w:val="14"/>
                <w:szCs w:val="14"/>
                <w:color w:val="auto"/>
              </w:rPr>
              <w:t>Call Payment Date.</w:t>
            </w:r>
          </w:p>
        </w:tc>
      </w:tr>
      <w:tr>
        <w:trPr>
          <w:trHeight w:val="70"/>
        </w:trPr>
        <w:tc>
          <w:tcPr>
            <w:tcW w:w="2100" w:type="dxa"/>
            <w:vAlign w:val="bottom"/>
          </w:tcPr>
          <w:p>
            <w:pPr>
              <w:spacing w:after="0"/>
              <w:rPr>
                <w:sz w:val="6"/>
                <w:szCs w:val="6"/>
                <w:color w:val="auto"/>
              </w:rPr>
            </w:pPr>
          </w:p>
        </w:tc>
        <w:tc>
          <w:tcPr>
            <w:tcW w:w="9180" w:type="dxa"/>
            <w:vAlign w:val="bottom"/>
          </w:tcPr>
          <w:p>
            <w:pPr>
              <w:ind w:left="200"/>
              <w:spacing w:after="0" w:line="70" w:lineRule="exact"/>
              <w:rPr>
                <w:sz w:val="20"/>
                <w:szCs w:val="20"/>
                <w:color w:val="auto"/>
              </w:rPr>
            </w:pPr>
            <w:r>
              <w:rPr>
                <w:rFonts w:ascii="Arial" w:cs="Arial" w:eastAsia="Arial" w:hAnsi="Arial"/>
                <w:sz w:val="7"/>
                <w:szCs w:val="7"/>
                <w:color w:val="auto"/>
              </w:rPr>
              <w:t> </w:t>
            </w:r>
          </w:p>
        </w:tc>
      </w:tr>
      <w:tr>
        <w:trPr>
          <w:trHeight w:val="155"/>
        </w:trPr>
        <w:tc>
          <w:tcPr>
            <w:tcW w:w="2100" w:type="dxa"/>
            <w:vAlign w:val="bottom"/>
          </w:tcPr>
          <w:p>
            <w:pPr>
              <w:spacing w:after="0"/>
              <w:rPr>
                <w:sz w:val="13"/>
                <w:szCs w:val="13"/>
                <w:color w:val="auto"/>
              </w:rPr>
            </w:pPr>
          </w:p>
        </w:tc>
        <w:tc>
          <w:tcPr>
            <w:tcW w:w="9180" w:type="dxa"/>
            <w:vAlign w:val="bottom"/>
          </w:tcPr>
          <w:p>
            <w:pPr>
              <w:ind w:left="200"/>
              <w:spacing w:after="0" w:line="155" w:lineRule="exact"/>
              <w:rPr>
                <w:sz w:val="20"/>
                <w:szCs w:val="20"/>
                <w:color w:val="auto"/>
              </w:rPr>
            </w:pPr>
            <w:r>
              <w:rPr>
                <w:rFonts w:ascii="Arial" w:cs="Arial" w:eastAsia="Arial" w:hAnsi="Arial"/>
                <w:sz w:val="14"/>
                <w:szCs w:val="14"/>
                <w:color w:val="auto"/>
              </w:rPr>
              <w:t>If the Notes are redeemed early, they will cease to be outstanding on the related Call Payment Date, and no further payments will be made on</w:t>
            </w:r>
          </w:p>
        </w:tc>
      </w:tr>
      <w:tr>
        <w:trPr>
          <w:trHeight w:val="186"/>
        </w:trPr>
        <w:tc>
          <w:tcPr>
            <w:tcW w:w="2100" w:type="dxa"/>
            <w:vAlign w:val="bottom"/>
          </w:tcPr>
          <w:p>
            <w:pPr>
              <w:spacing w:after="0"/>
              <w:rPr>
                <w:sz w:val="16"/>
                <w:szCs w:val="16"/>
                <w:color w:val="auto"/>
              </w:rPr>
            </w:pPr>
          </w:p>
        </w:tc>
        <w:tc>
          <w:tcPr>
            <w:tcW w:w="9180" w:type="dxa"/>
            <w:vAlign w:val="bottom"/>
          </w:tcPr>
          <w:p>
            <w:pPr>
              <w:ind w:left="200"/>
              <w:spacing w:after="0"/>
              <w:rPr>
                <w:sz w:val="20"/>
                <w:szCs w:val="20"/>
                <w:color w:val="auto"/>
              </w:rPr>
            </w:pPr>
            <w:r>
              <w:rPr>
                <w:rFonts w:ascii="Arial" w:cs="Arial" w:eastAsia="Arial" w:hAnsi="Arial"/>
                <w:sz w:val="14"/>
                <w:szCs w:val="14"/>
                <w:color w:val="auto"/>
              </w:rPr>
              <w:t>the Notes.</w:t>
            </w:r>
          </w:p>
        </w:tc>
      </w:tr>
      <w:tr>
        <w:trPr>
          <w:trHeight w:val="242"/>
        </w:trPr>
        <w:tc>
          <w:tcPr>
            <w:tcW w:w="2100" w:type="dxa"/>
            <w:vAlign w:val="bottom"/>
          </w:tcPr>
          <w:p>
            <w:pPr>
              <w:ind w:left="40"/>
              <w:spacing w:after="0"/>
              <w:rPr>
                <w:sz w:val="20"/>
                <w:szCs w:val="20"/>
                <w:color w:val="auto"/>
              </w:rPr>
            </w:pPr>
            <w:r>
              <w:rPr>
                <w:rFonts w:ascii="Arial" w:cs="Arial" w:eastAsia="Arial" w:hAnsi="Arial"/>
                <w:sz w:val="14"/>
                <w:szCs w:val="14"/>
                <w:b w:val="1"/>
                <w:bCs w:val="1"/>
                <w:color w:val="777777"/>
              </w:rPr>
              <w:t>Call Payment Dates:</w:t>
            </w:r>
          </w:p>
        </w:tc>
        <w:tc>
          <w:tcPr>
            <w:tcW w:w="9180" w:type="dxa"/>
            <w:vAlign w:val="bottom"/>
          </w:tcPr>
          <w:p>
            <w:pPr>
              <w:ind w:left="200"/>
              <w:spacing w:after="0"/>
              <w:rPr>
                <w:sz w:val="20"/>
                <w:szCs w:val="20"/>
                <w:color w:val="auto"/>
              </w:rPr>
            </w:pPr>
            <w:r>
              <w:rPr>
                <w:rFonts w:ascii="Arial" w:cs="Arial" w:eastAsia="Arial" w:hAnsi="Arial"/>
                <w:sz w:val="14"/>
                <w:szCs w:val="14"/>
                <w:color w:val="auto"/>
              </w:rPr>
              <w:t>The Interest Payment Dates beginning on September 22, 2026 and ending on March 22, 2027.</w:t>
            </w:r>
          </w:p>
        </w:tc>
      </w:tr>
      <w:tr>
        <w:trPr>
          <w:trHeight w:val="199"/>
        </w:trPr>
        <w:tc>
          <w:tcPr>
            <w:tcW w:w="2100" w:type="dxa"/>
            <w:vAlign w:val="bottom"/>
          </w:tcPr>
          <w:p>
            <w:pPr>
              <w:ind w:left="40"/>
              <w:spacing w:after="0"/>
              <w:rPr>
                <w:sz w:val="20"/>
                <w:szCs w:val="20"/>
                <w:color w:val="auto"/>
              </w:rPr>
            </w:pPr>
            <w:r>
              <w:rPr>
                <w:rFonts w:ascii="Arial" w:cs="Arial" w:eastAsia="Arial" w:hAnsi="Arial"/>
                <w:sz w:val="14"/>
                <w:szCs w:val="14"/>
                <w:b w:val="1"/>
                <w:bCs w:val="1"/>
                <w:color w:val="777777"/>
              </w:rPr>
              <w:t>Interest Payments:</w:t>
            </w:r>
          </w:p>
        </w:tc>
        <w:tc>
          <w:tcPr>
            <w:tcW w:w="9180" w:type="dxa"/>
            <w:vAlign w:val="bottom"/>
          </w:tcPr>
          <w:p>
            <w:pPr>
              <w:ind w:left="200"/>
              <w:spacing w:after="0"/>
              <w:rPr>
                <w:sz w:val="20"/>
                <w:szCs w:val="20"/>
                <w:color w:val="auto"/>
              </w:rPr>
            </w:pPr>
            <w:r>
              <w:rPr>
                <w:rFonts w:ascii="Arial" w:cs="Arial" w:eastAsia="Arial" w:hAnsi="Arial"/>
                <w:sz w:val="14"/>
                <w:szCs w:val="14"/>
                <w:color w:val="auto"/>
              </w:rPr>
              <w:t>Regardless of the performance of any Underlying, you will receive a quarterly fixed interest payment of $34.38 per $1,000 Principal Amount (or</w:t>
            </w:r>
          </w:p>
        </w:tc>
      </w:tr>
      <w:tr>
        <w:trPr>
          <w:trHeight w:val="159"/>
        </w:trPr>
        <w:tc>
          <w:tcPr>
            <w:tcW w:w="2100" w:type="dxa"/>
            <w:vAlign w:val="bottom"/>
          </w:tcPr>
          <w:p>
            <w:pPr>
              <w:spacing w:after="0"/>
              <w:rPr>
                <w:sz w:val="13"/>
                <w:szCs w:val="13"/>
                <w:color w:val="auto"/>
              </w:rPr>
            </w:pPr>
          </w:p>
        </w:tc>
        <w:tc>
          <w:tcPr>
            <w:tcW w:w="9180" w:type="dxa"/>
            <w:vAlign w:val="bottom"/>
          </w:tcPr>
          <w:p>
            <w:pPr>
              <w:ind w:left="200"/>
              <w:spacing w:after="0" w:line="159" w:lineRule="exact"/>
              <w:rPr>
                <w:sz w:val="20"/>
                <w:szCs w:val="20"/>
                <w:color w:val="auto"/>
              </w:rPr>
            </w:pPr>
            <w:r>
              <w:rPr>
                <w:rFonts w:ascii="Arial" w:cs="Arial" w:eastAsia="Arial" w:hAnsi="Arial"/>
                <w:sz w:val="14"/>
                <w:szCs w:val="14"/>
                <w:color w:val="auto"/>
              </w:rPr>
              <w:t>3.438% of the Principal Amount, equivalent to 13.752% per annum) (an “Interest Payment”) on each Interest Payment Date until the earlier of</w:t>
            </w:r>
          </w:p>
        </w:tc>
      </w:tr>
      <w:tr>
        <w:trPr>
          <w:trHeight w:val="186"/>
        </w:trPr>
        <w:tc>
          <w:tcPr>
            <w:tcW w:w="2100" w:type="dxa"/>
            <w:vAlign w:val="bottom"/>
          </w:tcPr>
          <w:p>
            <w:pPr>
              <w:spacing w:after="0"/>
              <w:rPr>
                <w:sz w:val="16"/>
                <w:szCs w:val="16"/>
                <w:color w:val="auto"/>
              </w:rPr>
            </w:pPr>
          </w:p>
        </w:tc>
        <w:tc>
          <w:tcPr>
            <w:tcW w:w="9180" w:type="dxa"/>
            <w:vAlign w:val="bottom"/>
          </w:tcPr>
          <w:p>
            <w:pPr>
              <w:ind w:left="200"/>
              <w:spacing w:after="0"/>
              <w:rPr>
                <w:sz w:val="20"/>
                <w:szCs w:val="20"/>
                <w:color w:val="auto"/>
              </w:rPr>
            </w:pPr>
            <w:r>
              <w:rPr>
                <w:rFonts w:ascii="Arial" w:cs="Arial" w:eastAsia="Arial" w:hAnsi="Arial"/>
                <w:sz w:val="14"/>
                <w:szCs w:val="14"/>
                <w:color w:val="auto"/>
              </w:rPr>
              <w:t>maturity or early redemption.</w:t>
            </w:r>
          </w:p>
        </w:tc>
      </w:tr>
      <w:tr>
        <w:trPr>
          <w:trHeight w:val="207"/>
        </w:trPr>
        <w:tc>
          <w:tcPr>
            <w:tcW w:w="2100" w:type="dxa"/>
            <w:vAlign w:val="bottom"/>
          </w:tcPr>
          <w:p>
            <w:pPr>
              <w:ind w:left="40"/>
              <w:spacing w:after="0"/>
              <w:rPr>
                <w:sz w:val="20"/>
                <w:szCs w:val="20"/>
                <w:color w:val="auto"/>
              </w:rPr>
            </w:pPr>
            <w:r>
              <w:rPr>
                <w:rFonts w:ascii="Arial" w:cs="Arial" w:eastAsia="Arial" w:hAnsi="Arial"/>
                <w:sz w:val="14"/>
                <w:szCs w:val="14"/>
                <w:b w:val="1"/>
                <w:bCs w:val="1"/>
                <w:color w:val="777777"/>
              </w:rPr>
              <w:t>Interest Payment Dates:</w:t>
            </w:r>
          </w:p>
        </w:tc>
        <w:tc>
          <w:tcPr>
            <w:tcW w:w="9180" w:type="dxa"/>
            <w:vAlign w:val="bottom"/>
          </w:tcPr>
          <w:p>
            <w:pPr>
              <w:ind w:left="200"/>
              <w:spacing w:after="0"/>
              <w:rPr>
                <w:sz w:val="20"/>
                <w:szCs w:val="20"/>
                <w:color w:val="auto"/>
              </w:rPr>
            </w:pPr>
            <w:r>
              <w:rPr>
                <w:rFonts w:ascii="Arial" w:cs="Arial" w:eastAsia="Arial" w:hAnsi="Arial"/>
                <w:sz w:val="14"/>
                <w:szCs w:val="14"/>
                <w:color w:val="auto"/>
              </w:rPr>
              <w:t>Quarterly, on September 22, 2026, December 22, 2026, March 22, 2027, and June 29, 2027. Each Interest Payment Date is subject to</w:t>
            </w:r>
          </w:p>
        </w:tc>
      </w:tr>
      <w:tr>
        <w:trPr>
          <w:trHeight w:val="159"/>
        </w:trPr>
        <w:tc>
          <w:tcPr>
            <w:tcW w:w="2100" w:type="dxa"/>
            <w:vAlign w:val="bottom"/>
          </w:tcPr>
          <w:p>
            <w:pPr>
              <w:spacing w:after="0"/>
              <w:rPr>
                <w:sz w:val="13"/>
                <w:szCs w:val="13"/>
                <w:color w:val="auto"/>
              </w:rPr>
            </w:pPr>
          </w:p>
        </w:tc>
        <w:tc>
          <w:tcPr>
            <w:tcW w:w="9180" w:type="dxa"/>
            <w:vAlign w:val="bottom"/>
          </w:tcPr>
          <w:p>
            <w:pPr>
              <w:ind w:left="200"/>
              <w:spacing w:after="0" w:line="159" w:lineRule="exact"/>
              <w:rPr>
                <w:sz w:val="20"/>
                <w:szCs w:val="20"/>
                <w:color w:val="auto"/>
              </w:rPr>
            </w:pPr>
            <w:r>
              <w:rPr>
                <w:rFonts w:ascii="Arial" w:cs="Arial" w:eastAsia="Arial" w:hAnsi="Arial"/>
                <w:sz w:val="14"/>
                <w:szCs w:val="14"/>
                <w:color w:val="auto"/>
              </w:rPr>
              <w:t>postponement as described under “Additional Terms of the Notes—Interest Payment Dates, Coupon Payment Dates, Call Payment Dates and</w:t>
            </w:r>
          </w:p>
        </w:tc>
      </w:tr>
      <w:tr>
        <w:trPr>
          <w:trHeight w:val="186"/>
        </w:trPr>
        <w:tc>
          <w:tcPr>
            <w:tcW w:w="2100" w:type="dxa"/>
            <w:vAlign w:val="bottom"/>
          </w:tcPr>
          <w:p>
            <w:pPr>
              <w:spacing w:after="0"/>
              <w:rPr>
                <w:sz w:val="16"/>
                <w:szCs w:val="16"/>
                <w:color w:val="auto"/>
              </w:rPr>
            </w:pPr>
          </w:p>
        </w:tc>
        <w:tc>
          <w:tcPr>
            <w:tcW w:w="9180" w:type="dxa"/>
            <w:vAlign w:val="bottom"/>
          </w:tcPr>
          <w:p>
            <w:pPr>
              <w:ind w:left="200"/>
              <w:spacing w:after="0"/>
              <w:rPr>
                <w:sz w:val="20"/>
                <w:szCs w:val="20"/>
                <w:color w:val="auto"/>
              </w:rPr>
            </w:pPr>
            <w:r>
              <w:rPr>
                <w:rFonts w:ascii="Arial" w:cs="Arial" w:eastAsia="Arial" w:hAnsi="Arial"/>
                <w:sz w:val="14"/>
                <w:szCs w:val="14"/>
                <w:color w:val="auto"/>
              </w:rPr>
              <w:t>Maturity Date” in the underlying supplement.</w:t>
            </w:r>
          </w:p>
        </w:tc>
      </w:tr>
      <w:tr>
        <w:trPr>
          <w:trHeight w:val="207"/>
        </w:trPr>
        <w:tc>
          <w:tcPr>
            <w:tcW w:w="2100" w:type="dxa"/>
            <w:vAlign w:val="bottom"/>
          </w:tcPr>
          <w:p>
            <w:pPr>
              <w:ind w:left="40"/>
              <w:spacing w:after="0"/>
              <w:rPr>
                <w:sz w:val="20"/>
                <w:szCs w:val="20"/>
                <w:color w:val="auto"/>
              </w:rPr>
            </w:pPr>
            <w:r>
              <w:rPr>
                <w:rFonts w:ascii="Arial" w:cs="Arial" w:eastAsia="Arial" w:hAnsi="Arial"/>
                <w:sz w:val="14"/>
                <w:szCs w:val="14"/>
                <w:b w:val="1"/>
                <w:bCs w:val="1"/>
                <w:color w:val="777777"/>
              </w:rPr>
              <w:t>Barrier Value:</w:t>
            </w:r>
          </w:p>
        </w:tc>
        <w:tc>
          <w:tcPr>
            <w:tcW w:w="9180" w:type="dxa"/>
            <w:vAlign w:val="bottom"/>
          </w:tcPr>
          <w:p>
            <w:pPr>
              <w:ind w:left="200"/>
              <w:spacing w:after="0"/>
              <w:rPr>
                <w:sz w:val="20"/>
                <w:szCs w:val="20"/>
                <w:color w:val="auto"/>
              </w:rPr>
            </w:pPr>
            <w:r>
              <w:rPr>
                <w:rFonts w:ascii="Arial" w:cs="Arial" w:eastAsia="Arial" w:hAnsi="Arial"/>
                <w:sz w:val="14"/>
                <w:szCs w:val="14"/>
                <w:color w:val="auto"/>
              </w:rPr>
              <w:t>5,194.07 with respect to the SPX, 2,042.587 with respect to the RTY, and 20,769.67 with respect to the NDX, each of which is 70% of its Initial</w:t>
            </w:r>
          </w:p>
        </w:tc>
      </w:tr>
      <w:tr>
        <w:trPr>
          <w:trHeight w:val="186"/>
        </w:trPr>
        <w:tc>
          <w:tcPr>
            <w:tcW w:w="2100" w:type="dxa"/>
            <w:vAlign w:val="bottom"/>
          </w:tcPr>
          <w:p>
            <w:pPr>
              <w:spacing w:after="0"/>
              <w:rPr>
                <w:sz w:val="16"/>
                <w:szCs w:val="16"/>
                <w:color w:val="auto"/>
              </w:rPr>
            </w:pPr>
          </w:p>
        </w:tc>
        <w:tc>
          <w:tcPr>
            <w:tcW w:w="9180" w:type="dxa"/>
            <w:vAlign w:val="bottom"/>
          </w:tcPr>
          <w:p>
            <w:pPr>
              <w:ind w:left="200"/>
              <w:spacing w:after="0"/>
              <w:rPr>
                <w:sz w:val="20"/>
                <w:szCs w:val="20"/>
                <w:color w:val="auto"/>
              </w:rPr>
            </w:pPr>
            <w:r>
              <w:rPr>
                <w:rFonts w:ascii="Arial" w:cs="Arial" w:eastAsia="Arial" w:hAnsi="Arial"/>
                <w:sz w:val="14"/>
                <w:szCs w:val="14"/>
                <w:color w:val="auto"/>
              </w:rPr>
              <w:t>Value (rounded to two decimal places for the NDX, and three decimal places for the RTY).</w:t>
            </w:r>
          </w:p>
        </w:tc>
      </w:tr>
      <w:tr>
        <w:trPr>
          <w:trHeight w:val="207"/>
        </w:trPr>
        <w:tc>
          <w:tcPr>
            <w:tcW w:w="2100" w:type="dxa"/>
            <w:vAlign w:val="bottom"/>
          </w:tcPr>
          <w:p>
            <w:pPr>
              <w:ind w:left="40"/>
              <w:spacing w:after="0"/>
              <w:rPr>
                <w:sz w:val="20"/>
                <w:szCs w:val="20"/>
                <w:color w:val="auto"/>
              </w:rPr>
            </w:pPr>
            <w:r>
              <w:rPr>
                <w:rFonts w:ascii="Arial" w:cs="Arial" w:eastAsia="Arial" w:hAnsi="Arial"/>
                <w:sz w:val="14"/>
                <w:szCs w:val="14"/>
                <w:b w:val="1"/>
                <w:bCs w:val="1"/>
                <w:color w:val="777777"/>
              </w:rPr>
              <w:t>Trigger Event:</w:t>
            </w:r>
          </w:p>
        </w:tc>
        <w:tc>
          <w:tcPr>
            <w:tcW w:w="9180" w:type="dxa"/>
            <w:vAlign w:val="bottom"/>
          </w:tcPr>
          <w:p>
            <w:pPr>
              <w:ind w:left="200"/>
              <w:spacing w:after="0"/>
              <w:rPr>
                <w:sz w:val="20"/>
                <w:szCs w:val="20"/>
                <w:color w:val="auto"/>
              </w:rPr>
            </w:pPr>
            <w:r>
              <w:rPr>
                <w:rFonts w:ascii="Arial" w:cs="Arial" w:eastAsia="Arial" w:hAnsi="Arial"/>
                <w:sz w:val="14"/>
                <w:szCs w:val="14"/>
                <w:color w:val="auto"/>
              </w:rPr>
              <w:t>A Trigger Event occurs if the Closing Level of any Underlying is at or below its Barrier Value on any Trading Day during the Observation</w:t>
            </w:r>
          </w:p>
        </w:tc>
      </w:tr>
      <w:tr>
        <w:trPr>
          <w:trHeight w:val="159"/>
        </w:trPr>
        <w:tc>
          <w:tcPr>
            <w:tcW w:w="2100" w:type="dxa"/>
            <w:vAlign w:val="bottom"/>
          </w:tcPr>
          <w:p>
            <w:pPr>
              <w:spacing w:after="0"/>
              <w:rPr>
                <w:sz w:val="13"/>
                <w:szCs w:val="13"/>
                <w:color w:val="auto"/>
              </w:rPr>
            </w:pPr>
          </w:p>
        </w:tc>
        <w:tc>
          <w:tcPr>
            <w:tcW w:w="9180" w:type="dxa"/>
            <w:vAlign w:val="bottom"/>
          </w:tcPr>
          <w:p>
            <w:pPr>
              <w:ind w:left="200"/>
              <w:spacing w:after="0" w:line="159" w:lineRule="exact"/>
              <w:rPr>
                <w:sz w:val="20"/>
                <w:szCs w:val="20"/>
                <w:color w:val="auto"/>
              </w:rPr>
            </w:pPr>
            <w:r>
              <w:rPr>
                <w:rFonts w:ascii="Arial" w:cs="Arial" w:eastAsia="Arial" w:hAnsi="Arial"/>
                <w:sz w:val="14"/>
                <w:szCs w:val="14"/>
                <w:color w:val="auto"/>
              </w:rPr>
              <w:t>Period. If a Market Disruption Event occurs with respect to any Underlying or its Closing Level is otherwise unavailable on any Trading Day</w:t>
            </w:r>
          </w:p>
        </w:tc>
      </w:tr>
      <w:tr>
        <w:trPr>
          <w:trHeight w:val="159"/>
        </w:trPr>
        <w:tc>
          <w:tcPr>
            <w:tcW w:w="2100" w:type="dxa"/>
            <w:vAlign w:val="bottom"/>
          </w:tcPr>
          <w:p>
            <w:pPr>
              <w:spacing w:after="0"/>
              <w:rPr>
                <w:sz w:val="13"/>
                <w:szCs w:val="13"/>
                <w:color w:val="auto"/>
              </w:rPr>
            </w:pPr>
          </w:p>
        </w:tc>
        <w:tc>
          <w:tcPr>
            <w:tcW w:w="9180" w:type="dxa"/>
            <w:vAlign w:val="bottom"/>
          </w:tcPr>
          <w:p>
            <w:pPr>
              <w:ind w:left="200"/>
              <w:spacing w:after="0" w:line="159" w:lineRule="exact"/>
              <w:rPr>
                <w:sz w:val="20"/>
                <w:szCs w:val="20"/>
                <w:color w:val="auto"/>
              </w:rPr>
            </w:pPr>
            <w:r>
              <w:rPr>
                <w:rFonts w:ascii="Arial" w:cs="Arial" w:eastAsia="Arial" w:hAnsi="Arial"/>
                <w:sz w:val="14"/>
                <w:szCs w:val="14"/>
                <w:color w:val="auto"/>
              </w:rPr>
              <w:t>during the Observation Period, the Closing Level of such Underlying on such Trading Day will be disregarded for purpose of determining the</w:t>
            </w:r>
          </w:p>
        </w:tc>
      </w:tr>
      <w:tr>
        <w:trPr>
          <w:trHeight w:val="186"/>
        </w:trPr>
        <w:tc>
          <w:tcPr>
            <w:tcW w:w="2100" w:type="dxa"/>
            <w:vAlign w:val="bottom"/>
          </w:tcPr>
          <w:p>
            <w:pPr>
              <w:spacing w:after="0"/>
              <w:rPr>
                <w:sz w:val="16"/>
                <w:szCs w:val="16"/>
                <w:color w:val="auto"/>
              </w:rPr>
            </w:pPr>
          </w:p>
        </w:tc>
        <w:tc>
          <w:tcPr>
            <w:tcW w:w="9180" w:type="dxa"/>
            <w:vAlign w:val="bottom"/>
          </w:tcPr>
          <w:p>
            <w:pPr>
              <w:ind w:left="200"/>
              <w:spacing w:after="0"/>
              <w:rPr>
                <w:sz w:val="20"/>
                <w:szCs w:val="20"/>
                <w:color w:val="auto"/>
              </w:rPr>
            </w:pPr>
            <w:r>
              <w:rPr>
                <w:rFonts w:ascii="Arial" w:cs="Arial" w:eastAsia="Arial" w:hAnsi="Arial"/>
                <w:sz w:val="14"/>
                <w:szCs w:val="14"/>
                <w:color w:val="auto"/>
              </w:rPr>
              <w:t>occurrence of a Trigger Event.</w:t>
            </w:r>
          </w:p>
        </w:tc>
      </w:tr>
      <w:tr>
        <w:trPr>
          <w:trHeight w:val="242"/>
        </w:trPr>
        <w:tc>
          <w:tcPr>
            <w:tcW w:w="2100" w:type="dxa"/>
            <w:vAlign w:val="bottom"/>
          </w:tcPr>
          <w:p>
            <w:pPr>
              <w:ind w:left="40"/>
              <w:spacing w:after="0"/>
              <w:rPr>
                <w:sz w:val="20"/>
                <w:szCs w:val="20"/>
                <w:color w:val="auto"/>
              </w:rPr>
            </w:pPr>
            <w:r>
              <w:rPr>
                <w:rFonts w:ascii="Arial" w:cs="Arial" w:eastAsia="Arial" w:hAnsi="Arial"/>
                <w:sz w:val="14"/>
                <w:szCs w:val="14"/>
                <w:b w:val="1"/>
                <w:bCs w:val="1"/>
                <w:color w:val="777777"/>
              </w:rPr>
              <w:t>Observation Period:</w:t>
            </w:r>
          </w:p>
        </w:tc>
        <w:tc>
          <w:tcPr>
            <w:tcW w:w="9180" w:type="dxa"/>
            <w:vAlign w:val="bottom"/>
          </w:tcPr>
          <w:p>
            <w:pPr>
              <w:ind w:left="200"/>
              <w:spacing w:after="0"/>
              <w:rPr>
                <w:sz w:val="20"/>
                <w:szCs w:val="20"/>
                <w:color w:val="auto"/>
              </w:rPr>
            </w:pPr>
            <w:r>
              <w:rPr>
                <w:rFonts w:ascii="Arial" w:cs="Arial" w:eastAsia="Arial" w:hAnsi="Arial"/>
                <w:sz w:val="14"/>
                <w:szCs w:val="14"/>
                <w:color w:val="auto"/>
              </w:rPr>
              <w:t>The period from but excluding the Pricing Date to and including the Final Valuation Date.</w:t>
            </w:r>
          </w:p>
        </w:tc>
      </w:tr>
      <w:tr>
        <w:trPr>
          <w:trHeight w:val="215"/>
        </w:trPr>
        <w:tc>
          <w:tcPr>
            <w:tcW w:w="2100" w:type="dxa"/>
            <w:vAlign w:val="bottom"/>
          </w:tcPr>
          <w:p>
            <w:pPr>
              <w:spacing w:after="0"/>
              <w:rPr>
                <w:sz w:val="20"/>
                <w:szCs w:val="20"/>
                <w:color w:val="auto"/>
              </w:rPr>
            </w:pPr>
            <w:r>
              <w:rPr>
                <w:rFonts w:ascii="Arial" w:cs="Arial" w:eastAsia="Arial" w:hAnsi="Arial"/>
                <w:sz w:val="14"/>
                <w:szCs w:val="14"/>
                <w:color w:val="777777"/>
              </w:rPr>
              <w:t> </w:t>
            </w:r>
          </w:p>
        </w:tc>
        <w:tc>
          <w:tcPr>
            <w:tcW w:w="9180" w:type="dxa"/>
            <w:vAlign w:val="bottom"/>
          </w:tcPr>
          <w:p>
            <w:pPr>
              <w:spacing w:after="0"/>
              <w:rPr>
                <w:sz w:val="18"/>
                <w:szCs w:val="18"/>
                <w:color w:val="auto"/>
              </w:rPr>
            </w:pPr>
          </w:p>
        </w:tc>
      </w:tr>
      <w:tr>
        <w:trPr>
          <w:trHeight w:val="317"/>
        </w:trPr>
        <w:tc>
          <w:tcPr>
            <w:tcW w:w="210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3380"/>
              <w:spacing w:after="0"/>
              <w:rPr>
                <w:sz w:val="20"/>
                <w:szCs w:val="20"/>
                <w:color w:val="auto"/>
              </w:rPr>
            </w:pPr>
            <w:r>
              <w:rPr>
                <w:rFonts w:ascii="Arial" w:cs="Arial" w:eastAsia="Arial" w:hAnsi="Arial"/>
                <w:sz w:val="14"/>
                <w:szCs w:val="14"/>
                <w:color w:val="auto"/>
              </w:rPr>
              <w:t>PS-2 </w:t>
            </w:r>
          </w:p>
        </w:tc>
      </w:tr>
    </w:tbl>
    <w:p>
      <w:pPr>
        <w:sectPr>
          <w:pgSz w:w="11900" w:h="16838" w:orient="portrait"/>
          <w:cols w:equalWidth="0" w:num="1">
            <w:col w:w="11280"/>
          </w:cols>
          <w:pgMar w:left="300" w:top="204"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t> </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ind w:left="40"/>
              <w:spacing w:after="0"/>
              <w:rPr>
                <w:sz w:val="20"/>
                <w:szCs w:val="20"/>
                <w:color w:val="auto"/>
              </w:rPr>
            </w:pPr>
            <w:r>
              <w:rPr>
                <w:rFonts w:ascii="Arial" w:cs="Arial" w:eastAsia="Arial" w:hAnsi="Arial"/>
                <w:sz w:val="14"/>
                <w:szCs w:val="14"/>
                <w:b w:val="1"/>
                <w:bCs w:val="1"/>
                <w:color w:val="777777"/>
              </w:rPr>
              <w:t>Payment at Maturity:</w:t>
            </w:r>
          </w:p>
        </w:tc>
        <w:tc>
          <w:tcPr>
            <w:tcW w:w="9320" w:type="dxa"/>
            <w:vAlign w:val="bottom"/>
            <w:gridSpan w:val="3"/>
          </w:tcPr>
          <w:p>
            <w:pPr>
              <w:ind w:left="360"/>
              <w:spacing w:after="0"/>
              <w:rPr>
                <w:sz w:val="20"/>
                <w:szCs w:val="20"/>
                <w:color w:val="auto"/>
              </w:rPr>
            </w:pPr>
            <w:r>
              <w:rPr>
                <w:rFonts w:ascii="Arial" w:cs="Arial" w:eastAsia="Arial" w:hAnsi="Arial"/>
                <w:sz w:val="14"/>
                <w:szCs w:val="14"/>
                <w:color w:val="auto"/>
              </w:rPr>
              <w:t>Unless the Notes are redeemed, for each $1,000 Principal Amount, in addition to the final Interest Payment, you will receive a cash payment</w:t>
            </w:r>
          </w:p>
        </w:tc>
      </w:tr>
      <w:tr>
        <w:trPr>
          <w:trHeight w:val="168"/>
        </w:trPr>
        <w:tc>
          <w:tcPr>
            <w:tcW w:w="1940" w:type="dxa"/>
            <w:vAlign w:val="bottom"/>
          </w:tcPr>
          <w:p>
            <w:pPr>
              <w:spacing w:after="0"/>
              <w:rPr>
                <w:sz w:val="14"/>
                <w:szCs w:val="14"/>
                <w:color w:val="auto"/>
              </w:rPr>
            </w:pPr>
          </w:p>
        </w:tc>
        <w:tc>
          <w:tcPr>
            <w:tcW w:w="9320" w:type="dxa"/>
            <w:vAlign w:val="bottom"/>
            <w:gridSpan w:val="3"/>
          </w:tcPr>
          <w:p>
            <w:pPr>
              <w:ind w:left="360"/>
              <w:spacing w:after="0"/>
              <w:rPr>
                <w:sz w:val="20"/>
                <w:szCs w:val="20"/>
                <w:color w:val="auto"/>
              </w:rPr>
            </w:pPr>
            <w:r>
              <w:rPr>
                <w:rFonts w:ascii="Arial" w:cs="Arial" w:eastAsia="Arial" w:hAnsi="Arial"/>
                <w:sz w:val="14"/>
                <w:szCs w:val="14"/>
                <w:color w:val="auto"/>
              </w:rPr>
              <w:t>on the Maturity Date, calculated as follows:</w:t>
            </w:r>
          </w:p>
        </w:tc>
      </w:tr>
      <w:tr>
        <w:trPr>
          <w:trHeight w:val="70"/>
        </w:trPr>
        <w:tc>
          <w:tcPr>
            <w:tcW w:w="1940" w:type="dxa"/>
            <w:vAlign w:val="bottom"/>
          </w:tcPr>
          <w:p>
            <w:pPr>
              <w:spacing w:after="0"/>
              <w:rPr>
                <w:sz w:val="6"/>
                <w:szCs w:val="6"/>
                <w:color w:val="auto"/>
              </w:rPr>
            </w:pPr>
          </w:p>
        </w:tc>
        <w:tc>
          <w:tcPr>
            <w:tcW w:w="9320" w:type="dxa"/>
            <w:vAlign w:val="bottom"/>
            <w:gridSpan w:val="3"/>
          </w:tcPr>
          <w:p>
            <w:pPr>
              <w:ind w:left="360"/>
              <w:spacing w:after="0" w:line="70" w:lineRule="exact"/>
              <w:rPr>
                <w:sz w:val="20"/>
                <w:szCs w:val="20"/>
                <w:color w:val="auto"/>
              </w:rPr>
            </w:pPr>
            <w:r>
              <w:rPr>
                <w:rFonts w:ascii="Arial" w:cs="Arial" w:eastAsia="Arial" w:hAnsi="Arial"/>
                <w:sz w:val="7"/>
                <w:szCs w:val="7"/>
                <w:color w:val="auto"/>
              </w:rPr>
              <w:t> </w:t>
            </w:r>
          </w:p>
        </w:tc>
      </w:tr>
      <w:tr>
        <w:trPr>
          <w:trHeight w:val="174"/>
        </w:trPr>
        <w:tc>
          <w:tcPr>
            <w:tcW w:w="1940" w:type="dxa"/>
            <w:vAlign w:val="bottom"/>
          </w:tcPr>
          <w:p>
            <w:pPr>
              <w:spacing w:after="0"/>
              <w:rPr>
                <w:sz w:val="15"/>
                <w:szCs w:val="15"/>
                <w:color w:val="auto"/>
              </w:rPr>
            </w:pPr>
          </w:p>
        </w:tc>
        <w:tc>
          <w:tcPr>
            <w:tcW w:w="9320" w:type="dxa"/>
            <w:vAlign w:val="bottom"/>
            <w:gridSpan w:val="3"/>
          </w:tcPr>
          <w:p>
            <w:pPr>
              <w:ind w:left="360"/>
              <w:spacing w:after="0"/>
              <w:rPr>
                <w:sz w:val="20"/>
                <w:szCs w:val="20"/>
                <w:color w:val="auto"/>
              </w:rPr>
            </w:pPr>
            <w:r>
              <w:rPr>
                <w:rFonts w:ascii="Wingdings" w:cs="Wingdings" w:eastAsia="Wingdings" w:hAnsi="Wingdings"/>
                <w:sz w:val="14"/>
                <w:szCs w:val="14"/>
                <w:b w:val="1"/>
                <w:bCs w:val="1"/>
                <w:color w:val="7030A0"/>
              </w:rPr>
              <w:t xml:space="preserve">n </w:t>
            </w:r>
            <w:r>
              <w:rPr>
                <w:rFonts w:ascii="Arial" w:cs="Arial" w:eastAsia="Arial" w:hAnsi="Arial"/>
                <w:sz w:val="14"/>
                <w:szCs w:val="14"/>
                <w:b w:val="1"/>
                <w:bCs w:val="1"/>
                <w:color w:val="000000"/>
              </w:rPr>
              <w:t>If a Trigger Event does not occur or the Final Value of the Worst Performing Underlying is at or above its Initial Value:</w:t>
            </w:r>
          </w:p>
        </w:tc>
      </w:tr>
      <w:tr>
        <w:trPr>
          <w:trHeight w:val="70"/>
        </w:trPr>
        <w:tc>
          <w:tcPr>
            <w:tcW w:w="1940" w:type="dxa"/>
            <w:vAlign w:val="bottom"/>
          </w:tcPr>
          <w:p>
            <w:pPr>
              <w:spacing w:after="0"/>
              <w:rPr>
                <w:sz w:val="6"/>
                <w:szCs w:val="6"/>
                <w:color w:val="auto"/>
              </w:rPr>
            </w:pPr>
          </w:p>
        </w:tc>
        <w:tc>
          <w:tcPr>
            <w:tcW w:w="9320" w:type="dxa"/>
            <w:vAlign w:val="bottom"/>
            <w:gridSpan w:val="3"/>
          </w:tcPr>
          <w:p>
            <w:pPr>
              <w:ind w:left="360"/>
              <w:spacing w:after="0" w:line="70" w:lineRule="exact"/>
              <w:rPr>
                <w:sz w:val="20"/>
                <w:szCs w:val="20"/>
                <w:color w:val="auto"/>
              </w:rPr>
            </w:pPr>
            <w:r>
              <w:rPr>
                <w:rFonts w:ascii="Arial" w:cs="Arial" w:eastAsia="Arial" w:hAnsi="Arial"/>
                <w:sz w:val="7"/>
                <w:szCs w:val="7"/>
                <w:color w:val="auto"/>
              </w:rPr>
              <w:t> </w:t>
            </w:r>
          </w:p>
        </w:tc>
      </w:tr>
      <w:tr>
        <w:trPr>
          <w:trHeight w:val="164"/>
        </w:trPr>
        <w:tc>
          <w:tcPr>
            <w:tcW w:w="1940" w:type="dxa"/>
            <w:vAlign w:val="bottom"/>
          </w:tcPr>
          <w:p>
            <w:pPr>
              <w:spacing w:after="0"/>
              <w:rPr>
                <w:sz w:val="14"/>
                <w:szCs w:val="14"/>
                <w:color w:val="auto"/>
              </w:rPr>
            </w:pPr>
          </w:p>
        </w:tc>
        <w:tc>
          <w:tcPr>
            <w:tcW w:w="4040" w:type="dxa"/>
            <w:vAlign w:val="bottom"/>
          </w:tcPr>
          <w:p>
            <w:pPr>
              <w:ind w:left="360"/>
              <w:spacing w:after="0"/>
              <w:rPr>
                <w:sz w:val="20"/>
                <w:szCs w:val="20"/>
                <w:color w:val="auto"/>
              </w:rPr>
            </w:pPr>
            <w:r>
              <w:rPr>
                <w:rFonts w:ascii="Arial" w:cs="Arial" w:eastAsia="Arial" w:hAnsi="Arial"/>
                <w:sz w:val="14"/>
                <w:szCs w:val="14"/>
                <w:color w:val="auto"/>
              </w:rPr>
              <w:t>$1,000</w:t>
            </w:r>
          </w:p>
        </w:tc>
        <w:tc>
          <w:tcPr>
            <w:tcW w:w="158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70"/>
        </w:trPr>
        <w:tc>
          <w:tcPr>
            <w:tcW w:w="1940" w:type="dxa"/>
            <w:vAlign w:val="bottom"/>
          </w:tcPr>
          <w:p>
            <w:pPr>
              <w:spacing w:after="0"/>
              <w:rPr>
                <w:sz w:val="6"/>
                <w:szCs w:val="6"/>
                <w:color w:val="auto"/>
              </w:rPr>
            </w:pPr>
          </w:p>
        </w:tc>
        <w:tc>
          <w:tcPr>
            <w:tcW w:w="9320" w:type="dxa"/>
            <w:vAlign w:val="bottom"/>
            <w:gridSpan w:val="3"/>
          </w:tcPr>
          <w:p>
            <w:pPr>
              <w:ind w:left="360"/>
              <w:spacing w:after="0" w:line="70" w:lineRule="exact"/>
              <w:rPr>
                <w:sz w:val="20"/>
                <w:szCs w:val="20"/>
                <w:color w:val="auto"/>
              </w:rPr>
            </w:pPr>
            <w:r>
              <w:rPr>
                <w:rFonts w:ascii="Arial" w:cs="Arial" w:eastAsia="Arial" w:hAnsi="Arial"/>
                <w:sz w:val="7"/>
                <w:szCs w:val="7"/>
                <w:color w:val="auto"/>
              </w:rPr>
              <w:t> </w:t>
            </w:r>
          </w:p>
        </w:tc>
      </w:tr>
      <w:tr>
        <w:trPr>
          <w:trHeight w:val="174"/>
        </w:trPr>
        <w:tc>
          <w:tcPr>
            <w:tcW w:w="1940" w:type="dxa"/>
            <w:vAlign w:val="bottom"/>
          </w:tcPr>
          <w:p>
            <w:pPr>
              <w:spacing w:after="0"/>
              <w:rPr>
                <w:sz w:val="15"/>
                <w:szCs w:val="15"/>
                <w:color w:val="auto"/>
              </w:rPr>
            </w:pPr>
          </w:p>
        </w:tc>
        <w:tc>
          <w:tcPr>
            <w:tcW w:w="9320" w:type="dxa"/>
            <w:vAlign w:val="bottom"/>
            <w:gridSpan w:val="3"/>
          </w:tcPr>
          <w:p>
            <w:pPr>
              <w:ind w:left="360"/>
              <w:spacing w:after="0"/>
              <w:rPr>
                <w:sz w:val="20"/>
                <w:szCs w:val="20"/>
                <w:color w:val="auto"/>
              </w:rPr>
            </w:pPr>
            <w:r>
              <w:rPr>
                <w:rFonts w:ascii="Wingdings" w:cs="Wingdings" w:eastAsia="Wingdings" w:hAnsi="Wingdings"/>
                <w:sz w:val="14"/>
                <w:szCs w:val="14"/>
                <w:b w:val="1"/>
                <w:bCs w:val="1"/>
                <w:color w:val="7030A0"/>
              </w:rPr>
              <w:t xml:space="preserve">n </w:t>
            </w:r>
            <w:r>
              <w:rPr>
                <w:rFonts w:ascii="Arial" w:cs="Arial" w:eastAsia="Arial" w:hAnsi="Arial"/>
                <w:sz w:val="14"/>
                <w:szCs w:val="14"/>
                <w:b w:val="1"/>
                <w:bCs w:val="1"/>
                <w:color w:val="000000"/>
              </w:rPr>
              <w:t>If a Trigger Event occurs and the Final Value of the Worst Performing Underlying is below its Initial Value:</w:t>
            </w:r>
          </w:p>
        </w:tc>
      </w:tr>
      <w:tr>
        <w:trPr>
          <w:trHeight w:val="70"/>
        </w:trPr>
        <w:tc>
          <w:tcPr>
            <w:tcW w:w="1940" w:type="dxa"/>
            <w:vAlign w:val="bottom"/>
          </w:tcPr>
          <w:p>
            <w:pPr>
              <w:spacing w:after="0"/>
              <w:rPr>
                <w:sz w:val="6"/>
                <w:szCs w:val="6"/>
                <w:color w:val="auto"/>
              </w:rPr>
            </w:pPr>
          </w:p>
        </w:tc>
        <w:tc>
          <w:tcPr>
            <w:tcW w:w="9320" w:type="dxa"/>
            <w:vAlign w:val="bottom"/>
            <w:gridSpan w:val="3"/>
          </w:tcPr>
          <w:p>
            <w:pPr>
              <w:ind w:left="360"/>
              <w:spacing w:after="0" w:line="70" w:lineRule="exact"/>
              <w:rPr>
                <w:sz w:val="20"/>
                <w:szCs w:val="20"/>
                <w:color w:val="auto"/>
              </w:rPr>
            </w:pPr>
            <w:r>
              <w:rPr>
                <w:rFonts w:ascii="Arial" w:cs="Arial" w:eastAsia="Arial" w:hAnsi="Arial"/>
                <w:sz w:val="7"/>
                <w:szCs w:val="7"/>
                <w:color w:val="auto"/>
              </w:rPr>
              <w:t> </w:t>
            </w:r>
          </w:p>
        </w:tc>
      </w:tr>
      <w:tr>
        <w:trPr>
          <w:trHeight w:val="164"/>
        </w:trPr>
        <w:tc>
          <w:tcPr>
            <w:tcW w:w="1940" w:type="dxa"/>
            <w:vAlign w:val="bottom"/>
          </w:tcPr>
          <w:p>
            <w:pPr>
              <w:spacing w:after="0"/>
              <w:rPr>
                <w:sz w:val="14"/>
                <w:szCs w:val="14"/>
                <w:color w:val="auto"/>
              </w:rPr>
            </w:pPr>
          </w:p>
        </w:tc>
        <w:tc>
          <w:tcPr>
            <w:tcW w:w="9320" w:type="dxa"/>
            <w:vAlign w:val="bottom"/>
            <w:gridSpan w:val="3"/>
          </w:tcPr>
          <w:p>
            <w:pPr>
              <w:ind w:left="360"/>
              <w:spacing w:after="0"/>
              <w:rPr>
                <w:sz w:val="20"/>
                <w:szCs w:val="20"/>
                <w:color w:val="auto"/>
              </w:rPr>
            </w:pPr>
            <w:r>
              <w:rPr>
                <w:rFonts w:ascii="Arial" w:cs="Arial" w:eastAsia="Arial" w:hAnsi="Arial"/>
                <w:sz w:val="14"/>
                <w:szCs w:val="14"/>
                <w:color w:val="auto"/>
              </w:rPr>
              <w:t>$1,000 + ($1,000 × Reference Return of the Worst Performing Underlying)</w:t>
            </w:r>
          </w:p>
        </w:tc>
      </w:tr>
      <w:tr>
        <w:trPr>
          <w:trHeight w:val="70"/>
        </w:trPr>
        <w:tc>
          <w:tcPr>
            <w:tcW w:w="1940" w:type="dxa"/>
            <w:vAlign w:val="bottom"/>
          </w:tcPr>
          <w:p>
            <w:pPr>
              <w:spacing w:after="0"/>
              <w:rPr>
                <w:sz w:val="6"/>
                <w:szCs w:val="6"/>
                <w:color w:val="auto"/>
              </w:rPr>
            </w:pPr>
          </w:p>
        </w:tc>
        <w:tc>
          <w:tcPr>
            <w:tcW w:w="9320" w:type="dxa"/>
            <w:vAlign w:val="bottom"/>
            <w:gridSpan w:val="3"/>
          </w:tcPr>
          <w:p>
            <w:pPr>
              <w:ind w:left="360"/>
              <w:spacing w:after="0" w:line="70" w:lineRule="exact"/>
              <w:rPr>
                <w:sz w:val="20"/>
                <w:szCs w:val="20"/>
                <w:color w:val="auto"/>
              </w:rPr>
            </w:pPr>
            <w:r>
              <w:rPr>
                <w:rFonts w:ascii="Arial" w:cs="Arial" w:eastAsia="Arial" w:hAnsi="Arial"/>
                <w:sz w:val="7"/>
                <w:szCs w:val="7"/>
                <w:color w:val="auto"/>
              </w:rPr>
              <w:t> </w:t>
            </w:r>
          </w:p>
        </w:tc>
      </w:tr>
      <w:tr>
        <w:trPr>
          <w:trHeight w:val="155"/>
        </w:trPr>
        <w:tc>
          <w:tcPr>
            <w:tcW w:w="1940" w:type="dxa"/>
            <w:vAlign w:val="bottom"/>
          </w:tcPr>
          <w:p>
            <w:pPr>
              <w:spacing w:after="0"/>
              <w:rPr>
                <w:sz w:val="13"/>
                <w:szCs w:val="13"/>
                <w:color w:val="auto"/>
              </w:rPr>
            </w:pPr>
          </w:p>
        </w:tc>
        <w:tc>
          <w:tcPr>
            <w:tcW w:w="9320" w:type="dxa"/>
            <w:vAlign w:val="bottom"/>
            <w:gridSpan w:val="3"/>
          </w:tcPr>
          <w:p>
            <w:pPr>
              <w:ind w:left="360"/>
              <w:spacing w:after="0" w:line="155" w:lineRule="exact"/>
              <w:rPr>
                <w:sz w:val="20"/>
                <w:szCs w:val="20"/>
                <w:color w:val="auto"/>
              </w:rPr>
            </w:pPr>
            <w:r>
              <w:rPr>
                <w:rFonts w:ascii="Arial" w:cs="Arial" w:eastAsia="Arial" w:hAnsi="Arial"/>
                <w:sz w:val="14"/>
                <w:szCs w:val="14"/>
                <w:color w:val="auto"/>
              </w:rPr>
              <w:t>If the Notes are not redeemed, a Trigger Event occurs and the Final Value of the Worst Performing Underlying is less than its Initial Value, you</w:t>
            </w:r>
          </w:p>
        </w:tc>
      </w:tr>
      <w:tr>
        <w:trPr>
          <w:trHeight w:val="168"/>
        </w:trPr>
        <w:tc>
          <w:tcPr>
            <w:tcW w:w="1940" w:type="dxa"/>
            <w:vAlign w:val="bottom"/>
          </w:tcPr>
          <w:p>
            <w:pPr>
              <w:spacing w:after="0"/>
              <w:rPr>
                <w:sz w:val="14"/>
                <w:szCs w:val="14"/>
                <w:color w:val="auto"/>
              </w:rPr>
            </w:pPr>
          </w:p>
        </w:tc>
        <w:tc>
          <w:tcPr>
            <w:tcW w:w="9320" w:type="dxa"/>
            <w:vAlign w:val="bottom"/>
            <w:gridSpan w:val="3"/>
          </w:tcPr>
          <w:p>
            <w:pPr>
              <w:ind w:left="360"/>
              <w:spacing w:after="0"/>
              <w:rPr>
                <w:sz w:val="20"/>
                <w:szCs w:val="20"/>
                <w:color w:val="auto"/>
              </w:rPr>
            </w:pPr>
            <w:r>
              <w:rPr>
                <w:rFonts w:ascii="Arial" w:cs="Arial" w:eastAsia="Arial" w:hAnsi="Arial"/>
                <w:sz w:val="14"/>
                <w:szCs w:val="14"/>
                <w:color w:val="auto"/>
              </w:rPr>
              <w:t>will lose up to 100% of the Principal Amount. Even with the Interest Payments, your return on the Notes may be negative in this case.</w:t>
            </w:r>
          </w:p>
        </w:tc>
      </w:tr>
      <w:tr>
        <w:trPr>
          <w:trHeight w:val="92"/>
        </w:trPr>
        <w:tc>
          <w:tcPr>
            <w:tcW w:w="1940" w:type="dxa"/>
            <w:vAlign w:val="bottom"/>
          </w:tcPr>
          <w:p>
            <w:pPr>
              <w:spacing w:after="0"/>
              <w:rPr>
                <w:sz w:val="8"/>
                <w:szCs w:val="8"/>
                <w:color w:val="auto"/>
              </w:rPr>
            </w:pPr>
          </w:p>
        </w:tc>
        <w:tc>
          <w:tcPr>
            <w:tcW w:w="9320" w:type="dxa"/>
            <w:vAlign w:val="bottom"/>
            <w:gridSpan w:val="3"/>
          </w:tcPr>
          <w:p>
            <w:pPr>
              <w:ind w:left="360"/>
              <w:spacing w:after="0"/>
              <w:rPr>
                <w:sz w:val="20"/>
                <w:szCs w:val="20"/>
                <w:color w:val="auto"/>
              </w:rPr>
            </w:pPr>
            <w:r>
              <w:rPr>
                <w:rFonts w:ascii="Arial" w:cs="Arial" w:eastAsia="Arial" w:hAnsi="Arial"/>
                <w:sz w:val="7"/>
                <w:szCs w:val="7"/>
                <w:color w:val="auto"/>
              </w:rPr>
              <w:t> </w:t>
            </w:r>
          </w:p>
        </w:tc>
      </w:tr>
      <w:tr>
        <w:trPr>
          <w:trHeight w:val="243"/>
        </w:trPr>
        <w:tc>
          <w:tcPr>
            <w:tcW w:w="11260" w:type="dxa"/>
            <w:vAlign w:val="bottom"/>
            <w:gridSpan w:val="4"/>
          </w:tcPr>
          <w:p>
            <w:pPr>
              <w:ind w:left="40"/>
              <w:spacing w:after="0"/>
              <w:rPr>
                <w:sz w:val="20"/>
                <w:szCs w:val="20"/>
                <w:color w:val="auto"/>
              </w:rPr>
            </w:pPr>
            <w:r>
              <w:rPr>
                <w:rFonts w:ascii="Arial" w:cs="Arial" w:eastAsia="Arial" w:hAnsi="Arial"/>
                <w:sz w:val="14"/>
                <w:szCs w:val="14"/>
                <w:b w:val="1"/>
                <w:bCs w:val="1"/>
                <w:color w:val="777777"/>
              </w:rPr>
              <w:t xml:space="preserve">Worst Performing Underlying:    </w:t>
            </w:r>
            <w:r>
              <w:rPr>
                <w:rFonts w:ascii="Arial" w:cs="Arial" w:eastAsia="Arial" w:hAnsi="Arial"/>
                <w:sz w:val="14"/>
                <w:szCs w:val="14"/>
                <w:color w:val="000000"/>
              </w:rPr>
              <w:t>The Underlying with the lowest Reference Return.</w:t>
            </w:r>
          </w:p>
        </w:tc>
      </w:tr>
      <w:tr>
        <w:trPr>
          <w:trHeight w:val="199"/>
        </w:trPr>
        <w:tc>
          <w:tcPr>
            <w:tcW w:w="1940" w:type="dxa"/>
            <w:vAlign w:val="bottom"/>
          </w:tcPr>
          <w:p>
            <w:pPr>
              <w:ind w:left="40"/>
              <w:spacing w:after="0"/>
              <w:rPr>
                <w:sz w:val="20"/>
                <w:szCs w:val="20"/>
                <w:color w:val="auto"/>
              </w:rPr>
            </w:pPr>
            <w:r>
              <w:rPr>
                <w:rFonts w:ascii="Arial" w:cs="Arial" w:eastAsia="Arial" w:hAnsi="Arial"/>
                <w:sz w:val="14"/>
                <w:szCs w:val="14"/>
                <w:b w:val="1"/>
                <w:bCs w:val="1"/>
                <w:color w:val="777777"/>
              </w:rPr>
              <w:t>Reference Return:</w:t>
            </w:r>
          </w:p>
        </w:tc>
        <w:tc>
          <w:tcPr>
            <w:tcW w:w="9320" w:type="dxa"/>
            <w:vAlign w:val="bottom"/>
            <w:gridSpan w:val="3"/>
          </w:tcPr>
          <w:p>
            <w:pPr>
              <w:ind w:left="360"/>
              <w:spacing w:after="0"/>
              <w:rPr>
                <w:sz w:val="20"/>
                <w:szCs w:val="20"/>
                <w:color w:val="auto"/>
              </w:rPr>
            </w:pPr>
            <w:r>
              <w:rPr>
                <w:rFonts w:ascii="Arial" w:cs="Arial" w:eastAsia="Arial" w:hAnsi="Arial"/>
                <w:sz w:val="14"/>
                <w:szCs w:val="14"/>
                <w:color w:val="auto"/>
              </w:rPr>
              <w:t>With respect to each Underlying, the quotient, expressed as a percentage, calculated as follows:</w:t>
            </w:r>
          </w:p>
        </w:tc>
      </w:tr>
      <w:tr>
        <w:trPr>
          <w:trHeight w:val="159"/>
        </w:trPr>
        <w:tc>
          <w:tcPr>
            <w:tcW w:w="1940" w:type="dxa"/>
            <w:vAlign w:val="bottom"/>
          </w:tcPr>
          <w:p>
            <w:pPr>
              <w:spacing w:after="0"/>
              <w:rPr>
                <w:sz w:val="13"/>
                <w:szCs w:val="13"/>
                <w:color w:val="auto"/>
              </w:rPr>
            </w:pPr>
          </w:p>
        </w:tc>
        <w:tc>
          <w:tcPr>
            <w:tcW w:w="932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 </w:t>
            </w:r>
          </w:p>
        </w:tc>
      </w:tr>
      <w:tr>
        <w:trPr>
          <w:trHeight w:val="153"/>
        </w:trPr>
        <w:tc>
          <w:tcPr>
            <w:tcW w:w="19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5280" w:type="dxa"/>
            <w:vAlign w:val="bottom"/>
            <w:gridSpan w:val="2"/>
          </w:tcPr>
          <w:p>
            <w:pPr>
              <w:jc w:val="center"/>
              <w:ind w:right="3700"/>
              <w:spacing w:after="0" w:line="153" w:lineRule="exact"/>
              <w:rPr>
                <w:sz w:val="20"/>
                <w:szCs w:val="20"/>
                <w:color w:val="auto"/>
              </w:rPr>
            </w:pPr>
            <w:r>
              <w:rPr>
                <w:rFonts w:ascii="Arial" w:cs="Arial" w:eastAsia="Arial" w:hAnsi="Arial"/>
                <w:sz w:val="14"/>
                <w:szCs w:val="14"/>
                <w:color w:val="auto"/>
                <w:w w:val="99"/>
              </w:rPr>
              <w:t>Final Value – Initial Value</w:t>
            </w:r>
          </w:p>
        </w:tc>
      </w:tr>
      <w:tr>
        <w:trPr>
          <w:trHeight w:val="154"/>
        </w:trPr>
        <w:tc>
          <w:tcPr>
            <w:tcW w:w="19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5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9"/>
              </w:rPr>
              <w:t>Initial Value</w:t>
            </w:r>
          </w:p>
        </w:tc>
        <w:tc>
          <w:tcPr>
            <w:tcW w:w="3700" w:type="dxa"/>
            <w:vAlign w:val="bottom"/>
          </w:tcPr>
          <w:p>
            <w:pPr>
              <w:spacing w:after="0"/>
              <w:rPr>
                <w:sz w:val="13"/>
                <w:szCs w:val="13"/>
                <w:color w:val="auto"/>
              </w:rPr>
            </w:pPr>
          </w:p>
        </w:tc>
      </w:tr>
      <w:tr>
        <w:trPr>
          <w:trHeight w:val="92"/>
        </w:trPr>
        <w:tc>
          <w:tcPr>
            <w:tcW w:w="1940" w:type="dxa"/>
            <w:vAlign w:val="bottom"/>
          </w:tcPr>
          <w:p>
            <w:pPr>
              <w:spacing w:after="0"/>
              <w:rPr>
                <w:sz w:val="8"/>
                <w:szCs w:val="8"/>
                <w:color w:val="auto"/>
              </w:rPr>
            </w:pPr>
          </w:p>
        </w:tc>
        <w:tc>
          <w:tcPr>
            <w:tcW w:w="9320" w:type="dxa"/>
            <w:vAlign w:val="bottom"/>
            <w:gridSpan w:val="3"/>
          </w:tcPr>
          <w:p>
            <w:pPr>
              <w:ind w:left="3000"/>
              <w:spacing w:after="0"/>
              <w:rPr>
                <w:sz w:val="20"/>
                <w:szCs w:val="20"/>
                <w:color w:val="auto"/>
              </w:rPr>
            </w:pPr>
            <w:r>
              <w:rPr>
                <w:rFonts w:ascii="Arial" w:cs="Arial" w:eastAsia="Arial" w:hAnsi="Arial"/>
                <w:sz w:val="7"/>
                <w:szCs w:val="7"/>
                <w:color w:val="auto"/>
              </w:rPr>
              <w:t> </w:t>
            </w:r>
          </w:p>
        </w:tc>
      </w:tr>
      <w:tr>
        <w:trPr>
          <w:trHeight w:val="208"/>
        </w:trPr>
        <w:tc>
          <w:tcPr>
            <w:tcW w:w="1940" w:type="dxa"/>
            <w:vAlign w:val="bottom"/>
          </w:tcPr>
          <w:p>
            <w:pPr>
              <w:ind w:left="40"/>
              <w:spacing w:after="0"/>
              <w:rPr>
                <w:sz w:val="20"/>
                <w:szCs w:val="20"/>
                <w:color w:val="auto"/>
              </w:rPr>
            </w:pPr>
            <w:r>
              <w:rPr>
                <w:rFonts w:ascii="Arial" w:cs="Arial" w:eastAsia="Arial" w:hAnsi="Arial"/>
                <w:sz w:val="14"/>
                <w:szCs w:val="14"/>
                <w:b w:val="1"/>
                <w:bCs w:val="1"/>
                <w:color w:val="777777"/>
              </w:rPr>
              <w:t>Initial Value:</w:t>
            </w:r>
          </w:p>
        </w:tc>
        <w:tc>
          <w:tcPr>
            <w:tcW w:w="9320" w:type="dxa"/>
            <w:vAlign w:val="bottom"/>
            <w:gridSpan w:val="3"/>
          </w:tcPr>
          <w:p>
            <w:pPr>
              <w:ind w:left="360"/>
              <w:spacing w:after="0"/>
              <w:rPr>
                <w:sz w:val="20"/>
                <w:szCs w:val="20"/>
                <w:color w:val="auto"/>
              </w:rPr>
            </w:pPr>
            <w:r>
              <w:rPr>
                <w:rFonts w:ascii="Arial" w:cs="Arial" w:eastAsia="Arial" w:hAnsi="Arial"/>
                <w:sz w:val="14"/>
                <w:szCs w:val="14"/>
                <w:color w:val="auto"/>
              </w:rPr>
              <w:t>7,420.10 with respect to the SPX, 2,917.982 with respect to the RTY, and 29,670.95 with respect to the NDX, each of which was its Closing</w:t>
            </w:r>
          </w:p>
        </w:tc>
      </w:tr>
      <w:tr>
        <w:trPr>
          <w:trHeight w:val="186"/>
        </w:trPr>
        <w:tc>
          <w:tcPr>
            <w:tcW w:w="1940" w:type="dxa"/>
            <w:vAlign w:val="bottom"/>
          </w:tcPr>
          <w:p>
            <w:pPr>
              <w:spacing w:after="0"/>
              <w:rPr>
                <w:sz w:val="16"/>
                <w:szCs w:val="16"/>
                <w:color w:val="auto"/>
              </w:rPr>
            </w:pPr>
          </w:p>
        </w:tc>
        <w:tc>
          <w:tcPr>
            <w:tcW w:w="9320" w:type="dxa"/>
            <w:vAlign w:val="bottom"/>
            <w:gridSpan w:val="3"/>
          </w:tcPr>
          <w:p>
            <w:pPr>
              <w:ind w:left="360"/>
              <w:spacing w:after="0"/>
              <w:rPr>
                <w:sz w:val="20"/>
                <w:szCs w:val="20"/>
                <w:color w:val="auto"/>
              </w:rPr>
            </w:pPr>
            <w:r>
              <w:rPr>
                <w:rFonts w:ascii="Arial" w:cs="Arial" w:eastAsia="Arial" w:hAnsi="Arial"/>
                <w:sz w:val="14"/>
                <w:szCs w:val="14"/>
                <w:color w:val="auto"/>
              </w:rPr>
              <w:t>Level on the Pricing Date.</w:t>
            </w:r>
          </w:p>
        </w:tc>
      </w:tr>
      <w:tr>
        <w:trPr>
          <w:trHeight w:val="242"/>
        </w:trPr>
        <w:tc>
          <w:tcPr>
            <w:tcW w:w="1940" w:type="dxa"/>
            <w:vAlign w:val="bottom"/>
          </w:tcPr>
          <w:p>
            <w:pPr>
              <w:ind w:left="40"/>
              <w:spacing w:after="0"/>
              <w:rPr>
                <w:sz w:val="20"/>
                <w:szCs w:val="20"/>
                <w:color w:val="auto"/>
              </w:rPr>
            </w:pPr>
            <w:r>
              <w:rPr>
                <w:rFonts w:ascii="Arial" w:cs="Arial" w:eastAsia="Arial" w:hAnsi="Arial"/>
                <w:sz w:val="14"/>
                <w:szCs w:val="14"/>
                <w:b w:val="1"/>
                <w:bCs w:val="1"/>
                <w:color w:val="777777"/>
              </w:rPr>
              <w:t>Final Value:</w:t>
            </w:r>
          </w:p>
        </w:tc>
        <w:tc>
          <w:tcPr>
            <w:tcW w:w="9320" w:type="dxa"/>
            <w:vAlign w:val="bottom"/>
            <w:gridSpan w:val="3"/>
          </w:tcPr>
          <w:p>
            <w:pPr>
              <w:ind w:left="360"/>
              <w:spacing w:after="0"/>
              <w:rPr>
                <w:sz w:val="20"/>
                <w:szCs w:val="20"/>
                <w:color w:val="auto"/>
              </w:rPr>
            </w:pPr>
            <w:r>
              <w:rPr>
                <w:rFonts w:ascii="Arial" w:cs="Arial" w:eastAsia="Arial" w:hAnsi="Arial"/>
                <w:sz w:val="14"/>
                <w:szCs w:val="14"/>
                <w:color w:val="auto"/>
              </w:rPr>
              <w:t>With respect to each Underlying, its Closing Level on the Final Valuation Date.</w:t>
            </w:r>
          </w:p>
        </w:tc>
      </w:tr>
      <w:tr>
        <w:trPr>
          <w:trHeight w:val="234"/>
        </w:trPr>
        <w:tc>
          <w:tcPr>
            <w:tcW w:w="1940" w:type="dxa"/>
            <w:vAlign w:val="bottom"/>
          </w:tcPr>
          <w:p>
            <w:pPr>
              <w:ind w:left="40"/>
              <w:spacing w:after="0"/>
              <w:rPr>
                <w:sz w:val="20"/>
                <w:szCs w:val="20"/>
                <w:color w:val="auto"/>
              </w:rPr>
            </w:pPr>
            <w:r>
              <w:rPr>
                <w:rFonts w:ascii="Arial" w:cs="Arial" w:eastAsia="Arial" w:hAnsi="Arial"/>
                <w:sz w:val="14"/>
                <w:szCs w:val="14"/>
                <w:b w:val="1"/>
                <w:bCs w:val="1"/>
                <w:color w:val="777777"/>
              </w:rPr>
              <w:t>CUSIP/ISIN:</w:t>
            </w:r>
          </w:p>
        </w:tc>
        <w:tc>
          <w:tcPr>
            <w:tcW w:w="9320" w:type="dxa"/>
            <w:vAlign w:val="bottom"/>
            <w:gridSpan w:val="3"/>
          </w:tcPr>
          <w:p>
            <w:pPr>
              <w:ind w:left="360"/>
              <w:spacing w:after="0"/>
              <w:rPr>
                <w:sz w:val="20"/>
                <w:szCs w:val="20"/>
                <w:color w:val="auto"/>
              </w:rPr>
            </w:pPr>
            <w:r>
              <w:rPr>
                <w:rFonts w:ascii="Arial" w:cs="Arial" w:eastAsia="Arial" w:hAnsi="Arial"/>
                <w:sz w:val="14"/>
                <w:szCs w:val="14"/>
                <w:color w:val="auto"/>
              </w:rPr>
              <w:t>56653LBR5 / US56653LBR50</w:t>
            </w:r>
          </w:p>
        </w:tc>
      </w:tr>
      <w:tr>
        <w:trPr>
          <w:trHeight w:val="234"/>
        </w:trPr>
        <w:tc>
          <w:tcPr>
            <w:tcW w:w="1940" w:type="dxa"/>
            <w:vAlign w:val="bottom"/>
          </w:tcPr>
          <w:p>
            <w:pPr>
              <w:ind w:left="40"/>
              <w:spacing w:after="0"/>
              <w:rPr>
                <w:sz w:val="20"/>
                <w:szCs w:val="20"/>
                <w:color w:val="auto"/>
              </w:rPr>
            </w:pPr>
            <w:r>
              <w:rPr>
                <w:rFonts w:ascii="Arial" w:cs="Arial" w:eastAsia="Arial" w:hAnsi="Arial"/>
                <w:sz w:val="14"/>
                <w:szCs w:val="14"/>
                <w:b w:val="1"/>
                <w:bCs w:val="1"/>
                <w:color w:val="777777"/>
              </w:rPr>
              <w:t>Form of Notes:</w:t>
            </w:r>
          </w:p>
        </w:tc>
        <w:tc>
          <w:tcPr>
            <w:tcW w:w="9320" w:type="dxa"/>
            <w:vAlign w:val="bottom"/>
            <w:gridSpan w:val="3"/>
          </w:tcPr>
          <w:p>
            <w:pPr>
              <w:ind w:left="360"/>
              <w:spacing w:after="0"/>
              <w:rPr>
                <w:sz w:val="20"/>
                <w:szCs w:val="20"/>
                <w:color w:val="auto"/>
              </w:rPr>
            </w:pPr>
            <w:r>
              <w:rPr>
                <w:rFonts w:ascii="Arial" w:cs="Arial" w:eastAsia="Arial" w:hAnsi="Arial"/>
                <w:sz w:val="14"/>
                <w:szCs w:val="14"/>
                <w:color w:val="auto"/>
              </w:rPr>
              <w:t>Book-Entry</w:t>
            </w:r>
          </w:p>
        </w:tc>
      </w:tr>
      <w:tr>
        <w:trPr>
          <w:trHeight w:val="199"/>
        </w:trPr>
        <w:tc>
          <w:tcPr>
            <w:tcW w:w="1940" w:type="dxa"/>
            <w:vAlign w:val="bottom"/>
          </w:tcPr>
          <w:p>
            <w:pPr>
              <w:ind w:left="40"/>
              <w:spacing w:after="0"/>
              <w:rPr>
                <w:sz w:val="20"/>
                <w:szCs w:val="20"/>
                <w:color w:val="auto"/>
              </w:rPr>
            </w:pPr>
            <w:r>
              <w:rPr>
                <w:rFonts w:ascii="Arial" w:cs="Arial" w:eastAsia="Arial" w:hAnsi="Arial"/>
                <w:sz w:val="14"/>
                <w:szCs w:val="14"/>
                <w:b w:val="1"/>
                <w:bCs w:val="1"/>
                <w:color w:val="777777"/>
              </w:rPr>
              <w:t>Listing:</w:t>
            </w:r>
          </w:p>
        </w:tc>
        <w:tc>
          <w:tcPr>
            <w:tcW w:w="9320" w:type="dxa"/>
            <w:vAlign w:val="bottom"/>
            <w:gridSpan w:val="3"/>
          </w:tcPr>
          <w:p>
            <w:pPr>
              <w:ind w:left="360"/>
              <w:spacing w:after="0"/>
              <w:rPr>
                <w:sz w:val="20"/>
                <w:szCs w:val="20"/>
                <w:color w:val="auto"/>
              </w:rPr>
            </w:pPr>
            <w:r>
              <w:rPr>
                <w:rFonts w:ascii="Arial" w:cs="Arial" w:eastAsia="Arial" w:hAnsi="Arial"/>
                <w:sz w:val="14"/>
                <w:szCs w:val="14"/>
                <w:color w:val="auto"/>
              </w:rPr>
              <w:t>Application has been made for the Notes to be admitted to listing and trading on the Vienna MTF, a multilateral trading facility operated by the</w:t>
            </w:r>
          </w:p>
        </w:tc>
      </w:tr>
      <w:tr>
        <w:trPr>
          <w:trHeight w:val="186"/>
        </w:trPr>
        <w:tc>
          <w:tcPr>
            <w:tcW w:w="1940" w:type="dxa"/>
            <w:vAlign w:val="bottom"/>
          </w:tcPr>
          <w:p>
            <w:pPr>
              <w:spacing w:after="0"/>
              <w:rPr>
                <w:sz w:val="16"/>
                <w:szCs w:val="16"/>
                <w:color w:val="auto"/>
              </w:rPr>
            </w:pPr>
          </w:p>
        </w:tc>
        <w:tc>
          <w:tcPr>
            <w:tcW w:w="9320" w:type="dxa"/>
            <w:vAlign w:val="bottom"/>
            <w:gridSpan w:val="3"/>
          </w:tcPr>
          <w:p>
            <w:pPr>
              <w:ind w:left="360"/>
              <w:spacing w:after="0"/>
              <w:rPr>
                <w:sz w:val="20"/>
                <w:szCs w:val="20"/>
                <w:color w:val="auto"/>
              </w:rPr>
            </w:pPr>
            <w:r>
              <w:rPr>
                <w:rFonts w:ascii="Arial" w:cs="Arial" w:eastAsia="Arial" w:hAnsi="Arial"/>
                <w:sz w:val="14"/>
                <w:szCs w:val="14"/>
                <w:color w:val="auto"/>
              </w:rPr>
              <w:t>Vienna Stock Exchange.</w:t>
            </w:r>
          </w:p>
        </w:tc>
      </w:tr>
      <w:tr>
        <w:trPr>
          <w:trHeight w:val="207"/>
        </w:trPr>
        <w:tc>
          <w:tcPr>
            <w:tcW w:w="1940" w:type="dxa"/>
            <w:vAlign w:val="bottom"/>
          </w:tcPr>
          <w:p>
            <w:pPr>
              <w:ind w:left="40"/>
              <w:spacing w:after="0"/>
              <w:rPr>
                <w:sz w:val="20"/>
                <w:szCs w:val="20"/>
                <w:color w:val="auto"/>
              </w:rPr>
            </w:pPr>
            <w:r>
              <w:rPr>
                <w:rFonts w:ascii="Arial" w:cs="Arial" w:eastAsia="Arial" w:hAnsi="Arial"/>
                <w:sz w:val="14"/>
                <w:szCs w:val="14"/>
                <w:b w:val="1"/>
                <w:bCs w:val="1"/>
                <w:color w:val="777777"/>
              </w:rPr>
              <w:t>Estimated Initial Value:</w:t>
            </w:r>
          </w:p>
        </w:tc>
        <w:tc>
          <w:tcPr>
            <w:tcW w:w="9320" w:type="dxa"/>
            <w:vAlign w:val="bottom"/>
            <w:gridSpan w:val="3"/>
          </w:tcPr>
          <w:p>
            <w:pPr>
              <w:ind w:left="360"/>
              <w:spacing w:after="0"/>
              <w:rPr>
                <w:sz w:val="20"/>
                <w:szCs w:val="20"/>
                <w:color w:val="auto"/>
              </w:rPr>
            </w:pPr>
            <w:r>
              <w:rPr>
                <w:rFonts w:ascii="Arial" w:cs="Arial" w:eastAsia="Arial" w:hAnsi="Arial"/>
                <w:sz w:val="14"/>
                <w:szCs w:val="14"/>
                <w:color w:val="auto"/>
              </w:rPr>
              <w:t>The Estimated Initial Value of the Notes is less than the price you pay to purchase the Notes. The Estimated Initial Value does not represent a</w:t>
            </w:r>
          </w:p>
        </w:tc>
      </w:tr>
      <w:tr>
        <w:trPr>
          <w:trHeight w:val="159"/>
        </w:trPr>
        <w:tc>
          <w:tcPr>
            <w:tcW w:w="1940" w:type="dxa"/>
            <w:vAlign w:val="bottom"/>
          </w:tcPr>
          <w:p>
            <w:pPr>
              <w:spacing w:after="0"/>
              <w:rPr>
                <w:sz w:val="13"/>
                <w:szCs w:val="13"/>
                <w:color w:val="auto"/>
              </w:rPr>
            </w:pPr>
          </w:p>
        </w:tc>
        <w:tc>
          <w:tcPr>
            <w:tcW w:w="932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minimum price at which we or any of our affiliates would be willing to purchase your Notes in the secondary market, if any, at any time. See</w:t>
            </w:r>
          </w:p>
        </w:tc>
      </w:tr>
      <w:tr>
        <w:trPr>
          <w:trHeight w:val="159"/>
        </w:trPr>
        <w:tc>
          <w:tcPr>
            <w:tcW w:w="1940" w:type="dxa"/>
            <w:vAlign w:val="bottom"/>
          </w:tcPr>
          <w:p>
            <w:pPr>
              <w:spacing w:after="0"/>
              <w:rPr>
                <w:sz w:val="13"/>
                <w:szCs w:val="13"/>
                <w:color w:val="auto"/>
              </w:rPr>
            </w:pPr>
          </w:p>
        </w:tc>
        <w:tc>
          <w:tcPr>
            <w:tcW w:w="932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“Risk Factors — The Estimated Initial Value of the Notes, which was determined by us on the Trade Date, is less than the price to public and</w:t>
            </w:r>
          </w:p>
        </w:tc>
      </w:tr>
      <w:tr>
        <w:trPr>
          <w:trHeight w:val="186"/>
        </w:trPr>
        <w:tc>
          <w:tcPr>
            <w:tcW w:w="1940" w:type="dxa"/>
            <w:vAlign w:val="bottom"/>
          </w:tcPr>
          <w:p>
            <w:pPr>
              <w:spacing w:after="0"/>
              <w:rPr>
                <w:sz w:val="16"/>
                <w:szCs w:val="16"/>
                <w:color w:val="auto"/>
              </w:rPr>
            </w:pPr>
          </w:p>
        </w:tc>
        <w:tc>
          <w:tcPr>
            <w:tcW w:w="9320" w:type="dxa"/>
            <w:vAlign w:val="bottom"/>
            <w:gridSpan w:val="3"/>
          </w:tcPr>
          <w:p>
            <w:pPr>
              <w:ind w:left="360"/>
              <w:spacing w:after="0"/>
              <w:rPr>
                <w:sz w:val="20"/>
                <w:szCs w:val="20"/>
                <w:color w:val="auto"/>
              </w:rPr>
            </w:pPr>
            <w:r>
              <w:rPr>
                <w:rFonts w:ascii="Arial" w:cs="Arial" w:eastAsia="Arial" w:hAnsi="Arial"/>
                <w:sz w:val="14"/>
                <w:szCs w:val="14"/>
                <w:color w:val="auto"/>
              </w:rPr>
              <w:t>may differ from the market value of the Notes in the secondary market, if any.”</w:t>
            </w:r>
          </w:p>
        </w:tc>
      </w:tr>
      <w:tr>
        <w:trPr>
          <w:trHeight w:val="242"/>
        </w:trPr>
        <w:tc>
          <w:tcPr>
            <w:tcW w:w="1940" w:type="dxa"/>
            <w:vAlign w:val="bottom"/>
          </w:tcPr>
          <w:p>
            <w:pPr>
              <w:ind w:left="40"/>
              <w:spacing w:after="0"/>
              <w:rPr>
                <w:sz w:val="20"/>
                <w:szCs w:val="20"/>
                <w:color w:val="auto"/>
              </w:rPr>
            </w:pPr>
            <w:r>
              <w:rPr>
                <w:rFonts w:ascii="Arial" w:cs="Arial" w:eastAsia="Arial" w:hAnsi="Arial"/>
                <w:sz w:val="14"/>
                <w:szCs w:val="14"/>
                <w:b w:val="1"/>
                <w:bCs w:val="1"/>
                <w:color w:val="777777"/>
              </w:rPr>
              <w:t>Calculation Agent:</w:t>
            </w:r>
          </w:p>
        </w:tc>
        <w:tc>
          <w:tcPr>
            <w:tcW w:w="9320" w:type="dxa"/>
            <w:vAlign w:val="bottom"/>
            <w:gridSpan w:val="3"/>
          </w:tcPr>
          <w:p>
            <w:pPr>
              <w:ind w:left="360"/>
              <w:spacing w:after="0"/>
              <w:rPr>
                <w:sz w:val="20"/>
                <w:szCs w:val="20"/>
                <w:color w:val="auto"/>
              </w:rPr>
            </w:pPr>
            <w:r>
              <w:rPr>
                <w:rFonts w:ascii="Arial" w:cs="Arial" w:eastAsia="Arial" w:hAnsi="Arial"/>
                <w:sz w:val="14"/>
                <w:szCs w:val="14"/>
                <w:color w:val="auto"/>
              </w:rPr>
              <w:t>Marex Financial, one of our affiliates</w:t>
            </w:r>
          </w:p>
        </w:tc>
      </w:tr>
      <w:tr>
        <w:trPr>
          <w:trHeight w:val="244"/>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0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700" w:type="dxa"/>
            <w:vAlign w:val="bottom"/>
          </w:tcPr>
          <w:p>
            <w:pPr>
              <w:spacing w:after="0"/>
              <w:rPr>
                <w:sz w:val="21"/>
                <w:szCs w:val="21"/>
                <w:color w:val="auto"/>
              </w:rPr>
            </w:pPr>
          </w:p>
        </w:tc>
      </w:tr>
    </w:tbl>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PS-3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60"/>
          </w:cols>
          <w:pgMar w:left="300" w:top="2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auto"/>
        </w:rPr>
        <w:t> </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7030A0"/>
        </w:rPr>
        <w:t> </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7030A0"/>
        </w:rPr>
        <w:t>GENERAL</w:t>
      </w:r>
    </w:p>
    <w:p>
      <w:pPr>
        <w:spacing w:after="0" w:line="237" w:lineRule="auto"/>
        <w:rPr>
          <w:sz w:val="20"/>
          <w:szCs w:val="20"/>
          <w:color w:val="auto"/>
        </w:rPr>
      </w:pPr>
      <w:r>
        <w:rPr>
          <w:rFonts w:ascii="Arial" w:cs="Arial" w:eastAsia="Arial" w:hAnsi="Arial"/>
          <w:sz w:val="14"/>
          <w:szCs w:val="14"/>
          <w:b w:val="1"/>
          <w:bCs w:val="1"/>
          <w:color w:val="7030A0"/>
        </w:rPr>
        <w:t> </w:t>
      </w:r>
    </w:p>
    <w:p>
      <w:pPr>
        <w:spacing w:after="0" w:line="238" w:lineRule="auto"/>
        <w:rPr>
          <w:sz w:val="20"/>
          <w:szCs w:val="20"/>
          <w:color w:val="auto"/>
        </w:rPr>
      </w:pPr>
      <w:r>
        <w:rPr>
          <w:rFonts w:ascii="Arial" w:cs="Arial" w:eastAsia="Arial" w:hAnsi="Arial"/>
          <w:sz w:val="14"/>
          <w:szCs w:val="14"/>
          <w:color w:val="auto"/>
        </w:rPr>
        <w:t>This document relates to an offering of Notes linked to the Underlyings. The purchaser of a Note will acquire a senior unsecured debt security of Marex. Although the offering of</w:t>
      </w:r>
    </w:p>
    <w:p>
      <w:pPr>
        <w:spacing w:after="0" w:line="238" w:lineRule="auto"/>
        <w:rPr>
          <w:sz w:val="20"/>
          <w:szCs w:val="20"/>
          <w:color w:val="auto"/>
        </w:rPr>
      </w:pPr>
      <w:r>
        <w:rPr>
          <w:rFonts w:ascii="Arial" w:cs="Arial" w:eastAsia="Arial" w:hAnsi="Arial"/>
          <w:sz w:val="14"/>
          <w:szCs w:val="14"/>
          <w:color w:val="auto"/>
        </w:rPr>
        <w:t>Notes relates to the Underlyings, you should not construe that fact as a recommendation as to the merits of acquiring an investment linked to the Underlyings or any security</w:t>
      </w:r>
    </w:p>
    <w:p>
      <w:pPr>
        <w:spacing w:after="0" w:line="237" w:lineRule="auto"/>
        <w:rPr>
          <w:sz w:val="20"/>
          <w:szCs w:val="20"/>
          <w:color w:val="auto"/>
        </w:rPr>
      </w:pPr>
      <w:r>
        <w:rPr>
          <w:rFonts w:ascii="Arial" w:cs="Arial" w:eastAsia="Arial" w:hAnsi="Arial"/>
          <w:sz w:val="14"/>
          <w:szCs w:val="14"/>
          <w:color w:val="auto"/>
        </w:rPr>
        <w:t>included in any Underlying or as to the suitability of an investment in the Notes.</w:t>
      </w:r>
    </w:p>
    <w:p>
      <w:pPr>
        <w:spacing w:after="0" w:line="238"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color w:val="auto"/>
        </w:rPr>
        <w:t>You should read this document together with the prospectus dated August 4, 2025 (the “prospectus”), the prospectus supplement dated August 4, 2025 (the “prospectus</w:t>
      </w:r>
    </w:p>
    <w:p>
      <w:pPr>
        <w:spacing w:after="0" w:line="237" w:lineRule="auto"/>
        <w:rPr>
          <w:sz w:val="20"/>
          <w:szCs w:val="20"/>
          <w:color w:val="auto"/>
        </w:rPr>
      </w:pPr>
      <w:r>
        <w:rPr>
          <w:rFonts w:ascii="Arial" w:cs="Arial" w:eastAsia="Arial" w:hAnsi="Arial"/>
          <w:sz w:val="14"/>
          <w:szCs w:val="14"/>
          <w:color w:val="auto"/>
        </w:rPr>
        <w:t>supplement”) and the Equity Index Underlying Supplement dated August 4, 2025 (the “underlying supplement”). If the terms of the Notes offered hereby are inconsistent with those</w:t>
      </w:r>
    </w:p>
    <w:p>
      <w:pPr>
        <w:spacing w:after="0" w:line="238" w:lineRule="auto"/>
        <w:rPr>
          <w:sz w:val="20"/>
          <w:szCs w:val="20"/>
          <w:color w:val="auto"/>
        </w:rPr>
      </w:pPr>
      <w:r>
        <w:rPr>
          <w:rFonts w:ascii="Arial" w:cs="Arial" w:eastAsia="Arial" w:hAnsi="Arial"/>
          <w:sz w:val="14"/>
          <w:szCs w:val="14"/>
          <w:color w:val="auto"/>
        </w:rPr>
        <w:t>described in the accompanying prospectus, prospectus supplement or underlying supplement, the terms described in this document shall control. You should carefully consider,</w:t>
      </w:r>
    </w:p>
    <w:p>
      <w:pPr>
        <w:spacing w:after="0" w:line="238" w:lineRule="auto"/>
        <w:rPr>
          <w:sz w:val="20"/>
          <w:szCs w:val="20"/>
          <w:color w:val="auto"/>
        </w:rPr>
      </w:pPr>
      <w:r>
        <w:rPr>
          <w:rFonts w:ascii="Arial" w:cs="Arial" w:eastAsia="Arial" w:hAnsi="Arial"/>
          <w:sz w:val="14"/>
          <w:szCs w:val="14"/>
          <w:color w:val="auto"/>
        </w:rPr>
        <w:t>among other things, the matters set forth in “Risk Factors” beginning on page PS-7 of this document, page S-1 of the prospectus supplement and page S-1 of the underlying</w:t>
      </w:r>
    </w:p>
    <w:p>
      <w:pPr>
        <w:spacing w:after="0" w:line="237" w:lineRule="auto"/>
        <w:rPr>
          <w:sz w:val="20"/>
          <w:szCs w:val="20"/>
          <w:color w:val="auto"/>
        </w:rPr>
      </w:pPr>
      <w:r>
        <w:rPr>
          <w:rFonts w:ascii="Arial" w:cs="Arial" w:eastAsia="Arial" w:hAnsi="Arial"/>
          <w:sz w:val="14"/>
          <w:szCs w:val="14"/>
          <w:color w:val="auto"/>
        </w:rPr>
        <w:t>supplement, as the Notes involve risks not associated with conventional debt securities. We urge you to consult your investment, legal, tax, accounting and other advisors before</w:t>
      </w:r>
    </w:p>
    <w:p>
      <w:pPr>
        <w:spacing w:after="0"/>
        <w:rPr>
          <w:sz w:val="20"/>
          <w:szCs w:val="20"/>
          <w:color w:val="auto"/>
        </w:rPr>
      </w:pPr>
      <w:r>
        <w:rPr>
          <w:rFonts w:ascii="Arial" w:cs="Arial" w:eastAsia="Arial" w:hAnsi="Arial"/>
          <w:sz w:val="14"/>
          <w:szCs w:val="14"/>
          <w:color w:val="auto"/>
        </w:rPr>
        <w:t>you invest in the Notes. As used herein, references to the “Issuer”, “Marex”, “we”, “us” and “our” are to Marex Group plc. References to “Index” or “Worst Performing Index” in the</w:t>
      </w:r>
    </w:p>
    <w:p>
      <w:pPr>
        <w:spacing w:after="0" w:line="237" w:lineRule="auto"/>
        <w:rPr>
          <w:sz w:val="20"/>
          <w:szCs w:val="20"/>
          <w:color w:val="auto"/>
        </w:rPr>
      </w:pPr>
      <w:r>
        <w:rPr>
          <w:rFonts w:ascii="Arial" w:cs="Arial" w:eastAsia="Arial" w:hAnsi="Arial"/>
          <w:sz w:val="14"/>
          <w:szCs w:val="14"/>
          <w:color w:val="auto"/>
        </w:rPr>
        <w:t>underlying supplement will be references to “Underlying” or “Worst Performing Underlying” in this document. Certain terms used but not defined herein will have the meanings set</w:t>
      </w:r>
    </w:p>
    <w:p>
      <w:pPr>
        <w:spacing w:after="0" w:line="238" w:lineRule="auto"/>
        <w:rPr>
          <w:sz w:val="20"/>
          <w:szCs w:val="20"/>
          <w:color w:val="auto"/>
        </w:rPr>
      </w:pPr>
      <w:r>
        <w:rPr>
          <w:rFonts w:ascii="Arial" w:cs="Arial" w:eastAsia="Arial" w:hAnsi="Arial"/>
          <w:sz w:val="14"/>
          <w:szCs w:val="14"/>
          <w:color w:val="auto"/>
        </w:rPr>
        <w:t>forth in the underlying supplement, the prospectus supplement or the prospectus.</w:t>
      </w:r>
    </w:p>
    <w:p>
      <w:pPr>
        <w:spacing w:after="0" w:line="238" w:lineRule="auto"/>
        <w:rPr>
          <w:sz w:val="20"/>
          <w:szCs w:val="20"/>
          <w:color w:val="auto"/>
        </w:rPr>
      </w:pPr>
      <w:r>
        <w:rPr>
          <w:rFonts w:ascii="Arial" w:cs="Arial" w:eastAsia="Arial" w:hAnsi="Arial"/>
          <w:sz w:val="14"/>
          <w:szCs w:val="14"/>
          <w:color w:val="auto"/>
        </w:rPr>
        <w:t> </w:t>
      </w:r>
    </w:p>
    <w:p>
      <w:pPr>
        <w:jc w:val="both"/>
        <w:spacing w:after="0" w:line="237" w:lineRule="auto"/>
        <w:rPr>
          <w:sz w:val="20"/>
          <w:szCs w:val="20"/>
          <w:color w:val="auto"/>
        </w:rPr>
      </w:pPr>
      <w:r>
        <w:rPr>
          <w:rFonts w:ascii="Arial" w:cs="Arial" w:eastAsia="Arial" w:hAnsi="Arial"/>
          <w:sz w:val="14"/>
          <w:szCs w:val="14"/>
          <w:color w:val="auto"/>
        </w:rPr>
        <w:t>You may access the underlying supplement, the prospectus supplement and the prospectus on the SEC website www.sec.gov as follows (or if such address has changed, by reviewing our filing for the relevant date on the SEC website):</w:t>
      </w:r>
    </w:p>
    <w:tbl>
      <w:tblPr>
        <w:tblLayout w:type="fixed"/>
        <w:tblInd w:w="0" w:type="dxa"/>
        <w:tblCellMar>
          <w:top w:w="0" w:type="dxa"/>
          <w:left w:w="0" w:type="dxa"/>
          <w:bottom w:w="0" w:type="dxa"/>
          <w:right w:w="0" w:type="dxa"/>
        </w:tblCellMar>
      </w:tblPr>
      <w:tr>
        <w:trPr>
          <w:trHeight w:val="158"/>
        </w:trPr>
        <w:tc>
          <w:tcPr>
            <w:tcW w:w="160" w:type="dxa"/>
            <w:vAlign w:val="bottom"/>
          </w:tcPr>
          <w:p>
            <w:pPr>
              <w:spacing w:after="0" w:line="159" w:lineRule="exact"/>
              <w:rPr>
                <w:sz w:val="20"/>
                <w:szCs w:val="20"/>
                <w:color w:val="auto"/>
              </w:rPr>
            </w:pPr>
            <w:r>
              <w:rPr>
                <w:rFonts w:ascii="Arial" w:cs="Arial" w:eastAsia="Arial" w:hAnsi="Arial"/>
                <w:sz w:val="14"/>
                <w:szCs w:val="14"/>
                <w:color w:val="auto"/>
              </w:rPr>
              <w:t> </w:t>
            </w:r>
          </w:p>
        </w:tc>
        <w:tc>
          <w:tcPr>
            <w:tcW w:w="2040" w:type="dxa"/>
            <w:vAlign w:val="bottom"/>
            <w:gridSpan w:val="2"/>
            <w:vMerge w:val="restart"/>
          </w:tcPr>
          <w:p>
            <w:pPr>
              <w:ind w:left="100"/>
              <w:spacing w:after="0"/>
              <w:rPr>
                <w:sz w:val="20"/>
                <w:szCs w:val="20"/>
                <w:color w:val="auto"/>
              </w:rPr>
            </w:pPr>
            <w:r>
              <w:rPr>
                <w:rFonts w:ascii="Arial" w:cs="Arial" w:eastAsia="Arial" w:hAnsi="Arial"/>
                <w:sz w:val="14"/>
                <w:szCs w:val="14"/>
                <w:color w:val="auto"/>
              </w:rPr>
              <w:t>The underlying supplement at:</w:t>
            </w:r>
          </w:p>
        </w:tc>
        <w:tc>
          <w:tcPr>
            <w:tcW w:w="5860" w:type="dxa"/>
            <w:vAlign w:val="bottom"/>
            <w:gridSpan w:val="3"/>
            <w:vMerge w:val="restart"/>
          </w:tcPr>
          <w:p>
            <w:pPr>
              <w:spacing w:after="0"/>
              <w:rPr>
                <w:rFonts w:ascii="Arial" w:cs="Arial" w:eastAsia="Arial" w:hAnsi="Arial"/>
                <w:sz w:val="14"/>
                <w:szCs w:val="14"/>
                <w:color w:val="0000EE"/>
              </w:rPr>
            </w:pPr>
            <w:hyperlink r:id="rId11">
              <w:r>
                <w:rPr>
                  <w:rFonts w:ascii="Arial" w:cs="Arial" w:eastAsia="Arial" w:hAnsi="Arial"/>
                  <w:sz w:val="14"/>
                  <w:szCs w:val="14"/>
                  <w:color w:val="0000EE"/>
                </w:rPr>
                <w:t>https://www.sec.gov/Archives/edgar/data/1997464/000119312525172164/d92960d424b2.htm</w:t>
              </w:r>
            </w:hyperlink>
          </w:p>
        </w:tc>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5860" w:type="dxa"/>
            <w:vAlign w:val="bottom"/>
            <w:tcBorders>
              <w:bottom w:val="single" w:sz="8" w:color="0000EE"/>
            </w:tcBorders>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r>
              <w:rPr>
                <w:rFonts w:ascii="Arial" w:cs="Arial" w:eastAsia="Arial" w:hAnsi="Arial"/>
                <w:sz w:val="14"/>
                <w:szCs w:val="14"/>
                <w:color w:val="auto"/>
              </w:rPr>
              <w:t> </w:t>
            </w:r>
          </w:p>
        </w:tc>
        <w:tc>
          <w:tcPr>
            <w:tcW w:w="2080" w:type="dxa"/>
            <w:vAlign w:val="bottom"/>
            <w:gridSpan w:val="3"/>
            <w:vMerge w:val="restart"/>
          </w:tcPr>
          <w:p>
            <w:pPr>
              <w:ind w:left="100"/>
              <w:spacing w:after="0"/>
              <w:rPr>
                <w:sz w:val="20"/>
                <w:szCs w:val="20"/>
                <w:color w:val="auto"/>
              </w:rPr>
            </w:pPr>
            <w:r>
              <w:rPr>
                <w:rFonts w:ascii="Arial" w:cs="Arial" w:eastAsia="Arial" w:hAnsi="Arial"/>
                <w:sz w:val="14"/>
                <w:szCs w:val="14"/>
                <w:color w:val="auto"/>
              </w:rPr>
              <w:t>The prospectus supplement at:</w:t>
            </w:r>
          </w:p>
        </w:tc>
        <w:tc>
          <w:tcPr>
            <w:tcW w:w="5860" w:type="dxa"/>
            <w:vAlign w:val="bottom"/>
            <w:gridSpan w:val="3"/>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https://www.sec.gov/Archives/edgar/data/1997464/000119312525172136/d87748d424b2.htm</w:t>
              </w:r>
            </w:hyperlink>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5860" w:type="dxa"/>
            <w:vAlign w:val="bottom"/>
            <w:tcBorders>
              <w:bottom w:val="single" w:sz="8" w:color="0000EE"/>
            </w:tcBorders>
            <w:gridSpan w:val="3"/>
            <w:vMerge w:val="continue"/>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r>
              <w:rPr>
                <w:rFonts w:ascii="Arial" w:cs="Arial" w:eastAsia="Arial" w:hAnsi="Arial"/>
                <w:sz w:val="14"/>
                <w:szCs w:val="14"/>
                <w:color w:val="auto"/>
              </w:rPr>
              <w:t> </w:t>
            </w:r>
          </w:p>
        </w:tc>
        <w:tc>
          <w:tcPr>
            <w:tcW w:w="1320" w:type="dxa"/>
            <w:vAlign w:val="bottom"/>
            <w:vMerge w:val="restart"/>
          </w:tcPr>
          <w:p>
            <w:pPr>
              <w:ind w:left="100"/>
              <w:spacing w:after="0"/>
              <w:rPr>
                <w:sz w:val="20"/>
                <w:szCs w:val="20"/>
                <w:color w:val="auto"/>
              </w:rPr>
            </w:pPr>
            <w:r>
              <w:rPr>
                <w:rFonts w:ascii="Arial" w:cs="Arial" w:eastAsia="Arial" w:hAnsi="Arial"/>
                <w:sz w:val="14"/>
                <w:szCs w:val="14"/>
                <w:color w:val="auto"/>
              </w:rPr>
              <w:t>The prospectus at:</w:t>
            </w:r>
          </w:p>
        </w:tc>
        <w:tc>
          <w:tcPr>
            <w:tcW w:w="5840" w:type="dxa"/>
            <w:vAlign w:val="bottom"/>
            <w:gridSpan w:val="3"/>
            <w:vMerge w:val="restart"/>
          </w:tcPr>
          <w:p>
            <w:pPr>
              <w:spacing w:after="0"/>
              <w:rPr>
                <w:rFonts w:ascii="Arial" w:cs="Arial" w:eastAsia="Arial" w:hAnsi="Arial"/>
                <w:sz w:val="14"/>
                <w:szCs w:val="14"/>
                <w:color w:val="0000EE"/>
              </w:rPr>
            </w:pPr>
            <w:hyperlink r:id="rId13">
              <w:r>
                <w:rPr>
                  <w:rFonts w:ascii="Arial" w:cs="Arial" w:eastAsia="Arial" w:hAnsi="Arial"/>
                  <w:sz w:val="14"/>
                  <w:szCs w:val="14"/>
                  <w:color w:val="0000EE"/>
                </w:rPr>
                <w:t>https://www.sec.gov/Archives/edgar/data/1997464/000119312525172120/d87748d424b3.htm</w:t>
              </w:r>
            </w:hyperlink>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5840" w:type="dxa"/>
            <w:vAlign w:val="bottom"/>
            <w:tcBorders>
              <w:bottom w:val="single" w:sz="8" w:color="0000EE"/>
            </w:tcBorders>
            <w:gridSpan w:val="3"/>
            <w:vMerge w:val="continue"/>
          </w:tcPr>
          <w:p>
            <w:pPr>
              <w:spacing w:after="0"/>
              <w:rPr>
                <w:sz w:val="12"/>
                <w:szCs w:val="12"/>
                <w:color w:val="auto"/>
              </w:rPr>
            </w:pPr>
          </w:p>
        </w:tc>
        <w:tc>
          <w:tcPr>
            <w:tcW w:w="39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160" w:type="dxa"/>
            <w:vAlign w:val="bottom"/>
          </w:tcPr>
          <w:p>
            <w:pPr>
              <w:spacing w:after="0"/>
              <w:rPr>
                <w:sz w:val="20"/>
                <w:szCs w:val="20"/>
                <w:color w:val="auto"/>
              </w:rPr>
            </w:pPr>
            <w:r>
              <w:rPr>
                <w:rFonts w:ascii="Arial" w:cs="Arial" w:eastAsia="Arial" w:hAnsi="Arial"/>
                <w:sz w:val="14"/>
                <w:szCs w:val="14"/>
                <w:color w:val="auto"/>
              </w:rPr>
              <w:t> </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gridSpan w:val="4"/>
          </w:tcPr>
          <w:p>
            <w:pPr>
              <w:ind w:left="3240"/>
              <w:spacing w:after="0"/>
              <w:rPr>
                <w:sz w:val="20"/>
                <w:szCs w:val="20"/>
                <w:color w:val="auto"/>
              </w:rPr>
            </w:pPr>
            <w:r>
              <w:rPr>
                <w:rFonts w:ascii="Arial" w:cs="Arial" w:eastAsia="Arial" w:hAnsi="Arial"/>
                <w:sz w:val="14"/>
                <w:szCs w:val="14"/>
                <w:color w:val="auto"/>
              </w:rPr>
              <w:t>PS-4 </w:t>
            </w:r>
          </w:p>
        </w:tc>
        <w:tc>
          <w:tcPr>
            <w:tcW w:w="0" w:type="dxa"/>
            <w:vAlign w:val="bottom"/>
          </w:tcPr>
          <w:p>
            <w:pPr>
              <w:spacing w:after="0"/>
              <w:rPr>
                <w:sz w:val="1"/>
                <w:szCs w:val="1"/>
                <w:color w:val="auto"/>
              </w:rPr>
            </w:pPr>
          </w:p>
        </w:tc>
      </w:tr>
    </w:tbl>
    <w:p>
      <w:pPr>
        <w:sectPr>
          <w:pgSz w:w="11900" w:h="16838" w:orient="portrait"/>
          <w:cols w:equalWidth="0" w:num="1">
            <w:col w:w="11280"/>
          </w:cols>
          <w:pgMar w:left="300" w:top="20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 </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7030A0"/>
        </w:rPr>
        <w:t>PAYMENTS ON THE NOTES</w:t>
      </w:r>
    </w:p>
    <w:p>
      <w:pPr>
        <w:spacing w:after="0" w:line="237" w:lineRule="auto"/>
        <w:rPr>
          <w:sz w:val="20"/>
          <w:szCs w:val="20"/>
          <w:color w:val="auto"/>
        </w:rPr>
      </w:pPr>
      <w:r>
        <w:rPr>
          <w:rFonts w:ascii="Arial" w:cs="Arial" w:eastAsia="Arial" w:hAnsi="Arial"/>
          <w:sz w:val="14"/>
          <w:szCs w:val="14"/>
          <w:color w:val="7030A0"/>
        </w:rPr>
        <w:t> </w:t>
      </w:r>
    </w:p>
    <w:p>
      <w:pPr>
        <w:spacing w:after="0" w:line="238" w:lineRule="auto"/>
        <w:rPr>
          <w:sz w:val="20"/>
          <w:szCs w:val="20"/>
          <w:color w:val="auto"/>
        </w:rPr>
      </w:pPr>
      <w:r>
        <w:rPr>
          <w:rFonts w:ascii="Arial" w:cs="Arial" w:eastAsia="Arial" w:hAnsi="Arial"/>
          <w:sz w:val="14"/>
          <w:szCs w:val="14"/>
          <w:b w:val="1"/>
          <w:bCs w:val="1"/>
          <w:color w:val="auto"/>
        </w:rPr>
        <w:t>Optional Early Redemption</w:t>
      </w:r>
    </w:p>
    <w:p>
      <w:pPr>
        <w:spacing w:after="0" w:line="238" w:lineRule="auto"/>
        <w:rPr>
          <w:sz w:val="20"/>
          <w:szCs w:val="20"/>
          <w:color w:val="auto"/>
        </w:rPr>
      </w:pPr>
      <w:r>
        <w:rPr>
          <w:rFonts w:ascii="Arial" w:cs="Arial" w:eastAsia="Arial" w:hAnsi="Arial"/>
          <w:sz w:val="14"/>
          <w:szCs w:val="14"/>
          <w:color w:val="auto"/>
        </w:rPr>
        <w:t> </w:t>
      </w:r>
    </w:p>
    <w:p>
      <w:pPr>
        <w:spacing w:after="0" w:line="237" w:lineRule="auto"/>
        <w:rPr>
          <w:sz w:val="20"/>
          <w:szCs w:val="20"/>
          <w:color w:val="auto"/>
        </w:rPr>
      </w:pPr>
      <w:r>
        <w:rPr>
          <w:rFonts w:ascii="Arial" w:cs="Arial" w:eastAsia="Arial" w:hAnsi="Arial"/>
          <w:sz w:val="14"/>
          <w:szCs w:val="14"/>
          <w:color w:val="auto"/>
        </w:rPr>
        <w:t>The Issuer has the right to redeem the Notes, in whole but not in part, on the quarterly Call Payment Dates beginning on September 22, 2026. If the Notes are redeemed, you will</w:t>
      </w:r>
    </w:p>
    <w:p>
      <w:pPr>
        <w:spacing w:after="0" w:line="238" w:lineRule="auto"/>
        <w:rPr>
          <w:sz w:val="20"/>
          <w:szCs w:val="20"/>
          <w:color w:val="auto"/>
        </w:rPr>
      </w:pPr>
      <w:r>
        <w:rPr>
          <w:rFonts w:ascii="Arial" w:cs="Arial" w:eastAsia="Arial" w:hAnsi="Arial"/>
          <w:sz w:val="14"/>
          <w:szCs w:val="14"/>
          <w:color w:val="auto"/>
        </w:rPr>
        <w:t>receive a cash payment equal to the Principal Amount plus the related Interest Payment on the applicable Call Payment Date. If the Notes are redeemed, no further amounts will be</w:t>
      </w:r>
    </w:p>
    <w:p>
      <w:pPr>
        <w:spacing w:after="0" w:line="238" w:lineRule="auto"/>
        <w:rPr>
          <w:sz w:val="20"/>
          <w:szCs w:val="20"/>
          <w:color w:val="auto"/>
        </w:rPr>
      </w:pPr>
      <w:r>
        <w:rPr>
          <w:rFonts w:ascii="Arial" w:cs="Arial" w:eastAsia="Arial" w:hAnsi="Arial"/>
          <w:sz w:val="14"/>
          <w:szCs w:val="14"/>
          <w:color w:val="auto"/>
        </w:rPr>
        <w:t>owed to you.</w:t>
      </w:r>
    </w:p>
    <w:p>
      <w:pPr>
        <w:spacing w:after="0" w:line="237"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b w:val="1"/>
          <w:bCs w:val="1"/>
          <w:color w:val="auto"/>
        </w:rPr>
        <w:t>Interest Payments</w:t>
      </w:r>
    </w:p>
    <w:p>
      <w:pPr>
        <w:spacing w:after="0" w:line="238" w:lineRule="auto"/>
        <w:rPr>
          <w:sz w:val="20"/>
          <w:szCs w:val="20"/>
          <w:color w:val="auto"/>
        </w:rPr>
      </w:pPr>
      <w:r>
        <w:rPr>
          <w:rFonts w:ascii="Arial" w:cs="Arial" w:eastAsia="Arial" w:hAnsi="Arial"/>
          <w:sz w:val="14"/>
          <w:szCs w:val="14"/>
          <w:color w:val="auto"/>
        </w:rPr>
        <w:t> </w:t>
      </w:r>
    </w:p>
    <w:p>
      <w:pPr>
        <w:spacing w:after="0"/>
        <w:rPr>
          <w:sz w:val="20"/>
          <w:szCs w:val="20"/>
          <w:color w:val="auto"/>
        </w:rPr>
      </w:pPr>
      <w:r>
        <w:rPr>
          <w:rFonts w:ascii="Arial" w:cs="Arial" w:eastAsia="Arial" w:hAnsi="Arial"/>
          <w:sz w:val="14"/>
          <w:szCs w:val="14"/>
          <w:color w:val="auto"/>
        </w:rPr>
        <w:t>Regardless of the performance of any Underlying, you will receive a quarterly fixed Interest Payment of $34.38 per $1,000 Principal Amount (or 3.438% of the Principal Amount, equivalent to 13.752% per annum) on each Interest Payment Date until the earlier of maturity or early redemption. For information regarding the record dates applicable to the Interest Payments on the Notes, see “Additional Terms of Notes—Certain Definitions—Record Date” on page S-52 of the accompanying underlying supplement.  </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 at Maturity</w:t>
      </w:r>
    </w:p>
    <w:p>
      <w:pPr>
        <w:spacing w:after="0" w:line="237"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color w:val="auto"/>
        </w:rPr>
        <w:t>Unless the Notes are redeemed, on the Maturity Date and for each $1,000 Principal Amount, in addition to the final Interest Payment, you will receive a cash payment determined</w:t>
      </w:r>
    </w:p>
    <w:p>
      <w:pPr>
        <w:spacing w:after="0" w:line="238" w:lineRule="auto"/>
        <w:rPr>
          <w:sz w:val="20"/>
          <w:szCs w:val="20"/>
          <w:color w:val="auto"/>
        </w:rPr>
      </w:pPr>
      <w:r>
        <w:rPr>
          <w:rFonts w:ascii="Arial" w:cs="Arial" w:eastAsia="Arial" w:hAnsi="Arial"/>
          <w:sz w:val="14"/>
          <w:szCs w:val="14"/>
          <w:color w:val="auto"/>
        </w:rPr>
        <w:t>as follows:</w:t>
      </w:r>
    </w:p>
    <w:p>
      <w:pPr>
        <w:spacing w:after="0" w:line="237"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Wingdings" w:cs="Wingdings" w:eastAsia="Wingdings" w:hAnsi="Wingdings"/>
          <w:sz w:val="14"/>
          <w:szCs w:val="14"/>
          <w:b w:val="1"/>
          <w:bCs w:val="1"/>
          <w:color w:val="7030A0"/>
        </w:rPr>
        <w:t xml:space="preserve">n </w:t>
      </w:r>
      <w:r>
        <w:rPr>
          <w:rFonts w:ascii="Arial" w:cs="Arial" w:eastAsia="Arial" w:hAnsi="Arial"/>
          <w:sz w:val="14"/>
          <w:szCs w:val="14"/>
          <w:b w:val="1"/>
          <w:bCs w:val="1"/>
          <w:color w:val="000000"/>
        </w:rPr>
        <w:t>If a Trigger Event does not occur or the Final Value of the Worst Performing Underlying is at or above its Initial Value:</w:t>
      </w:r>
    </w:p>
    <w:p>
      <w:pPr>
        <w:spacing w:after="0" w:line="238" w:lineRule="auto"/>
        <w:rPr>
          <w:sz w:val="20"/>
          <w:szCs w:val="20"/>
          <w:color w:val="auto"/>
        </w:rPr>
      </w:pPr>
      <w:r>
        <w:rPr>
          <w:rFonts w:ascii="Arial" w:cs="Arial" w:eastAsia="Arial" w:hAnsi="Arial"/>
          <w:sz w:val="14"/>
          <w:szCs w:val="14"/>
          <w:color w:val="auto"/>
        </w:rPr>
        <w:t> </w:t>
      </w:r>
    </w:p>
    <w:p>
      <w:pPr>
        <w:spacing w:after="0" w:line="237" w:lineRule="auto"/>
        <w:rPr>
          <w:sz w:val="20"/>
          <w:szCs w:val="20"/>
          <w:color w:val="auto"/>
        </w:rPr>
      </w:pPr>
      <w:r>
        <w:rPr>
          <w:rFonts w:ascii="Arial" w:cs="Arial" w:eastAsia="Arial" w:hAnsi="Arial"/>
          <w:sz w:val="14"/>
          <w:szCs w:val="14"/>
          <w:color w:val="auto"/>
        </w:rPr>
        <w:t>$1,000</w:t>
      </w:r>
    </w:p>
    <w:p>
      <w:pPr>
        <w:spacing w:after="0" w:line="238"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Wingdings" w:cs="Wingdings" w:eastAsia="Wingdings" w:hAnsi="Wingdings"/>
          <w:sz w:val="14"/>
          <w:szCs w:val="14"/>
          <w:b w:val="1"/>
          <w:bCs w:val="1"/>
          <w:color w:val="7030A0"/>
        </w:rPr>
        <w:t xml:space="preserve">n </w:t>
      </w:r>
      <w:r>
        <w:rPr>
          <w:rFonts w:ascii="Arial" w:cs="Arial" w:eastAsia="Arial" w:hAnsi="Arial"/>
          <w:sz w:val="14"/>
          <w:szCs w:val="14"/>
          <w:b w:val="1"/>
          <w:bCs w:val="1"/>
          <w:color w:val="000000"/>
        </w:rPr>
        <w:t>If a Trigger Event occurs and the Final Value of the Worst Performing Underlying is below its Initial Value:</w:t>
      </w:r>
    </w:p>
    <w:p>
      <w:pPr>
        <w:spacing w:after="0" w:line="237" w:lineRule="auto"/>
        <w:rPr>
          <w:sz w:val="20"/>
          <w:szCs w:val="20"/>
          <w:color w:val="auto"/>
        </w:rPr>
      </w:pPr>
      <w:r>
        <w:rPr>
          <w:rFonts w:ascii="Arial" w:cs="Arial" w:eastAsia="Arial" w:hAnsi="Arial"/>
          <w:sz w:val="14"/>
          <w:szCs w:val="14"/>
          <w:color w:val="auto"/>
        </w:rPr>
        <w:t> </w:t>
      </w:r>
    </w:p>
    <w:p>
      <w:pPr>
        <w:spacing w:after="0"/>
        <w:rPr>
          <w:sz w:val="20"/>
          <w:szCs w:val="20"/>
          <w:color w:val="auto"/>
        </w:rPr>
      </w:pPr>
      <w:r>
        <w:rPr>
          <w:rFonts w:ascii="Arial" w:cs="Arial" w:eastAsia="Arial" w:hAnsi="Arial"/>
          <w:sz w:val="14"/>
          <w:szCs w:val="14"/>
          <w:color w:val="auto"/>
        </w:rPr>
        <w:t>$1,000 + ($1,000 × Reference Return of the Worst Performing Underlying).</w:t>
      </w:r>
    </w:p>
    <w:p>
      <w:pPr>
        <w:spacing w:after="0" w:line="237" w:lineRule="auto"/>
        <w:rPr>
          <w:sz w:val="20"/>
          <w:szCs w:val="20"/>
          <w:color w:val="auto"/>
        </w:rPr>
      </w:pPr>
      <w:r>
        <w:rPr>
          <w:rFonts w:ascii="Arial" w:cs="Arial" w:eastAsia="Arial" w:hAnsi="Arial"/>
          <w:sz w:val="14"/>
          <w:szCs w:val="14"/>
          <w:color w:val="auto"/>
        </w:rPr>
        <w:t> </w:t>
      </w:r>
    </w:p>
    <w:p>
      <w:pPr>
        <w:spacing w:after="0" w:line="248" w:lineRule="auto"/>
        <w:rPr>
          <w:sz w:val="20"/>
          <w:szCs w:val="20"/>
          <w:color w:val="auto"/>
        </w:rPr>
      </w:pPr>
      <w:r>
        <w:rPr>
          <w:rFonts w:ascii="Arial" w:cs="Arial" w:eastAsia="Arial" w:hAnsi="Arial"/>
          <w:sz w:val="14"/>
          <w:szCs w:val="14"/>
          <w:color w:val="auto"/>
        </w:rPr>
        <w:t>If the Notes are not redeemed, a Trigger Event occurs and the Final Value of the Worst Performing Underlying is below its Initial Value, you will lose up to 100% of the Principal Amount. Even with the Interest Payments received during the term of the Notes, your return on the Notes may be negative in this case.  </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PS-5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t> </w:t>
      </w:r>
    </w:p>
    <w:p>
      <w:pPr>
        <w:sectPr>
          <w:pgSz w:w="11900" w:h="16838" w:orient="portrait"/>
          <w:cols w:equalWidth="0" w:num="1">
            <w:col w:w="11280"/>
          </w:cols>
          <w:pgMar w:left="300" w:top="204" w:right="31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7030A0"/>
        </w:rPr>
        <w:t>INVESTOR SUITABILITY</w:t>
      </w:r>
    </w:p>
    <w:p>
      <w:pPr>
        <w:spacing w:after="0" w:line="237"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b w:val="1"/>
          <w:bCs w:val="1"/>
          <w:color w:val="auto"/>
        </w:rPr>
        <w:t>The Notes may be suitable for you if:</w:t>
      </w:r>
    </w:p>
    <w:p>
      <w:pPr>
        <w:spacing w:after="0" w:line="235" w:lineRule="auto"/>
        <w:rPr>
          <w:sz w:val="20"/>
          <w:szCs w:val="20"/>
          <w:color w:val="auto"/>
        </w:rPr>
      </w:pPr>
      <w:r>
        <w:rPr>
          <w:rFonts w:ascii="Arial" w:cs="Arial" w:eastAsia="Arial" w:hAnsi="Arial"/>
          <w:sz w:val="14"/>
          <w:szCs w:val="14"/>
          <w:color w:val="auto"/>
        </w:rPr>
        <w:t> </w:t>
      </w:r>
    </w:p>
    <w:tbl>
      <w:tblPr>
        <w:tblLayout w:type="fixed"/>
        <w:tblInd w:w="0" w:type="dxa"/>
        <w:tblCellMar>
          <w:top w:w="0" w:type="dxa"/>
          <w:left w:w="0" w:type="dxa"/>
          <w:bottom w:w="0" w:type="dxa"/>
          <w:right w:w="0" w:type="dxa"/>
        </w:tblCellMar>
      </w:tblPr>
      <w:tr>
        <w:trPr>
          <w:trHeight w:val="152"/>
        </w:trPr>
        <w:tc>
          <w:tcPr>
            <w:tcW w:w="160" w:type="dxa"/>
            <w:vAlign w:val="bottom"/>
          </w:tcPr>
          <w:p>
            <w:pPr>
              <w:spacing w:after="0"/>
              <w:rPr>
                <w:sz w:val="13"/>
                <w:szCs w:val="13"/>
                <w:color w:val="auto"/>
              </w:rPr>
            </w:pPr>
          </w:p>
        </w:tc>
        <w:tc>
          <w:tcPr>
            <w:tcW w:w="5260" w:type="dxa"/>
            <w:vAlign w:val="bottom"/>
          </w:tcPr>
          <w:p>
            <w:pPr>
              <w:ind w:left="100"/>
              <w:spacing w:after="0" w:line="151" w:lineRule="exact"/>
              <w:rPr>
                <w:sz w:val="20"/>
                <w:szCs w:val="20"/>
                <w:color w:val="auto"/>
              </w:rPr>
            </w:pPr>
            <w:r>
              <w:rPr>
                <w:rFonts w:ascii="Arial" w:cs="Arial" w:eastAsia="Arial" w:hAnsi="Arial"/>
                <w:sz w:val="14"/>
                <w:szCs w:val="14"/>
                <w:color w:val="auto"/>
              </w:rPr>
              <w:t>You are a retail investor outside the EEA and the UK or an institutional buyer (for</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260" w:type="dxa"/>
            <w:vAlign w:val="bottom"/>
          </w:tcPr>
          <w:p>
            <w:pPr>
              <w:ind w:left="100"/>
              <w:spacing w:after="0" w:line="155" w:lineRule="exact"/>
              <w:rPr>
                <w:sz w:val="20"/>
                <w:szCs w:val="20"/>
                <w:color w:val="auto"/>
              </w:rPr>
            </w:pPr>
            <w:r>
              <w:rPr>
                <w:rFonts w:ascii="Arial" w:cs="Arial" w:eastAsia="Arial" w:hAnsi="Arial"/>
                <w:sz w:val="14"/>
                <w:szCs w:val="14"/>
                <w:color w:val="auto"/>
              </w:rPr>
              <w:t>restrictions on offers or sales to retail investors in the EEA and the UK, please see</w:t>
            </w:r>
          </w:p>
        </w:tc>
        <w:tc>
          <w:tcPr>
            <w:tcW w:w="0" w:type="dxa"/>
            <w:vAlign w:val="bottom"/>
          </w:tcPr>
          <w:p>
            <w:pPr>
              <w:spacing w:after="0"/>
              <w:rPr>
                <w:sz w:val="1"/>
                <w:szCs w:val="1"/>
                <w:color w:val="auto"/>
              </w:rPr>
            </w:pPr>
          </w:p>
        </w:tc>
      </w:tr>
      <w:tr>
        <w:trPr>
          <w:trHeight w:val="186"/>
        </w:trPr>
        <w:tc>
          <w:tcPr>
            <w:tcW w:w="16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60" w:type="dxa"/>
            <w:vAlign w:val="bottom"/>
          </w:tcPr>
          <w:p>
            <w:pPr>
              <w:ind w:left="100"/>
              <w:spacing w:after="0"/>
              <w:rPr>
                <w:sz w:val="20"/>
                <w:szCs w:val="20"/>
                <w:color w:val="auto"/>
              </w:rPr>
            </w:pPr>
            <w:r>
              <w:rPr>
                <w:rFonts w:ascii="Arial" w:cs="Arial" w:eastAsia="Arial" w:hAnsi="Arial"/>
                <w:sz w:val="14"/>
                <w:szCs w:val="14"/>
                <w:color w:val="auto"/>
              </w:rPr>
              <w:t>page ii of the accompanying prospectus supplement).</w:t>
            </w:r>
          </w:p>
        </w:tc>
        <w:tc>
          <w:tcPr>
            <w:tcW w:w="0" w:type="dxa"/>
            <w:vAlign w:val="bottom"/>
          </w:tcPr>
          <w:p>
            <w:pPr>
              <w:spacing w:after="0"/>
              <w:rPr>
                <w:sz w:val="1"/>
                <w:szCs w:val="1"/>
                <w:color w:val="auto"/>
              </w:rPr>
            </w:pPr>
          </w:p>
        </w:tc>
      </w:tr>
      <w:tr>
        <w:trPr>
          <w:trHeight w:val="145"/>
        </w:trPr>
        <w:tc>
          <w:tcPr>
            <w:tcW w:w="160" w:type="dxa"/>
            <w:vAlign w:val="bottom"/>
            <w:vMerge w:val="continue"/>
          </w:tcPr>
          <w:p>
            <w:pPr>
              <w:spacing w:after="0"/>
              <w:rPr>
                <w:sz w:val="12"/>
                <w:szCs w:val="12"/>
                <w:color w:val="auto"/>
              </w:rPr>
            </w:pPr>
          </w:p>
        </w:tc>
        <w:tc>
          <w:tcPr>
            <w:tcW w:w="5260" w:type="dxa"/>
            <w:vAlign w:val="bottom"/>
            <w:vMerge w:val="restart"/>
          </w:tcPr>
          <w:p>
            <w:pPr>
              <w:ind w:left="100"/>
              <w:spacing w:after="0"/>
              <w:rPr>
                <w:sz w:val="20"/>
                <w:szCs w:val="20"/>
                <w:color w:val="auto"/>
              </w:rPr>
            </w:pPr>
            <w:r>
              <w:rPr>
                <w:rFonts w:ascii="Arial" w:cs="Arial" w:eastAsia="Arial" w:hAnsi="Arial"/>
                <w:sz w:val="14"/>
                <w:szCs w:val="14"/>
                <w:color w:val="auto"/>
              </w:rPr>
              <w:t>You are an investor with the competence (either independently or with the support</w:t>
            </w: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5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260" w:type="dxa"/>
            <w:vAlign w:val="bottom"/>
          </w:tcPr>
          <w:p>
            <w:pPr>
              <w:ind w:left="100"/>
              <w:spacing w:after="0" w:line="155" w:lineRule="exact"/>
              <w:rPr>
                <w:sz w:val="20"/>
                <w:szCs w:val="20"/>
                <w:color w:val="auto"/>
              </w:rPr>
            </w:pPr>
            <w:r>
              <w:rPr>
                <w:rFonts w:ascii="Arial" w:cs="Arial" w:eastAsia="Arial" w:hAnsi="Arial"/>
                <w:sz w:val="14"/>
                <w:szCs w:val="14"/>
                <w:color w:val="auto"/>
              </w:rPr>
              <w:t>of a financial advisor) to assess the suitability of this investment based on your</w:t>
            </w:r>
          </w:p>
        </w:tc>
        <w:tc>
          <w:tcPr>
            <w:tcW w:w="0" w:type="dxa"/>
            <w:vAlign w:val="bottom"/>
          </w:tcPr>
          <w:p>
            <w:pPr>
              <w:spacing w:after="0"/>
              <w:rPr>
                <w:sz w:val="1"/>
                <w:szCs w:val="1"/>
                <w:color w:val="auto"/>
              </w:rPr>
            </w:pPr>
          </w:p>
        </w:tc>
      </w:tr>
      <w:tr>
        <w:trPr>
          <w:trHeight w:val="186"/>
        </w:trPr>
        <w:tc>
          <w:tcPr>
            <w:tcW w:w="16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60" w:type="dxa"/>
            <w:vAlign w:val="bottom"/>
          </w:tcPr>
          <w:p>
            <w:pPr>
              <w:ind w:left="100"/>
              <w:spacing w:after="0"/>
              <w:rPr>
                <w:sz w:val="20"/>
                <w:szCs w:val="20"/>
                <w:color w:val="auto"/>
              </w:rPr>
            </w:pPr>
            <w:r>
              <w:rPr>
                <w:rFonts w:ascii="Arial" w:cs="Arial" w:eastAsia="Arial" w:hAnsi="Arial"/>
                <w:sz w:val="14"/>
                <w:szCs w:val="14"/>
                <w:color w:val="auto"/>
              </w:rPr>
              <w:t>individual circumstances.</w:t>
            </w:r>
          </w:p>
        </w:tc>
        <w:tc>
          <w:tcPr>
            <w:tcW w:w="0" w:type="dxa"/>
            <w:vAlign w:val="bottom"/>
          </w:tcPr>
          <w:p>
            <w:pPr>
              <w:spacing w:after="0"/>
              <w:rPr>
                <w:sz w:val="1"/>
                <w:szCs w:val="1"/>
                <w:color w:val="auto"/>
              </w:rPr>
            </w:pPr>
          </w:p>
        </w:tc>
      </w:tr>
      <w:tr>
        <w:trPr>
          <w:trHeight w:val="145"/>
        </w:trPr>
        <w:tc>
          <w:tcPr>
            <w:tcW w:w="160" w:type="dxa"/>
            <w:vAlign w:val="bottom"/>
            <w:vMerge w:val="continue"/>
          </w:tcPr>
          <w:p>
            <w:pPr>
              <w:spacing w:after="0"/>
              <w:rPr>
                <w:sz w:val="12"/>
                <w:szCs w:val="12"/>
                <w:color w:val="auto"/>
              </w:rPr>
            </w:pPr>
          </w:p>
        </w:tc>
        <w:tc>
          <w:tcPr>
            <w:tcW w:w="5260" w:type="dxa"/>
            <w:vAlign w:val="bottom"/>
            <w:vMerge w:val="restart"/>
          </w:tcPr>
          <w:p>
            <w:pPr>
              <w:ind w:left="100"/>
              <w:spacing w:after="0"/>
              <w:rPr>
                <w:sz w:val="20"/>
                <w:szCs w:val="20"/>
                <w:color w:val="auto"/>
              </w:rPr>
            </w:pPr>
            <w:r>
              <w:rPr>
                <w:rFonts w:ascii="Arial" w:cs="Arial" w:eastAsia="Arial" w:hAnsi="Arial"/>
                <w:sz w:val="14"/>
                <w:szCs w:val="14"/>
                <w:color w:val="auto"/>
              </w:rPr>
              <w:t>You have the necessary knowledge and/or experience with structured products</w:t>
            </w: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5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6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60" w:type="dxa"/>
            <w:vAlign w:val="bottom"/>
          </w:tcPr>
          <w:p>
            <w:pPr>
              <w:ind w:left="100"/>
              <w:spacing w:after="0"/>
              <w:rPr>
                <w:sz w:val="20"/>
                <w:szCs w:val="20"/>
                <w:color w:val="auto"/>
              </w:rPr>
            </w:pPr>
            <w:r>
              <w:rPr>
                <w:rFonts w:ascii="Arial" w:cs="Arial" w:eastAsia="Arial" w:hAnsi="Arial"/>
                <w:sz w:val="14"/>
                <w:szCs w:val="14"/>
                <w:color w:val="auto"/>
              </w:rPr>
              <w:t>and are prepared to accept the corresponding risks.</w:t>
            </w:r>
          </w:p>
        </w:tc>
        <w:tc>
          <w:tcPr>
            <w:tcW w:w="0" w:type="dxa"/>
            <w:vAlign w:val="bottom"/>
          </w:tcPr>
          <w:p>
            <w:pPr>
              <w:spacing w:after="0"/>
              <w:rPr>
                <w:sz w:val="1"/>
                <w:szCs w:val="1"/>
                <w:color w:val="auto"/>
              </w:rPr>
            </w:pPr>
          </w:p>
        </w:tc>
      </w:tr>
      <w:tr>
        <w:trPr>
          <w:trHeight w:val="141"/>
        </w:trPr>
        <w:tc>
          <w:tcPr>
            <w:tcW w:w="160" w:type="dxa"/>
            <w:vAlign w:val="bottom"/>
            <w:vMerge w:val="continue"/>
          </w:tcPr>
          <w:p>
            <w:pPr>
              <w:spacing w:after="0"/>
              <w:rPr>
                <w:sz w:val="12"/>
                <w:szCs w:val="12"/>
                <w:color w:val="auto"/>
              </w:rPr>
            </w:pPr>
          </w:p>
        </w:tc>
        <w:tc>
          <w:tcPr>
            <w:tcW w:w="5260" w:type="dxa"/>
            <w:vAlign w:val="bottom"/>
            <w:vMerge w:val="restart"/>
          </w:tcPr>
          <w:p>
            <w:pPr>
              <w:ind w:left="100"/>
              <w:spacing w:after="0"/>
              <w:rPr>
                <w:sz w:val="20"/>
                <w:szCs w:val="20"/>
                <w:color w:val="auto"/>
              </w:rPr>
            </w:pPr>
            <w:r>
              <w:rPr>
                <w:rFonts w:ascii="Arial" w:cs="Arial" w:eastAsia="Arial" w:hAnsi="Arial"/>
                <w:sz w:val="14"/>
                <w:szCs w:val="14"/>
                <w:color w:val="auto"/>
              </w:rPr>
              <w:t>You believe that a Trigger Event will not occur or the Final Value of the Worst</w:t>
            </w: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5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6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60" w:type="dxa"/>
            <w:vAlign w:val="bottom"/>
          </w:tcPr>
          <w:p>
            <w:pPr>
              <w:ind w:left="100"/>
              <w:spacing w:after="0"/>
              <w:rPr>
                <w:sz w:val="20"/>
                <w:szCs w:val="20"/>
                <w:color w:val="auto"/>
              </w:rPr>
            </w:pPr>
            <w:r>
              <w:rPr>
                <w:rFonts w:ascii="Arial" w:cs="Arial" w:eastAsia="Arial" w:hAnsi="Arial"/>
                <w:sz w:val="14"/>
                <w:szCs w:val="14"/>
                <w:color w:val="auto"/>
              </w:rPr>
              <w:t>Performing Underlying will be at or above its Initial Value.</w:t>
            </w:r>
          </w:p>
        </w:tc>
        <w:tc>
          <w:tcPr>
            <w:tcW w:w="0" w:type="dxa"/>
            <w:vAlign w:val="bottom"/>
          </w:tcPr>
          <w:p>
            <w:pPr>
              <w:spacing w:after="0"/>
              <w:rPr>
                <w:sz w:val="1"/>
                <w:szCs w:val="1"/>
                <w:color w:val="auto"/>
              </w:rPr>
            </w:pPr>
          </w:p>
        </w:tc>
      </w:tr>
      <w:tr>
        <w:trPr>
          <w:trHeight w:val="141"/>
        </w:trPr>
        <w:tc>
          <w:tcPr>
            <w:tcW w:w="160" w:type="dxa"/>
            <w:vAlign w:val="bottom"/>
            <w:vMerge w:val="continue"/>
          </w:tcPr>
          <w:p>
            <w:pPr>
              <w:spacing w:after="0"/>
              <w:rPr>
                <w:sz w:val="12"/>
                <w:szCs w:val="12"/>
                <w:color w:val="auto"/>
              </w:rPr>
            </w:pPr>
          </w:p>
        </w:tc>
        <w:tc>
          <w:tcPr>
            <w:tcW w:w="5260" w:type="dxa"/>
            <w:vAlign w:val="bottom"/>
            <w:vMerge w:val="restart"/>
          </w:tcPr>
          <w:p>
            <w:pPr>
              <w:ind w:left="100"/>
              <w:spacing w:after="0"/>
              <w:rPr>
                <w:sz w:val="20"/>
                <w:szCs w:val="20"/>
                <w:color w:val="auto"/>
              </w:rPr>
            </w:pPr>
            <w:r>
              <w:rPr>
                <w:rFonts w:ascii="Arial" w:cs="Arial" w:eastAsia="Arial" w:hAnsi="Arial"/>
                <w:sz w:val="14"/>
                <w:szCs w:val="14"/>
                <w:color w:val="auto"/>
              </w:rPr>
              <w:t>You seek quarterly fixed Interest Payments regardless of the performance of any</w:t>
            </w: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5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6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60" w:type="dxa"/>
            <w:vAlign w:val="bottom"/>
          </w:tcPr>
          <w:p>
            <w:pPr>
              <w:ind w:left="100"/>
              <w:spacing w:after="0"/>
              <w:rPr>
                <w:sz w:val="20"/>
                <w:szCs w:val="20"/>
                <w:color w:val="auto"/>
              </w:rPr>
            </w:pPr>
            <w:r>
              <w:rPr>
                <w:rFonts w:ascii="Arial" w:cs="Arial" w:eastAsia="Arial" w:hAnsi="Arial"/>
                <w:sz w:val="14"/>
                <w:szCs w:val="14"/>
                <w:color w:val="auto"/>
              </w:rPr>
              <w:t>Underlying until the earlier of maturity or early redemption.</w:t>
            </w:r>
          </w:p>
        </w:tc>
        <w:tc>
          <w:tcPr>
            <w:tcW w:w="0" w:type="dxa"/>
            <w:vAlign w:val="bottom"/>
          </w:tcPr>
          <w:p>
            <w:pPr>
              <w:spacing w:after="0"/>
              <w:rPr>
                <w:sz w:val="1"/>
                <w:szCs w:val="1"/>
                <w:color w:val="auto"/>
              </w:rPr>
            </w:pPr>
          </w:p>
        </w:tc>
      </w:tr>
      <w:tr>
        <w:trPr>
          <w:trHeight w:val="141"/>
        </w:trPr>
        <w:tc>
          <w:tcPr>
            <w:tcW w:w="160" w:type="dxa"/>
            <w:vAlign w:val="bottom"/>
            <w:vMerge w:val="continue"/>
          </w:tcPr>
          <w:p>
            <w:pPr>
              <w:spacing w:after="0"/>
              <w:rPr>
                <w:sz w:val="12"/>
                <w:szCs w:val="12"/>
                <w:color w:val="auto"/>
              </w:rPr>
            </w:pPr>
          </w:p>
        </w:tc>
        <w:tc>
          <w:tcPr>
            <w:tcW w:w="5260" w:type="dxa"/>
            <w:vAlign w:val="bottom"/>
            <w:vMerge w:val="restart"/>
          </w:tcPr>
          <w:p>
            <w:pPr>
              <w:ind w:left="100"/>
              <w:spacing w:after="0"/>
              <w:rPr>
                <w:sz w:val="20"/>
                <w:szCs w:val="20"/>
                <w:color w:val="auto"/>
              </w:rPr>
            </w:pPr>
            <w:r>
              <w:rPr>
                <w:rFonts w:ascii="Arial" w:cs="Arial" w:eastAsia="Arial" w:hAnsi="Arial"/>
                <w:sz w:val="14"/>
                <w:szCs w:val="14"/>
                <w:color w:val="auto"/>
              </w:rPr>
              <w:t>You are willing to invest in the Notes based on the fact that your maximum</w:t>
            </w: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5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6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60" w:type="dxa"/>
            <w:vAlign w:val="bottom"/>
          </w:tcPr>
          <w:p>
            <w:pPr>
              <w:ind w:left="100"/>
              <w:spacing w:after="0"/>
              <w:rPr>
                <w:sz w:val="20"/>
                <w:szCs w:val="20"/>
                <w:color w:val="auto"/>
              </w:rPr>
            </w:pPr>
            <w:r>
              <w:rPr>
                <w:rFonts w:ascii="Arial" w:cs="Arial" w:eastAsia="Arial" w:hAnsi="Arial"/>
                <w:sz w:val="14"/>
                <w:szCs w:val="14"/>
                <w:color w:val="auto"/>
              </w:rPr>
              <w:t>potential return is limited to the Interest Payments payable on the Notes.</w:t>
            </w:r>
          </w:p>
        </w:tc>
        <w:tc>
          <w:tcPr>
            <w:tcW w:w="0" w:type="dxa"/>
            <w:vAlign w:val="bottom"/>
          </w:tcPr>
          <w:p>
            <w:pPr>
              <w:spacing w:after="0"/>
              <w:rPr>
                <w:sz w:val="1"/>
                <w:szCs w:val="1"/>
                <w:color w:val="auto"/>
              </w:rPr>
            </w:pPr>
          </w:p>
        </w:tc>
      </w:tr>
      <w:tr>
        <w:trPr>
          <w:trHeight w:val="141"/>
        </w:trPr>
        <w:tc>
          <w:tcPr>
            <w:tcW w:w="160" w:type="dxa"/>
            <w:vAlign w:val="bottom"/>
            <w:vMerge w:val="continue"/>
          </w:tcPr>
          <w:p>
            <w:pPr>
              <w:spacing w:after="0"/>
              <w:rPr>
                <w:sz w:val="12"/>
                <w:szCs w:val="12"/>
                <w:color w:val="auto"/>
              </w:rPr>
            </w:pPr>
          </w:p>
        </w:tc>
        <w:tc>
          <w:tcPr>
            <w:tcW w:w="5260" w:type="dxa"/>
            <w:vAlign w:val="bottom"/>
            <w:vMerge w:val="restart"/>
          </w:tcPr>
          <w:p>
            <w:pPr>
              <w:ind w:left="100"/>
              <w:spacing w:after="0"/>
              <w:rPr>
                <w:sz w:val="20"/>
                <w:szCs w:val="20"/>
                <w:color w:val="auto"/>
              </w:rPr>
            </w:pPr>
            <w:r>
              <w:rPr>
                <w:rFonts w:ascii="Arial" w:cs="Arial" w:eastAsia="Arial" w:hAnsi="Arial"/>
                <w:sz w:val="14"/>
                <w:szCs w:val="14"/>
                <w:color w:val="auto"/>
              </w:rPr>
              <w:t>You do not seek an investment that provides an opportunity to participate in the</w:t>
            </w: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5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6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60" w:type="dxa"/>
            <w:vAlign w:val="bottom"/>
          </w:tcPr>
          <w:p>
            <w:pPr>
              <w:ind w:left="100"/>
              <w:spacing w:after="0"/>
              <w:rPr>
                <w:sz w:val="20"/>
                <w:szCs w:val="20"/>
                <w:color w:val="auto"/>
              </w:rPr>
            </w:pPr>
            <w:r>
              <w:rPr>
                <w:rFonts w:ascii="Arial" w:cs="Arial" w:eastAsia="Arial" w:hAnsi="Arial"/>
                <w:sz w:val="14"/>
                <w:szCs w:val="14"/>
                <w:color w:val="auto"/>
              </w:rPr>
              <w:t>appreciation of any Underlying.</w:t>
            </w:r>
          </w:p>
        </w:tc>
        <w:tc>
          <w:tcPr>
            <w:tcW w:w="0" w:type="dxa"/>
            <w:vAlign w:val="bottom"/>
          </w:tcPr>
          <w:p>
            <w:pPr>
              <w:spacing w:after="0"/>
              <w:rPr>
                <w:sz w:val="1"/>
                <w:szCs w:val="1"/>
                <w:color w:val="auto"/>
              </w:rPr>
            </w:pPr>
          </w:p>
        </w:tc>
      </w:tr>
      <w:tr>
        <w:trPr>
          <w:trHeight w:val="141"/>
        </w:trPr>
        <w:tc>
          <w:tcPr>
            <w:tcW w:w="160" w:type="dxa"/>
            <w:vAlign w:val="bottom"/>
            <w:vMerge w:val="continue"/>
          </w:tcPr>
          <w:p>
            <w:pPr>
              <w:spacing w:after="0"/>
              <w:rPr>
                <w:sz w:val="12"/>
                <w:szCs w:val="12"/>
                <w:color w:val="auto"/>
              </w:rPr>
            </w:pPr>
          </w:p>
        </w:tc>
        <w:tc>
          <w:tcPr>
            <w:tcW w:w="5260" w:type="dxa"/>
            <w:vAlign w:val="bottom"/>
            <w:vMerge w:val="restart"/>
          </w:tcPr>
          <w:p>
            <w:pPr>
              <w:ind w:left="100"/>
              <w:spacing w:after="0"/>
              <w:rPr>
                <w:sz w:val="20"/>
                <w:szCs w:val="20"/>
                <w:color w:val="auto"/>
              </w:rPr>
            </w:pPr>
            <w:r>
              <w:rPr>
                <w:rFonts w:ascii="Arial" w:cs="Arial" w:eastAsia="Arial" w:hAnsi="Arial"/>
                <w:sz w:val="14"/>
                <w:szCs w:val="14"/>
                <w:color w:val="auto"/>
              </w:rPr>
              <w:t>You are willing to make an investment that is exposed to the potential downside</w:t>
            </w: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5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260" w:type="dxa"/>
            <w:vAlign w:val="bottom"/>
          </w:tcPr>
          <w:p>
            <w:pPr>
              <w:ind w:left="100"/>
              <w:spacing w:after="0" w:line="155" w:lineRule="exact"/>
              <w:rPr>
                <w:sz w:val="20"/>
                <w:szCs w:val="20"/>
                <w:color w:val="auto"/>
              </w:rPr>
            </w:pPr>
            <w:r>
              <w:rPr>
                <w:rFonts w:ascii="Arial" w:cs="Arial" w:eastAsia="Arial" w:hAnsi="Arial"/>
                <w:sz w:val="14"/>
                <w:szCs w:val="14"/>
                <w:color w:val="auto"/>
              </w:rPr>
              <w:t>performance of the Worst Performing Underlying on a 1-to-1 basis if the Notes are</w:t>
            </w:r>
          </w:p>
        </w:tc>
        <w:tc>
          <w:tcPr>
            <w:tcW w:w="0" w:type="dxa"/>
            <w:vAlign w:val="bottom"/>
          </w:tcPr>
          <w:p>
            <w:pPr>
              <w:spacing w:after="0"/>
              <w:rPr>
                <w:sz w:val="1"/>
                <w:szCs w:val="1"/>
                <w:color w:val="auto"/>
              </w:rPr>
            </w:pPr>
          </w:p>
        </w:tc>
      </w:tr>
      <w:tr>
        <w:trPr>
          <w:trHeight w:val="186"/>
        </w:trPr>
        <w:tc>
          <w:tcPr>
            <w:tcW w:w="16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60" w:type="dxa"/>
            <w:vAlign w:val="bottom"/>
          </w:tcPr>
          <w:p>
            <w:pPr>
              <w:ind w:left="100"/>
              <w:spacing w:after="0"/>
              <w:rPr>
                <w:sz w:val="20"/>
                <w:szCs w:val="20"/>
                <w:color w:val="auto"/>
              </w:rPr>
            </w:pPr>
            <w:r>
              <w:rPr>
                <w:rFonts w:ascii="Arial" w:cs="Arial" w:eastAsia="Arial" w:hAnsi="Arial"/>
                <w:sz w:val="14"/>
                <w:szCs w:val="14"/>
                <w:color w:val="auto"/>
              </w:rPr>
              <w:t>not redeemed and a Trigger Event occurs.</w:t>
            </w:r>
          </w:p>
        </w:tc>
        <w:tc>
          <w:tcPr>
            <w:tcW w:w="0" w:type="dxa"/>
            <w:vAlign w:val="bottom"/>
          </w:tcPr>
          <w:p>
            <w:pPr>
              <w:spacing w:after="0"/>
              <w:rPr>
                <w:sz w:val="1"/>
                <w:szCs w:val="1"/>
                <w:color w:val="auto"/>
              </w:rPr>
            </w:pPr>
          </w:p>
        </w:tc>
      </w:tr>
      <w:tr>
        <w:trPr>
          <w:trHeight w:val="145"/>
        </w:trPr>
        <w:tc>
          <w:tcPr>
            <w:tcW w:w="160" w:type="dxa"/>
            <w:vAlign w:val="bottom"/>
            <w:vMerge w:val="continue"/>
          </w:tcPr>
          <w:p>
            <w:pPr>
              <w:spacing w:after="0"/>
              <w:rPr>
                <w:sz w:val="12"/>
                <w:szCs w:val="12"/>
                <w:color w:val="auto"/>
              </w:rPr>
            </w:pPr>
          </w:p>
        </w:tc>
        <w:tc>
          <w:tcPr>
            <w:tcW w:w="5260" w:type="dxa"/>
            <w:vAlign w:val="bottom"/>
            <w:vMerge w:val="restart"/>
          </w:tcPr>
          <w:p>
            <w:pPr>
              <w:ind w:left="100"/>
              <w:spacing w:after="0"/>
              <w:rPr>
                <w:sz w:val="20"/>
                <w:szCs w:val="20"/>
                <w:color w:val="auto"/>
              </w:rPr>
            </w:pPr>
            <w:r>
              <w:rPr>
                <w:rFonts w:ascii="Arial" w:cs="Arial" w:eastAsia="Arial" w:hAnsi="Arial"/>
                <w:sz w:val="14"/>
                <w:szCs w:val="14"/>
                <w:color w:val="auto"/>
              </w:rPr>
              <w:t>You are willing to lose up to 100% of the Principal Amount.</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20"/>
                <w:szCs w:val="20"/>
                <w:color w:val="auto"/>
              </w:rPr>
            </w:pPr>
            <w:r>
              <w:rPr>
                <w:rFonts w:ascii="Arial" w:cs="Arial" w:eastAsia="Arial" w:hAnsi="Arial"/>
                <w:sz w:val="14"/>
                <w:szCs w:val="14"/>
                <w:color w:val="auto"/>
              </w:rPr>
              <w:t> </w:t>
            </w:r>
          </w:p>
        </w:tc>
        <w:tc>
          <w:tcPr>
            <w:tcW w:w="5260" w:type="dxa"/>
            <w:vAlign w:val="bottom"/>
            <w:vMerge w:val="restart"/>
          </w:tcPr>
          <w:p>
            <w:pPr>
              <w:ind w:left="100"/>
              <w:spacing w:after="0"/>
              <w:rPr>
                <w:sz w:val="20"/>
                <w:szCs w:val="20"/>
                <w:color w:val="auto"/>
              </w:rPr>
            </w:pPr>
            <w:r>
              <w:rPr>
                <w:rFonts w:ascii="Arial" w:cs="Arial" w:eastAsia="Arial" w:hAnsi="Arial"/>
                <w:sz w:val="14"/>
                <w:szCs w:val="14"/>
                <w:color w:val="auto"/>
              </w:rPr>
              <w:t>You  understand  that  the  return  on  the  Notes  will  depend  solely  on  the</w:t>
            </w: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5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260" w:type="dxa"/>
            <w:vAlign w:val="bottom"/>
          </w:tcPr>
          <w:p>
            <w:pPr>
              <w:ind w:left="100"/>
              <w:spacing w:after="0" w:line="155" w:lineRule="exact"/>
              <w:rPr>
                <w:sz w:val="20"/>
                <w:szCs w:val="20"/>
                <w:color w:val="auto"/>
              </w:rPr>
            </w:pPr>
            <w:r>
              <w:rPr>
                <w:rFonts w:ascii="Arial" w:cs="Arial" w:eastAsia="Arial" w:hAnsi="Arial"/>
                <w:sz w:val="14"/>
                <w:szCs w:val="14"/>
                <w:color w:val="auto"/>
              </w:rPr>
              <w:t>performance of the Worst Performing Underlying and consequently, the Notes are</w:t>
            </w:r>
          </w:p>
        </w:tc>
        <w:tc>
          <w:tcPr>
            <w:tcW w:w="0" w:type="dxa"/>
            <w:vAlign w:val="bottom"/>
          </w:tcPr>
          <w:p>
            <w:pPr>
              <w:spacing w:after="0"/>
              <w:rPr>
                <w:sz w:val="1"/>
                <w:szCs w:val="1"/>
                <w:color w:val="auto"/>
              </w:rPr>
            </w:pPr>
          </w:p>
        </w:tc>
      </w:tr>
      <w:tr>
        <w:trPr>
          <w:trHeight w:val="159"/>
        </w:trPr>
        <w:tc>
          <w:tcPr>
            <w:tcW w:w="160" w:type="dxa"/>
            <w:vAlign w:val="bottom"/>
          </w:tcPr>
          <w:p>
            <w:pPr>
              <w:spacing w:after="0"/>
              <w:rPr>
                <w:sz w:val="13"/>
                <w:szCs w:val="13"/>
                <w:color w:val="auto"/>
              </w:rPr>
            </w:pPr>
          </w:p>
        </w:tc>
        <w:tc>
          <w:tcPr>
            <w:tcW w:w="5260" w:type="dxa"/>
            <w:vAlign w:val="bottom"/>
          </w:tcPr>
          <w:p>
            <w:pPr>
              <w:ind w:left="100"/>
              <w:spacing w:after="0" w:line="159" w:lineRule="exact"/>
              <w:rPr>
                <w:sz w:val="20"/>
                <w:szCs w:val="20"/>
                <w:color w:val="auto"/>
              </w:rPr>
            </w:pPr>
            <w:r>
              <w:rPr>
                <w:rFonts w:ascii="Arial" w:cs="Arial" w:eastAsia="Arial" w:hAnsi="Arial"/>
                <w:sz w:val="14"/>
                <w:szCs w:val="14"/>
                <w:color w:val="auto"/>
              </w:rPr>
              <w:t>riskier than alternative investments linked to only one of the Underlyings or linked</w:t>
            </w:r>
          </w:p>
        </w:tc>
        <w:tc>
          <w:tcPr>
            <w:tcW w:w="0" w:type="dxa"/>
            <w:vAlign w:val="bottom"/>
          </w:tcPr>
          <w:p>
            <w:pPr>
              <w:spacing w:after="0"/>
              <w:rPr>
                <w:sz w:val="1"/>
                <w:szCs w:val="1"/>
                <w:color w:val="auto"/>
              </w:rPr>
            </w:pPr>
          </w:p>
        </w:tc>
      </w:tr>
      <w:tr>
        <w:trPr>
          <w:trHeight w:val="186"/>
        </w:trPr>
        <w:tc>
          <w:tcPr>
            <w:tcW w:w="16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60" w:type="dxa"/>
            <w:vAlign w:val="bottom"/>
          </w:tcPr>
          <w:p>
            <w:pPr>
              <w:ind w:left="100"/>
              <w:spacing w:after="0"/>
              <w:rPr>
                <w:sz w:val="20"/>
                <w:szCs w:val="20"/>
                <w:color w:val="auto"/>
              </w:rPr>
            </w:pPr>
            <w:r>
              <w:rPr>
                <w:rFonts w:ascii="Arial" w:cs="Arial" w:eastAsia="Arial" w:hAnsi="Arial"/>
                <w:sz w:val="14"/>
                <w:szCs w:val="14"/>
                <w:color w:val="auto"/>
              </w:rPr>
              <w:t>to a basket composed of the Underlyings.</w:t>
            </w:r>
          </w:p>
        </w:tc>
        <w:tc>
          <w:tcPr>
            <w:tcW w:w="0" w:type="dxa"/>
            <w:vAlign w:val="bottom"/>
          </w:tcPr>
          <w:p>
            <w:pPr>
              <w:spacing w:after="0"/>
              <w:rPr>
                <w:sz w:val="1"/>
                <w:szCs w:val="1"/>
                <w:color w:val="auto"/>
              </w:rPr>
            </w:pPr>
          </w:p>
        </w:tc>
      </w:tr>
      <w:tr>
        <w:trPr>
          <w:trHeight w:val="145"/>
        </w:trPr>
        <w:tc>
          <w:tcPr>
            <w:tcW w:w="160" w:type="dxa"/>
            <w:vAlign w:val="bottom"/>
            <w:vMerge w:val="continue"/>
          </w:tcPr>
          <w:p>
            <w:pPr>
              <w:spacing w:after="0"/>
              <w:rPr>
                <w:sz w:val="12"/>
                <w:szCs w:val="12"/>
                <w:color w:val="auto"/>
              </w:rPr>
            </w:pPr>
          </w:p>
        </w:tc>
        <w:tc>
          <w:tcPr>
            <w:tcW w:w="5260" w:type="dxa"/>
            <w:vAlign w:val="bottom"/>
            <w:vMerge w:val="restart"/>
          </w:tcPr>
          <w:p>
            <w:pPr>
              <w:ind w:left="100"/>
              <w:spacing w:after="0"/>
              <w:rPr>
                <w:sz w:val="20"/>
                <w:szCs w:val="20"/>
                <w:color w:val="auto"/>
              </w:rPr>
            </w:pPr>
            <w:r>
              <w:rPr>
                <w:rFonts w:ascii="Arial" w:cs="Arial" w:eastAsia="Arial" w:hAnsi="Arial"/>
                <w:sz w:val="14"/>
                <w:szCs w:val="14"/>
                <w:color w:val="auto"/>
              </w:rPr>
              <w:t>You are willing to hold the Notes which will be redeemed prior to maturity at our</w:t>
            </w: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5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260" w:type="dxa"/>
            <w:vAlign w:val="bottom"/>
          </w:tcPr>
          <w:p>
            <w:pPr>
              <w:ind w:left="100"/>
              <w:spacing w:after="0" w:line="155" w:lineRule="exact"/>
              <w:rPr>
                <w:sz w:val="20"/>
                <w:szCs w:val="20"/>
                <w:color w:val="auto"/>
              </w:rPr>
            </w:pPr>
            <w:r>
              <w:rPr>
                <w:rFonts w:ascii="Arial" w:cs="Arial" w:eastAsia="Arial" w:hAnsi="Arial"/>
                <w:sz w:val="14"/>
                <w:szCs w:val="14"/>
                <w:color w:val="auto"/>
              </w:rPr>
              <w:t>option on any Call Payment Date, or you are otherwise willing to hold the Notes to</w:t>
            </w:r>
          </w:p>
        </w:tc>
        <w:tc>
          <w:tcPr>
            <w:tcW w:w="0" w:type="dxa"/>
            <w:vAlign w:val="bottom"/>
          </w:tcPr>
          <w:p>
            <w:pPr>
              <w:spacing w:after="0"/>
              <w:rPr>
                <w:sz w:val="1"/>
                <w:szCs w:val="1"/>
                <w:color w:val="auto"/>
              </w:rPr>
            </w:pPr>
          </w:p>
        </w:tc>
      </w:tr>
      <w:tr>
        <w:trPr>
          <w:trHeight w:val="186"/>
        </w:trPr>
        <w:tc>
          <w:tcPr>
            <w:tcW w:w="16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60" w:type="dxa"/>
            <w:vAlign w:val="bottom"/>
          </w:tcPr>
          <w:p>
            <w:pPr>
              <w:ind w:left="100"/>
              <w:spacing w:after="0"/>
              <w:rPr>
                <w:sz w:val="20"/>
                <w:szCs w:val="20"/>
                <w:color w:val="auto"/>
              </w:rPr>
            </w:pPr>
            <w:r>
              <w:rPr>
                <w:rFonts w:ascii="Arial" w:cs="Arial" w:eastAsia="Arial" w:hAnsi="Arial"/>
                <w:sz w:val="14"/>
                <w:szCs w:val="14"/>
                <w:color w:val="auto"/>
              </w:rPr>
              <w:t>maturity.</w:t>
            </w:r>
          </w:p>
        </w:tc>
        <w:tc>
          <w:tcPr>
            <w:tcW w:w="0" w:type="dxa"/>
            <w:vAlign w:val="bottom"/>
          </w:tcPr>
          <w:p>
            <w:pPr>
              <w:spacing w:after="0"/>
              <w:rPr>
                <w:sz w:val="1"/>
                <w:szCs w:val="1"/>
                <w:color w:val="auto"/>
              </w:rPr>
            </w:pPr>
          </w:p>
        </w:tc>
      </w:tr>
      <w:tr>
        <w:trPr>
          <w:trHeight w:val="145"/>
        </w:trPr>
        <w:tc>
          <w:tcPr>
            <w:tcW w:w="160" w:type="dxa"/>
            <w:vAlign w:val="bottom"/>
            <w:vMerge w:val="continue"/>
          </w:tcPr>
          <w:p>
            <w:pPr>
              <w:spacing w:after="0"/>
              <w:rPr>
                <w:sz w:val="12"/>
                <w:szCs w:val="12"/>
                <w:color w:val="auto"/>
              </w:rPr>
            </w:pPr>
          </w:p>
        </w:tc>
        <w:tc>
          <w:tcPr>
            <w:tcW w:w="5260" w:type="dxa"/>
            <w:vAlign w:val="bottom"/>
            <w:vMerge w:val="restart"/>
          </w:tcPr>
          <w:p>
            <w:pPr>
              <w:ind w:left="100"/>
              <w:spacing w:after="0"/>
              <w:rPr>
                <w:sz w:val="20"/>
                <w:szCs w:val="20"/>
                <w:color w:val="auto"/>
              </w:rPr>
            </w:pPr>
            <w:r>
              <w:rPr>
                <w:rFonts w:ascii="Arial" w:cs="Arial" w:eastAsia="Arial" w:hAnsi="Arial"/>
                <w:sz w:val="14"/>
                <w:szCs w:val="14"/>
                <w:color w:val="auto"/>
              </w:rPr>
              <w:t>You are willing to forgo the dividends or other distributions paid on the stocks</w:t>
            </w: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5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6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60" w:type="dxa"/>
            <w:vAlign w:val="bottom"/>
          </w:tcPr>
          <w:p>
            <w:pPr>
              <w:ind w:left="100"/>
              <w:spacing w:after="0"/>
              <w:rPr>
                <w:sz w:val="20"/>
                <w:szCs w:val="20"/>
                <w:color w:val="auto"/>
              </w:rPr>
            </w:pPr>
            <w:r>
              <w:rPr>
                <w:rFonts w:ascii="Arial" w:cs="Arial" w:eastAsia="Arial" w:hAnsi="Arial"/>
                <w:sz w:val="14"/>
                <w:szCs w:val="14"/>
                <w:color w:val="auto"/>
              </w:rPr>
              <w:t>included in the Underlyings.</w:t>
            </w:r>
          </w:p>
        </w:tc>
        <w:tc>
          <w:tcPr>
            <w:tcW w:w="0" w:type="dxa"/>
            <w:vAlign w:val="bottom"/>
          </w:tcPr>
          <w:p>
            <w:pPr>
              <w:spacing w:after="0"/>
              <w:rPr>
                <w:sz w:val="1"/>
                <w:szCs w:val="1"/>
                <w:color w:val="auto"/>
              </w:rPr>
            </w:pPr>
          </w:p>
        </w:tc>
      </w:tr>
      <w:tr>
        <w:trPr>
          <w:trHeight w:val="141"/>
        </w:trPr>
        <w:tc>
          <w:tcPr>
            <w:tcW w:w="160" w:type="dxa"/>
            <w:vAlign w:val="bottom"/>
            <w:vMerge w:val="continue"/>
          </w:tcPr>
          <w:p>
            <w:pPr>
              <w:spacing w:after="0"/>
              <w:rPr>
                <w:sz w:val="12"/>
                <w:szCs w:val="12"/>
                <w:color w:val="auto"/>
              </w:rPr>
            </w:pPr>
          </w:p>
        </w:tc>
        <w:tc>
          <w:tcPr>
            <w:tcW w:w="5260" w:type="dxa"/>
            <w:vAlign w:val="bottom"/>
            <w:vMerge w:val="restart"/>
          </w:tcPr>
          <w:p>
            <w:pPr>
              <w:ind w:left="100"/>
              <w:spacing w:after="0"/>
              <w:rPr>
                <w:sz w:val="20"/>
                <w:szCs w:val="20"/>
                <w:color w:val="auto"/>
              </w:rPr>
            </w:pPr>
            <w:r>
              <w:rPr>
                <w:rFonts w:ascii="Arial" w:cs="Arial" w:eastAsia="Arial" w:hAnsi="Arial"/>
                <w:sz w:val="14"/>
                <w:szCs w:val="14"/>
                <w:color w:val="auto"/>
              </w:rPr>
              <w:t>You do not seek an investment for which there will be an active secondary market.</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20"/>
                <w:szCs w:val="20"/>
                <w:color w:val="auto"/>
              </w:rPr>
            </w:pPr>
            <w:r>
              <w:rPr>
                <w:rFonts w:ascii="Arial" w:cs="Arial" w:eastAsia="Arial" w:hAnsi="Arial"/>
                <w:sz w:val="14"/>
                <w:szCs w:val="14"/>
                <w:color w:val="auto"/>
              </w:rPr>
              <w:t> </w:t>
            </w:r>
          </w:p>
        </w:tc>
        <w:tc>
          <w:tcPr>
            <w:tcW w:w="5260" w:type="dxa"/>
            <w:vAlign w:val="bottom"/>
            <w:vMerge w:val="restart"/>
          </w:tcPr>
          <w:p>
            <w:pPr>
              <w:ind w:left="100"/>
              <w:spacing w:after="0"/>
              <w:rPr>
                <w:sz w:val="20"/>
                <w:szCs w:val="20"/>
                <w:color w:val="auto"/>
              </w:rPr>
            </w:pPr>
            <w:r>
              <w:rPr>
                <w:rFonts w:ascii="Arial" w:cs="Arial" w:eastAsia="Arial" w:hAnsi="Arial"/>
                <w:sz w:val="14"/>
                <w:szCs w:val="14"/>
                <w:color w:val="auto"/>
              </w:rPr>
              <w:t>You are willing to accept the risk and return profile of the Notes versus a</w:t>
            </w: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5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260" w:type="dxa"/>
            <w:vAlign w:val="bottom"/>
          </w:tcPr>
          <w:p>
            <w:pPr>
              <w:ind w:left="100"/>
              <w:spacing w:after="0" w:line="155" w:lineRule="exact"/>
              <w:rPr>
                <w:sz w:val="20"/>
                <w:szCs w:val="20"/>
                <w:color w:val="auto"/>
              </w:rPr>
            </w:pPr>
            <w:r>
              <w:rPr>
                <w:rFonts w:ascii="Arial" w:cs="Arial" w:eastAsia="Arial" w:hAnsi="Arial"/>
                <w:sz w:val="14"/>
                <w:szCs w:val="14"/>
                <w:color w:val="auto"/>
              </w:rPr>
              <w:t>conventional debt security with a comparable maturity issued by Marex or another</w:t>
            </w:r>
          </w:p>
        </w:tc>
        <w:tc>
          <w:tcPr>
            <w:tcW w:w="0" w:type="dxa"/>
            <w:vAlign w:val="bottom"/>
          </w:tcPr>
          <w:p>
            <w:pPr>
              <w:spacing w:after="0"/>
              <w:rPr>
                <w:sz w:val="1"/>
                <w:szCs w:val="1"/>
                <w:color w:val="auto"/>
              </w:rPr>
            </w:pPr>
          </w:p>
        </w:tc>
      </w:tr>
      <w:tr>
        <w:trPr>
          <w:trHeight w:val="186"/>
        </w:trPr>
        <w:tc>
          <w:tcPr>
            <w:tcW w:w="16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60" w:type="dxa"/>
            <w:vAlign w:val="bottom"/>
          </w:tcPr>
          <w:p>
            <w:pPr>
              <w:ind w:left="100"/>
              <w:spacing w:after="0"/>
              <w:rPr>
                <w:sz w:val="20"/>
                <w:szCs w:val="20"/>
                <w:color w:val="auto"/>
              </w:rPr>
            </w:pPr>
            <w:r>
              <w:rPr>
                <w:rFonts w:ascii="Arial" w:cs="Arial" w:eastAsia="Arial" w:hAnsi="Arial"/>
                <w:sz w:val="14"/>
                <w:szCs w:val="14"/>
                <w:color w:val="auto"/>
              </w:rPr>
              <w:t>issuer with a similar credit rating.</w:t>
            </w:r>
          </w:p>
        </w:tc>
        <w:tc>
          <w:tcPr>
            <w:tcW w:w="0" w:type="dxa"/>
            <w:vAlign w:val="bottom"/>
          </w:tcPr>
          <w:p>
            <w:pPr>
              <w:spacing w:after="0"/>
              <w:rPr>
                <w:sz w:val="1"/>
                <w:szCs w:val="1"/>
                <w:color w:val="auto"/>
              </w:rPr>
            </w:pPr>
          </w:p>
        </w:tc>
      </w:tr>
      <w:tr>
        <w:trPr>
          <w:trHeight w:val="145"/>
        </w:trPr>
        <w:tc>
          <w:tcPr>
            <w:tcW w:w="160" w:type="dxa"/>
            <w:vAlign w:val="bottom"/>
            <w:vMerge w:val="continue"/>
          </w:tcPr>
          <w:p>
            <w:pPr>
              <w:spacing w:after="0"/>
              <w:rPr>
                <w:sz w:val="12"/>
                <w:szCs w:val="12"/>
                <w:color w:val="auto"/>
              </w:rPr>
            </w:pPr>
          </w:p>
        </w:tc>
        <w:tc>
          <w:tcPr>
            <w:tcW w:w="5260" w:type="dxa"/>
            <w:vAlign w:val="bottom"/>
            <w:vMerge w:val="restart"/>
          </w:tcPr>
          <w:p>
            <w:pPr>
              <w:ind w:left="100"/>
              <w:spacing w:after="0"/>
              <w:rPr>
                <w:sz w:val="20"/>
                <w:szCs w:val="20"/>
                <w:color w:val="auto"/>
              </w:rPr>
            </w:pPr>
            <w:r>
              <w:rPr>
                <w:rFonts w:ascii="Arial" w:cs="Arial" w:eastAsia="Arial" w:hAnsi="Arial"/>
                <w:sz w:val="14"/>
                <w:szCs w:val="14"/>
                <w:color w:val="auto"/>
              </w:rPr>
              <w:t>You are comfortable with the creditworthiness of Marex, as Issuer of the Notes.</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160" w:type="dxa"/>
            <w:vAlign w:val="bottom"/>
          </w:tcPr>
          <w:p>
            <w:pPr>
              <w:spacing w:after="0" w:line="159" w:lineRule="exact"/>
              <w:rPr>
                <w:sz w:val="20"/>
                <w:szCs w:val="20"/>
                <w:color w:val="auto"/>
              </w:rPr>
            </w:pPr>
            <w:r>
              <w:rPr>
                <w:rFonts w:ascii="Arial" w:cs="Arial" w:eastAsia="Arial" w:hAnsi="Arial"/>
                <w:sz w:val="14"/>
                <w:szCs w:val="14"/>
                <w:color w:val="auto"/>
              </w:rPr>
              <w:t> </w:t>
            </w:r>
          </w:p>
        </w:tc>
        <w:tc>
          <w:tcPr>
            <w:tcW w:w="5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0" w:type="dxa"/>
            <w:vAlign w:val="bottom"/>
          </w:tcPr>
          <w:p>
            <w:pPr>
              <w:spacing w:after="0" w:line="159" w:lineRule="exact"/>
              <w:rPr>
                <w:sz w:val="20"/>
                <w:szCs w:val="20"/>
                <w:color w:val="auto"/>
              </w:rPr>
            </w:pPr>
            <w:r>
              <w:rPr>
                <w:rFonts w:ascii="Arial" w:cs="Arial" w:eastAsia="Arial" w:hAnsi="Arial"/>
                <w:sz w:val="14"/>
                <w:szCs w:val="14"/>
                <w:b w:val="1"/>
                <w:bCs w:val="1"/>
                <w:color w:val="FF0000"/>
              </w:rPr>
              <w:t> </w:t>
            </w:r>
          </w:p>
        </w:tc>
        <w:tc>
          <w:tcPr>
            <w:tcW w:w="5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60" w:type="dxa"/>
            <w:vAlign w:val="bottom"/>
          </w:tcPr>
          <w:p>
            <w:pPr>
              <w:spacing w:after="0"/>
              <w:rPr>
                <w:sz w:val="20"/>
                <w:szCs w:val="20"/>
                <w:color w:val="auto"/>
              </w:rPr>
            </w:pPr>
            <w:r>
              <w:rPr>
                <w:rFonts w:ascii="Arial" w:cs="Arial" w:eastAsia="Arial" w:hAnsi="Arial"/>
                <w:sz w:val="14"/>
                <w:szCs w:val="14"/>
                <w:color w:val="FF0000"/>
              </w:rPr>
              <w:t> </w:t>
            </w:r>
          </w:p>
        </w:tc>
        <w:tc>
          <w:tcPr>
            <w:tcW w:w="5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The Notes may not be suitable for you if:</w:t>
      </w:r>
    </w:p>
    <w:p>
      <w:pPr>
        <w:ind w:left="380"/>
        <w:spacing w:after="0" w:line="234" w:lineRule="auto"/>
        <w:rPr>
          <w:sz w:val="20"/>
          <w:szCs w:val="20"/>
          <w:color w:val="auto"/>
        </w:rPr>
      </w:pPr>
      <w:r>
        <w:rPr>
          <w:rFonts w:ascii="Arial" w:cs="Arial" w:eastAsia="Arial" w:hAnsi="Arial"/>
          <w:sz w:val="14"/>
          <w:szCs w:val="14"/>
          <w:color w:val="auto"/>
        </w:rPr>
        <w:t> </w:t>
      </w:r>
    </w:p>
    <w:tbl>
      <w:tblPr>
        <w:tblLayout w:type="fixed"/>
        <w:tblInd w:w="380" w:type="dxa"/>
        <w:tblCellMar>
          <w:top w:w="0" w:type="dxa"/>
          <w:left w:w="0" w:type="dxa"/>
          <w:bottom w:w="0" w:type="dxa"/>
          <w:right w:w="0" w:type="dxa"/>
        </w:tblCellMar>
      </w:tblPr>
      <w:tr>
        <w:trPr>
          <w:trHeight w:val="152"/>
        </w:trPr>
        <w:tc>
          <w:tcPr>
            <w:tcW w:w="180" w:type="dxa"/>
            <w:vAlign w:val="bottom"/>
          </w:tcPr>
          <w:p>
            <w:pPr>
              <w:spacing w:after="0"/>
              <w:rPr>
                <w:sz w:val="13"/>
                <w:szCs w:val="13"/>
                <w:color w:val="auto"/>
              </w:rPr>
            </w:pPr>
          </w:p>
        </w:tc>
        <w:tc>
          <w:tcPr>
            <w:tcW w:w="5240" w:type="dxa"/>
            <w:vAlign w:val="bottom"/>
          </w:tcPr>
          <w:p>
            <w:pPr>
              <w:ind w:left="80"/>
              <w:spacing w:after="0" w:line="152" w:lineRule="exact"/>
              <w:rPr>
                <w:sz w:val="20"/>
                <w:szCs w:val="20"/>
                <w:color w:val="auto"/>
              </w:rPr>
            </w:pPr>
            <w:r>
              <w:rPr>
                <w:rFonts w:ascii="Arial" w:cs="Arial" w:eastAsia="Arial" w:hAnsi="Arial"/>
                <w:sz w:val="14"/>
                <w:szCs w:val="14"/>
                <w:color w:val="auto"/>
              </w:rPr>
              <w:t>You are a retail investor in the EEA or the UK (for restrictions on offers or sales to</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40" w:type="dxa"/>
            <w:vAlign w:val="bottom"/>
          </w:tcPr>
          <w:p>
            <w:pPr>
              <w:ind w:left="80"/>
              <w:spacing w:after="0" w:line="155" w:lineRule="exact"/>
              <w:rPr>
                <w:sz w:val="20"/>
                <w:szCs w:val="20"/>
                <w:color w:val="auto"/>
              </w:rPr>
            </w:pPr>
            <w:r>
              <w:rPr>
                <w:rFonts w:ascii="Arial" w:cs="Arial" w:eastAsia="Arial" w:hAnsi="Arial"/>
                <w:sz w:val="14"/>
                <w:szCs w:val="14"/>
                <w:color w:val="auto"/>
              </w:rPr>
              <w:t>retail investors in the EEA and the UK, please see page ii of the accompanying</w:t>
            </w:r>
          </w:p>
        </w:tc>
        <w:tc>
          <w:tcPr>
            <w:tcW w:w="0" w:type="dxa"/>
            <w:vAlign w:val="bottom"/>
          </w:tcPr>
          <w:p>
            <w:pPr>
              <w:spacing w:after="0"/>
              <w:rPr>
                <w:sz w:val="1"/>
                <w:szCs w:val="1"/>
                <w:color w:val="auto"/>
              </w:rPr>
            </w:pPr>
          </w:p>
        </w:tc>
      </w:tr>
      <w:tr>
        <w:trPr>
          <w:trHeight w:val="186"/>
        </w:trPr>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40" w:type="dxa"/>
            <w:vAlign w:val="bottom"/>
          </w:tcPr>
          <w:p>
            <w:pPr>
              <w:ind w:left="80"/>
              <w:spacing w:after="0"/>
              <w:rPr>
                <w:sz w:val="20"/>
                <w:szCs w:val="20"/>
                <w:color w:val="auto"/>
              </w:rPr>
            </w:pPr>
            <w:r>
              <w:rPr>
                <w:rFonts w:ascii="Arial" w:cs="Arial" w:eastAsia="Arial" w:hAnsi="Arial"/>
                <w:sz w:val="14"/>
                <w:szCs w:val="14"/>
                <w:color w:val="auto"/>
              </w:rPr>
              <w:t>prospectus supplement).</w:t>
            </w:r>
          </w:p>
        </w:tc>
        <w:tc>
          <w:tcPr>
            <w:tcW w:w="0" w:type="dxa"/>
            <w:vAlign w:val="bottom"/>
          </w:tcPr>
          <w:p>
            <w:pPr>
              <w:spacing w:after="0"/>
              <w:rPr>
                <w:sz w:val="1"/>
                <w:szCs w:val="1"/>
                <w:color w:val="auto"/>
              </w:rPr>
            </w:pPr>
          </w:p>
        </w:tc>
      </w:tr>
      <w:tr>
        <w:trPr>
          <w:trHeight w:val="145"/>
        </w:trPr>
        <w:tc>
          <w:tcPr>
            <w:tcW w:w="180" w:type="dxa"/>
            <w:vAlign w:val="bottom"/>
            <w:vMerge w:val="continue"/>
          </w:tcPr>
          <w:p>
            <w:pPr>
              <w:spacing w:after="0"/>
              <w:rPr>
                <w:sz w:val="12"/>
                <w:szCs w:val="12"/>
                <w:color w:val="auto"/>
              </w:rPr>
            </w:pPr>
          </w:p>
        </w:tc>
        <w:tc>
          <w:tcPr>
            <w:tcW w:w="5240" w:type="dxa"/>
            <w:vAlign w:val="bottom"/>
            <w:vMerge w:val="restart"/>
          </w:tcPr>
          <w:p>
            <w:pPr>
              <w:ind w:left="80"/>
              <w:spacing w:after="0"/>
              <w:rPr>
                <w:sz w:val="20"/>
                <w:szCs w:val="20"/>
                <w:color w:val="auto"/>
              </w:rPr>
            </w:pPr>
            <w:r>
              <w:rPr>
                <w:rFonts w:ascii="Arial" w:cs="Arial" w:eastAsia="Arial" w:hAnsi="Arial"/>
                <w:sz w:val="14"/>
                <w:szCs w:val="14"/>
                <w:color w:val="auto"/>
              </w:rPr>
              <w:t>You are an investor without the competence (either independently or with the</w:t>
            </w:r>
          </w:p>
        </w:tc>
        <w:tc>
          <w:tcPr>
            <w:tcW w:w="0" w:type="dxa"/>
            <w:vAlign w:val="bottom"/>
          </w:tcPr>
          <w:p>
            <w:pPr>
              <w:spacing w:after="0"/>
              <w:rPr>
                <w:sz w:val="1"/>
                <w:szCs w:val="1"/>
                <w:color w:val="auto"/>
              </w:rPr>
            </w:pPr>
          </w:p>
        </w:tc>
      </w:tr>
      <w:tr>
        <w:trPr>
          <w:trHeight w:val="151"/>
        </w:trPr>
        <w:tc>
          <w:tcPr>
            <w:tcW w:w="18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40" w:type="dxa"/>
            <w:vAlign w:val="bottom"/>
          </w:tcPr>
          <w:p>
            <w:pPr>
              <w:ind w:left="80"/>
              <w:spacing w:after="0" w:line="155" w:lineRule="exact"/>
              <w:rPr>
                <w:sz w:val="20"/>
                <w:szCs w:val="20"/>
                <w:color w:val="auto"/>
              </w:rPr>
            </w:pPr>
            <w:r>
              <w:rPr>
                <w:rFonts w:ascii="Arial" w:cs="Arial" w:eastAsia="Arial" w:hAnsi="Arial"/>
                <w:sz w:val="14"/>
                <w:szCs w:val="14"/>
                <w:color w:val="auto"/>
              </w:rPr>
              <w:t>support of a financial advisor) to assess the suitability of this investment based on</w:t>
            </w:r>
          </w:p>
        </w:tc>
        <w:tc>
          <w:tcPr>
            <w:tcW w:w="0" w:type="dxa"/>
            <w:vAlign w:val="bottom"/>
          </w:tcPr>
          <w:p>
            <w:pPr>
              <w:spacing w:after="0"/>
              <w:rPr>
                <w:sz w:val="1"/>
                <w:szCs w:val="1"/>
                <w:color w:val="auto"/>
              </w:rPr>
            </w:pPr>
          </w:p>
        </w:tc>
      </w:tr>
      <w:tr>
        <w:trPr>
          <w:trHeight w:val="186"/>
        </w:trPr>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40" w:type="dxa"/>
            <w:vAlign w:val="bottom"/>
          </w:tcPr>
          <w:p>
            <w:pPr>
              <w:ind w:left="80"/>
              <w:spacing w:after="0"/>
              <w:rPr>
                <w:sz w:val="20"/>
                <w:szCs w:val="20"/>
                <w:color w:val="auto"/>
              </w:rPr>
            </w:pPr>
            <w:r>
              <w:rPr>
                <w:rFonts w:ascii="Arial" w:cs="Arial" w:eastAsia="Arial" w:hAnsi="Arial"/>
                <w:sz w:val="14"/>
                <w:szCs w:val="14"/>
                <w:color w:val="auto"/>
              </w:rPr>
              <w:t>your individual circumstances.</w:t>
            </w:r>
          </w:p>
        </w:tc>
        <w:tc>
          <w:tcPr>
            <w:tcW w:w="0" w:type="dxa"/>
            <w:vAlign w:val="bottom"/>
          </w:tcPr>
          <w:p>
            <w:pPr>
              <w:spacing w:after="0"/>
              <w:rPr>
                <w:sz w:val="1"/>
                <w:szCs w:val="1"/>
                <w:color w:val="auto"/>
              </w:rPr>
            </w:pPr>
          </w:p>
        </w:tc>
      </w:tr>
      <w:tr>
        <w:trPr>
          <w:trHeight w:val="145"/>
        </w:trPr>
        <w:tc>
          <w:tcPr>
            <w:tcW w:w="180" w:type="dxa"/>
            <w:vAlign w:val="bottom"/>
            <w:vMerge w:val="continue"/>
          </w:tcPr>
          <w:p>
            <w:pPr>
              <w:spacing w:after="0"/>
              <w:rPr>
                <w:sz w:val="12"/>
                <w:szCs w:val="12"/>
                <w:color w:val="auto"/>
              </w:rPr>
            </w:pPr>
          </w:p>
        </w:tc>
        <w:tc>
          <w:tcPr>
            <w:tcW w:w="5240" w:type="dxa"/>
            <w:vAlign w:val="bottom"/>
            <w:vMerge w:val="restart"/>
          </w:tcPr>
          <w:p>
            <w:pPr>
              <w:ind w:left="80"/>
              <w:spacing w:after="0"/>
              <w:rPr>
                <w:sz w:val="20"/>
                <w:szCs w:val="20"/>
                <w:color w:val="auto"/>
              </w:rPr>
            </w:pPr>
            <w:r>
              <w:rPr>
                <w:rFonts w:ascii="Arial" w:cs="Arial" w:eastAsia="Arial" w:hAnsi="Arial"/>
                <w:sz w:val="14"/>
                <w:szCs w:val="14"/>
                <w:color w:val="auto"/>
              </w:rPr>
              <w:t>You do not have the necessary knowledge and/or experience with structured</w:t>
            </w:r>
          </w:p>
        </w:tc>
        <w:tc>
          <w:tcPr>
            <w:tcW w:w="0" w:type="dxa"/>
            <w:vAlign w:val="bottom"/>
          </w:tcPr>
          <w:p>
            <w:pPr>
              <w:spacing w:after="0"/>
              <w:rPr>
                <w:sz w:val="1"/>
                <w:szCs w:val="1"/>
                <w:color w:val="auto"/>
              </w:rPr>
            </w:pPr>
          </w:p>
        </w:tc>
      </w:tr>
      <w:tr>
        <w:trPr>
          <w:trHeight w:val="151"/>
        </w:trPr>
        <w:tc>
          <w:tcPr>
            <w:tcW w:w="18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40" w:type="dxa"/>
            <w:vAlign w:val="bottom"/>
          </w:tcPr>
          <w:p>
            <w:pPr>
              <w:ind w:left="80"/>
              <w:spacing w:after="0"/>
              <w:rPr>
                <w:sz w:val="20"/>
                <w:szCs w:val="20"/>
                <w:color w:val="auto"/>
              </w:rPr>
            </w:pPr>
            <w:r>
              <w:rPr>
                <w:rFonts w:ascii="Arial" w:cs="Arial" w:eastAsia="Arial" w:hAnsi="Arial"/>
                <w:sz w:val="14"/>
                <w:szCs w:val="14"/>
                <w:color w:val="auto"/>
              </w:rPr>
              <w:t>products and are not prepared to accept the corresponding risks.</w:t>
            </w:r>
          </w:p>
        </w:tc>
        <w:tc>
          <w:tcPr>
            <w:tcW w:w="0" w:type="dxa"/>
            <w:vAlign w:val="bottom"/>
          </w:tcPr>
          <w:p>
            <w:pPr>
              <w:spacing w:after="0"/>
              <w:rPr>
                <w:sz w:val="1"/>
                <w:szCs w:val="1"/>
                <w:color w:val="auto"/>
              </w:rPr>
            </w:pPr>
          </w:p>
        </w:tc>
      </w:tr>
      <w:tr>
        <w:trPr>
          <w:trHeight w:val="141"/>
        </w:trPr>
        <w:tc>
          <w:tcPr>
            <w:tcW w:w="180" w:type="dxa"/>
            <w:vAlign w:val="bottom"/>
            <w:vMerge w:val="continue"/>
          </w:tcPr>
          <w:p>
            <w:pPr>
              <w:spacing w:after="0"/>
              <w:rPr>
                <w:sz w:val="12"/>
                <w:szCs w:val="12"/>
                <w:color w:val="auto"/>
              </w:rPr>
            </w:pPr>
          </w:p>
        </w:tc>
        <w:tc>
          <w:tcPr>
            <w:tcW w:w="5240" w:type="dxa"/>
            <w:vAlign w:val="bottom"/>
            <w:vMerge w:val="restart"/>
          </w:tcPr>
          <w:p>
            <w:pPr>
              <w:ind w:left="80"/>
              <w:spacing w:after="0"/>
              <w:rPr>
                <w:sz w:val="20"/>
                <w:szCs w:val="20"/>
                <w:color w:val="auto"/>
              </w:rPr>
            </w:pPr>
            <w:r>
              <w:rPr>
                <w:rFonts w:ascii="Arial" w:cs="Arial" w:eastAsia="Arial" w:hAnsi="Arial"/>
                <w:sz w:val="14"/>
                <w:szCs w:val="14"/>
                <w:color w:val="auto"/>
              </w:rPr>
              <w:t>You believe that a Trigger Event will occur and the Final Value of the Worst</w:t>
            </w:r>
          </w:p>
        </w:tc>
        <w:tc>
          <w:tcPr>
            <w:tcW w:w="0" w:type="dxa"/>
            <w:vAlign w:val="bottom"/>
          </w:tcPr>
          <w:p>
            <w:pPr>
              <w:spacing w:after="0"/>
              <w:rPr>
                <w:sz w:val="1"/>
                <w:szCs w:val="1"/>
                <w:color w:val="auto"/>
              </w:rPr>
            </w:pPr>
          </w:p>
        </w:tc>
      </w:tr>
      <w:tr>
        <w:trPr>
          <w:trHeight w:val="151"/>
        </w:trPr>
        <w:tc>
          <w:tcPr>
            <w:tcW w:w="18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40" w:type="dxa"/>
            <w:vAlign w:val="bottom"/>
          </w:tcPr>
          <w:p>
            <w:pPr>
              <w:ind w:left="80"/>
              <w:spacing w:after="0"/>
              <w:rPr>
                <w:sz w:val="20"/>
                <w:szCs w:val="20"/>
                <w:color w:val="auto"/>
              </w:rPr>
            </w:pPr>
            <w:r>
              <w:rPr>
                <w:rFonts w:ascii="Arial" w:cs="Arial" w:eastAsia="Arial" w:hAnsi="Arial"/>
                <w:sz w:val="14"/>
                <w:szCs w:val="14"/>
                <w:color w:val="auto"/>
              </w:rPr>
              <w:t>Performing Underlying will be below its Initial Value.</w:t>
            </w:r>
          </w:p>
        </w:tc>
        <w:tc>
          <w:tcPr>
            <w:tcW w:w="0" w:type="dxa"/>
            <w:vAlign w:val="bottom"/>
          </w:tcPr>
          <w:p>
            <w:pPr>
              <w:spacing w:after="0"/>
              <w:rPr>
                <w:sz w:val="1"/>
                <w:szCs w:val="1"/>
                <w:color w:val="auto"/>
              </w:rPr>
            </w:pPr>
          </w:p>
        </w:tc>
      </w:tr>
      <w:tr>
        <w:trPr>
          <w:trHeight w:val="141"/>
        </w:trPr>
        <w:tc>
          <w:tcPr>
            <w:tcW w:w="180" w:type="dxa"/>
            <w:vAlign w:val="bottom"/>
            <w:vMerge w:val="continue"/>
          </w:tcPr>
          <w:p>
            <w:pPr>
              <w:spacing w:after="0"/>
              <w:rPr>
                <w:sz w:val="12"/>
                <w:szCs w:val="12"/>
                <w:color w:val="auto"/>
              </w:rPr>
            </w:pPr>
          </w:p>
        </w:tc>
        <w:tc>
          <w:tcPr>
            <w:tcW w:w="5240" w:type="dxa"/>
            <w:vAlign w:val="bottom"/>
            <w:vMerge w:val="restart"/>
          </w:tcPr>
          <w:p>
            <w:pPr>
              <w:ind w:left="80"/>
              <w:spacing w:after="0"/>
              <w:rPr>
                <w:sz w:val="20"/>
                <w:szCs w:val="20"/>
                <w:color w:val="auto"/>
              </w:rPr>
            </w:pPr>
            <w:r>
              <w:rPr>
                <w:rFonts w:ascii="Arial" w:cs="Arial" w:eastAsia="Arial" w:hAnsi="Arial"/>
                <w:sz w:val="14"/>
                <w:szCs w:val="14"/>
                <w:color w:val="auto"/>
              </w:rPr>
              <w:t>You believe that the Interest Payments will not provide you with your desired</w:t>
            </w:r>
          </w:p>
        </w:tc>
        <w:tc>
          <w:tcPr>
            <w:tcW w:w="0" w:type="dxa"/>
            <w:vAlign w:val="bottom"/>
          </w:tcPr>
          <w:p>
            <w:pPr>
              <w:spacing w:after="0"/>
              <w:rPr>
                <w:sz w:val="1"/>
                <w:szCs w:val="1"/>
                <w:color w:val="auto"/>
              </w:rPr>
            </w:pPr>
          </w:p>
        </w:tc>
      </w:tr>
      <w:tr>
        <w:trPr>
          <w:trHeight w:val="151"/>
        </w:trPr>
        <w:tc>
          <w:tcPr>
            <w:tcW w:w="18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40" w:type="dxa"/>
            <w:vAlign w:val="bottom"/>
          </w:tcPr>
          <w:p>
            <w:pPr>
              <w:ind w:left="80"/>
              <w:spacing w:after="0"/>
              <w:rPr>
                <w:sz w:val="20"/>
                <w:szCs w:val="20"/>
                <w:color w:val="auto"/>
              </w:rPr>
            </w:pPr>
            <w:r>
              <w:rPr>
                <w:rFonts w:ascii="Arial" w:cs="Arial" w:eastAsia="Arial" w:hAnsi="Arial"/>
                <w:sz w:val="14"/>
                <w:szCs w:val="14"/>
                <w:color w:val="auto"/>
              </w:rPr>
              <w:t>return.</w:t>
            </w:r>
          </w:p>
        </w:tc>
        <w:tc>
          <w:tcPr>
            <w:tcW w:w="0" w:type="dxa"/>
            <w:vAlign w:val="bottom"/>
          </w:tcPr>
          <w:p>
            <w:pPr>
              <w:spacing w:after="0"/>
              <w:rPr>
                <w:sz w:val="1"/>
                <w:szCs w:val="1"/>
                <w:color w:val="auto"/>
              </w:rPr>
            </w:pPr>
          </w:p>
        </w:tc>
      </w:tr>
      <w:tr>
        <w:trPr>
          <w:trHeight w:val="141"/>
        </w:trPr>
        <w:tc>
          <w:tcPr>
            <w:tcW w:w="180" w:type="dxa"/>
            <w:vAlign w:val="bottom"/>
            <w:vMerge w:val="continue"/>
          </w:tcPr>
          <w:p>
            <w:pPr>
              <w:spacing w:after="0"/>
              <w:rPr>
                <w:sz w:val="12"/>
                <w:szCs w:val="12"/>
                <w:color w:val="auto"/>
              </w:rPr>
            </w:pPr>
          </w:p>
        </w:tc>
        <w:tc>
          <w:tcPr>
            <w:tcW w:w="5240" w:type="dxa"/>
            <w:vAlign w:val="bottom"/>
            <w:vMerge w:val="restart"/>
          </w:tcPr>
          <w:p>
            <w:pPr>
              <w:ind w:left="80"/>
              <w:spacing w:after="0"/>
              <w:rPr>
                <w:sz w:val="20"/>
                <w:szCs w:val="20"/>
                <w:color w:val="auto"/>
              </w:rPr>
            </w:pPr>
            <w:r>
              <w:rPr>
                <w:rFonts w:ascii="Arial" w:cs="Arial" w:eastAsia="Arial" w:hAnsi="Arial"/>
                <w:sz w:val="14"/>
                <w:szCs w:val="14"/>
                <w:color w:val="auto"/>
              </w:rPr>
              <w:t>You are unwilling to invest in the Notes based on the fact that your maximum</w:t>
            </w:r>
          </w:p>
        </w:tc>
        <w:tc>
          <w:tcPr>
            <w:tcW w:w="0" w:type="dxa"/>
            <w:vAlign w:val="bottom"/>
          </w:tcPr>
          <w:p>
            <w:pPr>
              <w:spacing w:after="0"/>
              <w:rPr>
                <w:sz w:val="1"/>
                <w:szCs w:val="1"/>
                <w:color w:val="auto"/>
              </w:rPr>
            </w:pPr>
          </w:p>
        </w:tc>
      </w:tr>
      <w:tr>
        <w:trPr>
          <w:trHeight w:val="151"/>
        </w:trPr>
        <w:tc>
          <w:tcPr>
            <w:tcW w:w="18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40" w:type="dxa"/>
            <w:vAlign w:val="bottom"/>
          </w:tcPr>
          <w:p>
            <w:pPr>
              <w:ind w:left="80"/>
              <w:spacing w:after="0"/>
              <w:rPr>
                <w:sz w:val="20"/>
                <w:szCs w:val="20"/>
                <w:color w:val="auto"/>
              </w:rPr>
            </w:pPr>
            <w:r>
              <w:rPr>
                <w:rFonts w:ascii="Arial" w:cs="Arial" w:eastAsia="Arial" w:hAnsi="Arial"/>
                <w:sz w:val="14"/>
                <w:szCs w:val="14"/>
                <w:color w:val="auto"/>
              </w:rPr>
              <w:t>potential return is limited to the Interest Payments payable on the Notes.</w:t>
            </w:r>
          </w:p>
        </w:tc>
        <w:tc>
          <w:tcPr>
            <w:tcW w:w="0" w:type="dxa"/>
            <w:vAlign w:val="bottom"/>
          </w:tcPr>
          <w:p>
            <w:pPr>
              <w:spacing w:after="0"/>
              <w:rPr>
                <w:sz w:val="1"/>
                <w:szCs w:val="1"/>
                <w:color w:val="auto"/>
              </w:rPr>
            </w:pPr>
          </w:p>
        </w:tc>
      </w:tr>
      <w:tr>
        <w:trPr>
          <w:trHeight w:val="141"/>
        </w:trPr>
        <w:tc>
          <w:tcPr>
            <w:tcW w:w="180" w:type="dxa"/>
            <w:vAlign w:val="bottom"/>
            <w:vMerge w:val="continue"/>
          </w:tcPr>
          <w:p>
            <w:pPr>
              <w:spacing w:after="0"/>
              <w:rPr>
                <w:sz w:val="12"/>
                <w:szCs w:val="12"/>
                <w:color w:val="auto"/>
              </w:rPr>
            </w:pPr>
          </w:p>
        </w:tc>
        <w:tc>
          <w:tcPr>
            <w:tcW w:w="5240" w:type="dxa"/>
            <w:vAlign w:val="bottom"/>
            <w:vMerge w:val="restart"/>
          </w:tcPr>
          <w:p>
            <w:pPr>
              <w:ind w:left="80"/>
              <w:spacing w:after="0"/>
              <w:rPr>
                <w:sz w:val="20"/>
                <w:szCs w:val="20"/>
                <w:color w:val="auto"/>
              </w:rPr>
            </w:pPr>
            <w:r>
              <w:rPr>
                <w:rFonts w:ascii="Arial" w:cs="Arial" w:eastAsia="Arial" w:hAnsi="Arial"/>
                <w:sz w:val="14"/>
                <w:szCs w:val="14"/>
                <w:color w:val="auto"/>
              </w:rPr>
              <w:t>You seek an investment that provides an opportunity to participate in the</w:t>
            </w:r>
          </w:p>
        </w:tc>
        <w:tc>
          <w:tcPr>
            <w:tcW w:w="0" w:type="dxa"/>
            <w:vAlign w:val="bottom"/>
          </w:tcPr>
          <w:p>
            <w:pPr>
              <w:spacing w:after="0"/>
              <w:rPr>
                <w:sz w:val="1"/>
                <w:szCs w:val="1"/>
                <w:color w:val="auto"/>
              </w:rPr>
            </w:pPr>
          </w:p>
        </w:tc>
      </w:tr>
      <w:tr>
        <w:trPr>
          <w:trHeight w:val="151"/>
        </w:trPr>
        <w:tc>
          <w:tcPr>
            <w:tcW w:w="18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40" w:type="dxa"/>
            <w:vAlign w:val="bottom"/>
          </w:tcPr>
          <w:p>
            <w:pPr>
              <w:ind w:left="80"/>
              <w:spacing w:after="0"/>
              <w:rPr>
                <w:sz w:val="20"/>
                <w:szCs w:val="20"/>
                <w:color w:val="auto"/>
              </w:rPr>
            </w:pPr>
            <w:r>
              <w:rPr>
                <w:rFonts w:ascii="Arial" w:cs="Arial" w:eastAsia="Arial" w:hAnsi="Arial"/>
                <w:sz w:val="14"/>
                <w:szCs w:val="14"/>
                <w:color w:val="auto"/>
              </w:rPr>
              <w:t>appreciation of one or more Underlyings.</w:t>
            </w:r>
          </w:p>
        </w:tc>
        <w:tc>
          <w:tcPr>
            <w:tcW w:w="0" w:type="dxa"/>
            <w:vAlign w:val="bottom"/>
          </w:tcPr>
          <w:p>
            <w:pPr>
              <w:spacing w:after="0"/>
              <w:rPr>
                <w:sz w:val="1"/>
                <w:szCs w:val="1"/>
                <w:color w:val="auto"/>
              </w:rPr>
            </w:pPr>
          </w:p>
        </w:tc>
      </w:tr>
      <w:tr>
        <w:trPr>
          <w:trHeight w:val="141"/>
        </w:trPr>
        <w:tc>
          <w:tcPr>
            <w:tcW w:w="180" w:type="dxa"/>
            <w:vAlign w:val="bottom"/>
            <w:vMerge w:val="continue"/>
          </w:tcPr>
          <w:p>
            <w:pPr>
              <w:spacing w:after="0"/>
              <w:rPr>
                <w:sz w:val="12"/>
                <w:szCs w:val="12"/>
                <w:color w:val="auto"/>
              </w:rPr>
            </w:pPr>
          </w:p>
        </w:tc>
        <w:tc>
          <w:tcPr>
            <w:tcW w:w="5240" w:type="dxa"/>
            <w:vAlign w:val="bottom"/>
            <w:vMerge w:val="restart"/>
          </w:tcPr>
          <w:p>
            <w:pPr>
              <w:ind w:left="80"/>
              <w:spacing w:after="0"/>
              <w:rPr>
                <w:sz w:val="20"/>
                <w:szCs w:val="20"/>
                <w:color w:val="auto"/>
              </w:rPr>
            </w:pPr>
            <w:r>
              <w:rPr>
                <w:rFonts w:ascii="Arial" w:cs="Arial" w:eastAsia="Arial" w:hAnsi="Arial"/>
                <w:sz w:val="14"/>
                <w:szCs w:val="14"/>
                <w:color w:val="auto"/>
              </w:rPr>
              <w:t>You are unwilling to make an investment that is exposed to the potential downside</w:t>
            </w:r>
          </w:p>
        </w:tc>
        <w:tc>
          <w:tcPr>
            <w:tcW w:w="0" w:type="dxa"/>
            <w:vAlign w:val="bottom"/>
          </w:tcPr>
          <w:p>
            <w:pPr>
              <w:spacing w:after="0"/>
              <w:rPr>
                <w:sz w:val="1"/>
                <w:szCs w:val="1"/>
                <w:color w:val="auto"/>
              </w:rPr>
            </w:pPr>
          </w:p>
        </w:tc>
      </w:tr>
      <w:tr>
        <w:trPr>
          <w:trHeight w:val="151"/>
        </w:trPr>
        <w:tc>
          <w:tcPr>
            <w:tcW w:w="18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40" w:type="dxa"/>
            <w:vAlign w:val="bottom"/>
          </w:tcPr>
          <w:p>
            <w:pPr>
              <w:ind w:left="80"/>
              <w:spacing w:after="0" w:line="155" w:lineRule="exact"/>
              <w:rPr>
                <w:sz w:val="20"/>
                <w:szCs w:val="20"/>
                <w:color w:val="auto"/>
              </w:rPr>
            </w:pPr>
            <w:r>
              <w:rPr>
                <w:rFonts w:ascii="Arial" w:cs="Arial" w:eastAsia="Arial" w:hAnsi="Arial"/>
                <w:sz w:val="14"/>
                <w:szCs w:val="14"/>
                <w:color w:val="auto"/>
              </w:rPr>
              <w:t>performance of the Worst Performing Underlying on a 1-to-1 basis if the Notes are</w:t>
            </w:r>
          </w:p>
        </w:tc>
        <w:tc>
          <w:tcPr>
            <w:tcW w:w="0" w:type="dxa"/>
            <w:vAlign w:val="bottom"/>
          </w:tcPr>
          <w:p>
            <w:pPr>
              <w:spacing w:after="0"/>
              <w:rPr>
                <w:sz w:val="1"/>
                <w:szCs w:val="1"/>
                <w:color w:val="auto"/>
              </w:rPr>
            </w:pPr>
          </w:p>
        </w:tc>
      </w:tr>
      <w:tr>
        <w:trPr>
          <w:trHeight w:val="186"/>
        </w:trPr>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40" w:type="dxa"/>
            <w:vAlign w:val="bottom"/>
          </w:tcPr>
          <w:p>
            <w:pPr>
              <w:ind w:left="80"/>
              <w:spacing w:after="0"/>
              <w:rPr>
                <w:sz w:val="20"/>
                <w:szCs w:val="20"/>
                <w:color w:val="auto"/>
              </w:rPr>
            </w:pPr>
            <w:r>
              <w:rPr>
                <w:rFonts w:ascii="Arial" w:cs="Arial" w:eastAsia="Arial" w:hAnsi="Arial"/>
                <w:sz w:val="14"/>
                <w:szCs w:val="14"/>
                <w:color w:val="auto"/>
              </w:rPr>
              <w:t>not redeemed and a Trigger Event occurs.</w:t>
            </w:r>
          </w:p>
        </w:tc>
        <w:tc>
          <w:tcPr>
            <w:tcW w:w="0" w:type="dxa"/>
            <w:vAlign w:val="bottom"/>
          </w:tcPr>
          <w:p>
            <w:pPr>
              <w:spacing w:after="0"/>
              <w:rPr>
                <w:sz w:val="1"/>
                <w:szCs w:val="1"/>
                <w:color w:val="auto"/>
              </w:rPr>
            </w:pPr>
          </w:p>
        </w:tc>
      </w:tr>
      <w:tr>
        <w:trPr>
          <w:trHeight w:val="145"/>
        </w:trPr>
        <w:tc>
          <w:tcPr>
            <w:tcW w:w="180" w:type="dxa"/>
            <w:vAlign w:val="bottom"/>
            <w:vMerge w:val="continue"/>
          </w:tcPr>
          <w:p>
            <w:pPr>
              <w:spacing w:after="0"/>
              <w:rPr>
                <w:sz w:val="12"/>
                <w:szCs w:val="12"/>
                <w:color w:val="auto"/>
              </w:rPr>
            </w:pPr>
          </w:p>
        </w:tc>
        <w:tc>
          <w:tcPr>
            <w:tcW w:w="5240" w:type="dxa"/>
            <w:vAlign w:val="bottom"/>
            <w:vMerge w:val="restart"/>
          </w:tcPr>
          <w:p>
            <w:pPr>
              <w:ind w:left="80"/>
              <w:spacing w:after="0"/>
              <w:rPr>
                <w:sz w:val="20"/>
                <w:szCs w:val="20"/>
                <w:color w:val="auto"/>
              </w:rPr>
            </w:pPr>
            <w:r>
              <w:rPr>
                <w:rFonts w:ascii="Arial" w:cs="Arial" w:eastAsia="Arial" w:hAnsi="Arial"/>
                <w:sz w:val="14"/>
                <w:szCs w:val="14"/>
                <w:color w:val="auto"/>
              </w:rPr>
              <w:t>You seek an investment that provides full return of principal at maturity.</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20"/>
                <w:szCs w:val="20"/>
                <w:color w:val="auto"/>
              </w:rPr>
            </w:pPr>
            <w:r>
              <w:rPr>
                <w:rFonts w:ascii="Arial" w:cs="Arial" w:eastAsia="Arial" w:hAnsi="Arial"/>
                <w:sz w:val="14"/>
                <w:szCs w:val="14"/>
                <w:color w:val="auto"/>
              </w:rPr>
              <w:t> </w:t>
            </w:r>
          </w:p>
        </w:tc>
        <w:tc>
          <w:tcPr>
            <w:tcW w:w="5240" w:type="dxa"/>
            <w:vAlign w:val="bottom"/>
            <w:vMerge w:val="restart"/>
          </w:tcPr>
          <w:p>
            <w:pPr>
              <w:ind w:left="80"/>
              <w:spacing w:after="0"/>
              <w:rPr>
                <w:sz w:val="20"/>
                <w:szCs w:val="20"/>
                <w:color w:val="auto"/>
              </w:rPr>
            </w:pPr>
            <w:r>
              <w:rPr>
                <w:rFonts w:ascii="Arial" w:cs="Arial" w:eastAsia="Arial" w:hAnsi="Arial"/>
                <w:sz w:val="14"/>
                <w:szCs w:val="14"/>
                <w:color w:val="auto"/>
              </w:rPr>
              <w:t>You seek exposure to a basket composed of the Underlyings or a similar</w:t>
            </w:r>
          </w:p>
        </w:tc>
        <w:tc>
          <w:tcPr>
            <w:tcW w:w="0" w:type="dxa"/>
            <w:vAlign w:val="bottom"/>
          </w:tcPr>
          <w:p>
            <w:pPr>
              <w:spacing w:after="0"/>
              <w:rPr>
                <w:sz w:val="1"/>
                <w:szCs w:val="1"/>
                <w:color w:val="auto"/>
              </w:rPr>
            </w:pPr>
          </w:p>
        </w:tc>
      </w:tr>
      <w:tr>
        <w:trPr>
          <w:trHeight w:val="151"/>
        </w:trPr>
        <w:tc>
          <w:tcPr>
            <w:tcW w:w="18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40" w:type="dxa"/>
            <w:vAlign w:val="bottom"/>
          </w:tcPr>
          <w:p>
            <w:pPr>
              <w:ind w:left="80"/>
              <w:spacing w:after="0" w:line="155" w:lineRule="exact"/>
              <w:rPr>
                <w:sz w:val="20"/>
                <w:szCs w:val="20"/>
                <w:color w:val="auto"/>
              </w:rPr>
            </w:pPr>
            <w:r>
              <w:rPr>
                <w:rFonts w:ascii="Arial" w:cs="Arial" w:eastAsia="Arial" w:hAnsi="Arial"/>
                <w:sz w:val="14"/>
                <w:szCs w:val="14"/>
                <w:color w:val="auto"/>
              </w:rPr>
              <w:t>investment in which the overall return is based on a blend of the performances of</w:t>
            </w:r>
          </w:p>
        </w:tc>
        <w:tc>
          <w:tcPr>
            <w:tcW w:w="0" w:type="dxa"/>
            <w:vAlign w:val="bottom"/>
          </w:tcPr>
          <w:p>
            <w:pPr>
              <w:spacing w:after="0"/>
              <w:rPr>
                <w:sz w:val="1"/>
                <w:szCs w:val="1"/>
                <w:color w:val="auto"/>
              </w:rPr>
            </w:pPr>
          </w:p>
        </w:tc>
      </w:tr>
      <w:tr>
        <w:trPr>
          <w:trHeight w:val="186"/>
        </w:trPr>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40" w:type="dxa"/>
            <w:vAlign w:val="bottom"/>
          </w:tcPr>
          <w:p>
            <w:pPr>
              <w:ind w:left="80"/>
              <w:spacing w:after="0"/>
              <w:rPr>
                <w:sz w:val="20"/>
                <w:szCs w:val="20"/>
                <w:color w:val="auto"/>
              </w:rPr>
            </w:pPr>
            <w:r>
              <w:rPr>
                <w:rFonts w:ascii="Arial" w:cs="Arial" w:eastAsia="Arial" w:hAnsi="Arial"/>
                <w:sz w:val="14"/>
                <w:szCs w:val="14"/>
                <w:color w:val="auto"/>
              </w:rPr>
              <w:t>the Underlyings, rather than solely on the Worst Performing Underlying.</w:t>
            </w:r>
          </w:p>
        </w:tc>
        <w:tc>
          <w:tcPr>
            <w:tcW w:w="0" w:type="dxa"/>
            <w:vAlign w:val="bottom"/>
          </w:tcPr>
          <w:p>
            <w:pPr>
              <w:spacing w:after="0"/>
              <w:rPr>
                <w:sz w:val="1"/>
                <w:szCs w:val="1"/>
                <w:color w:val="auto"/>
              </w:rPr>
            </w:pPr>
          </w:p>
        </w:tc>
      </w:tr>
      <w:tr>
        <w:trPr>
          <w:trHeight w:val="145"/>
        </w:trPr>
        <w:tc>
          <w:tcPr>
            <w:tcW w:w="180" w:type="dxa"/>
            <w:vAlign w:val="bottom"/>
            <w:vMerge w:val="continue"/>
          </w:tcPr>
          <w:p>
            <w:pPr>
              <w:spacing w:after="0"/>
              <w:rPr>
                <w:sz w:val="12"/>
                <w:szCs w:val="12"/>
                <w:color w:val="auto"/>
              </w:rPr>
            </w:pPr>
          </w:p>
        </w:tc>
        <w:tc>
          <w:tcPr>
            <w:tcW w:w="5240" w:type="dxa"/>
            <w:vAlign w:val="bottom"/>
            <w:vMerge w:val="restart"/>
          </w:tcPr>
          <w:p>
            <w:pPr>
              <w:ind w:left="80"/>
              <w:spacing w:after="0"/>
              <w:rPr>
                <w:sz w:val="20"/>
                <w:szCs w:val="20"/>
                <w:color w:val="auto"/>
              </w:rPr>
            </w:pPr>
            <w:r>
              <w:rPr>
                <w:rFonts w:ascii="Arial" w:cs="Arial" w:eastAsia="Arial" w:hAnsi="Arial"/>
                <w:sz w:val="14"/>
                <w:szCs w:val="14"/>
                <w:color w:val="auto"/>
              </w:rPr>
              <w:t>You are unable or unwilling to hold the Notes that will be redeemed prior to</w:t>
            </w:r>
          </w:p>
        </w:tc>
        <w:tc>
          <w:tcPr>
            <w:tcW w:w="0" w:type="dxa"/>
            <w:vAlign w:val="bottom"/>
          </w:tcPr>
          <w:p>
            <w:pPr>
              <w:spacing w:after="0"/>
              <w:rPr>
                <w:sz w:val="1"/>
                <w:szCs w:val="1"/>
                <w:color w:val="auto"/>
              </w:rPr>
            </w:pPr>
          </w:p>
        </w:tc>
      </w:tr>
      <w:tr>
        <w:trPr>
          <w:trHeight w:val="151"/>
        </w:trPr>
        <w:tc>
          <w:tcPr>
            <w:tcW w:w="18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40" w:type="dxa"/>
            <w:vAlign w:val="bottom"/>
          </w:tcPr>
          <w:p>
            <w:pPr>
              <w:ind w:left="80"/>
              <w:spacing w:after="0" w:line="155" w:lineRule="exact"/>
              <w:rPr>
                <w:sz w:val="20"/>
                <w:szCs w:val="20"/>
                <w:color w:val="auto"/>
              </w:rPr>
            </w:pPr>
            <w:r>
              <w:rPr>
                <w:rFonts w:ascii="Arial" w:cs="Arial" w:eastAsia="Arial" w:hAnsi="Arial"/>
                <w:sz w:val="14"/>
                <w:szCs w:val="14"/>
                <w:color w:val="auto"/>
              </w:rPr>
              <w:t>maturity at our option on any Call Payment Date, or you are otherwise unable or</w:t>
            </w:r>
          </w:p>
        </w:tc>
        <w:tc>
          <w:tcPr>
            <w:tcW w:w="0" w:type="dxa"/>
            <w:vAlign w:val="bottom"/>
          </w:tcPr>
          <w:p>
            <w:pPr>
              <w:spacing w:after="0"/>
              <w:rPr>
                <w:sz w:val="1"/>
                <w:szCs w:val="1"/>
                <w:color w:val="auto"/>
              </w:rPr>
            </w:pPr>
          </w:p>
        </w:tc>
      </w:tr>
      <w:tr>
        <w:trPr>
          <w:trHeight w:val="186"/>
        </w:trPr>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40" w:type="dxa"/>
            <w:vAlign w:val="bottom"/>
          </w:tcPr>
          <w:p>
            <w:pPr>
              <w:ind w:left="80"/>
              <w:spacing w:after="0"/>
              <w:rPr>
                <w:sz w:val="20"/>
                <w:szCs w:val="20"/>
                <w:color w:val="auto"/>
              </w:rPr>
            </w:pPr>
            <w:r>
              <w:rPr>
                <w:rFonts w:ascii="Arial" w:cs="Arial" w:eastAsia="Arial" w:hAnsi="Arial"/>
                <w:sz w:val="14"/>
                <w:szCs w:val="14"/>
                <w:color w:val="auto"/>
              </w:rPr>
              <w:t>unwilling to hold the Notes to maturity.</w:t>
            </w:r>
          </w:p>
        </w:tc>
        <w:tc>
          <w:tcPr>
            <w:tcW w:w="0" w:type="dxa"/>
            <w:vAlign w:val="bottom"/>
          </w:tcPr>
          <w:p>
            <w:pPr>
              <w:spacing w:after="0"/>
              <w:rPr>
                <w:sz w:val="1"/>
                <w:szCs w:val="1"/>
                <w:color w:val="auto"/>
              </w:rPr>
            </w:pPr>
          </w:p>
        </w:tc>
      </w:tr>
      <w:tr>
        <w:trPr>
          <w:trHeight w:val="145"/>
        </w:trPr>
        <w:tc>
          <w:tcPr>
            <w:tcW w:w="180" w:type="dxa"/>
            <w:vAlign w:val="bottom"/>
            <w:vMerge w:val="continue"/>
          </w:tcPr>
          <w:p>
            <w:pPr>
              <w:spacing w:after="0"/>
              <w:rPr>
                <w:sz w:val="12"/>
                <w:szCs w:val="12"/>
                <w:color w:val="auto"/>
              </w:rPr>
            </w:pPr>
          </w:p>
        </w:tc>
        <w:tc>
          <w:tcPr>
            <w:tcW w:w="5240" w:type="dxa"/>
            <w:vAlign w:val="bottom"/>
            <w:vMerge w:val="restart"/>
          </w:tcPr>
          <w:p>
            <w:pPr>
              <w:ind w:left="80"/>
              <w:spacing w:after="0"/>
              <w:rPr>
                <w:sz w:val="20"/>
                <w:szCs w:val="20"/>
                <w:color w:val="auto"/>
              </w:rPr>
            </w:pPr>
            <w:r>
              <w:rPr>
                <w:rFonts w:ascii="Arial" w:cs="Arial" w:eastAsia="Arial" w:hAnsi="Arial"/>
                <w:sz w:val="14"/>
                <w:szCs w:val="14"/>
                <w:color w:val="auto"/>
              </w:rPr>
              <w:t>You prefer to receive the dividends or other distributions paid on the stocks</w:t>
            </w:r>
          </w:p>
        </w:tc>
        <w:tc>
          <w:tcPr>
            <w:tcW w:w="0" w:type="dxa"/>
            <w:vAlign w:val="bottom"/>
          </w:tcPr>
          <w:p>
            <w:pPr>
              <w:spacing w:after="0"/>
              <w:rPr>
                <w:sz w:val="1"/>
                <w:szCs w:val="1"/>
                <w:color w:val="auto"/>
              </w:rPr>
            </w:pPr>
          </w:p>
        </w:tc>
      </w:tr>
      <w:tr>
        <w:trPr>
          <w:trHeight w:val="151"/>
        </w:trPr>
        <w:tc>
          <w:tcPr>
            <w:tcW w:w="18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40" w:type="dxa"/>
            <w:vAlign w:val="bottom"/>
          </w:tcPr>
          <w:p>
            <w:pPr>
              <w:ind w:left="80"/>
              <w:spacing w:after="0"/>
              <w:rPr>
                <w:sz w:val="20"/>
                <w:szCs w:val="20"/>
                <w:color w:val="auto"/>
              </w:rPr>
            </w:pPr>
            <w:r>
              <w:rPr>
                <w:rFonts w:ascii="Arial" w:cs="Arial" w:eastAsia="Arial" w:hAnsi="Arial"/>
                <w:sz w:val="14"/>
                <w:szCs w:val="14"/>
                <w:color w:val="auto"/>
              </w:rPr>
              <w:t>included in the Underlyings.</w:t>
            </w:r>
          </w:p>
        </w:tc>
        <w:tc>
          <w:tcPr>
            <w:tcW w:w="0" w:type="dxa"/>
            <w:vAlign w:val="bottom"/>
          </w:tcPr>
          <w:p>
            <w:pPr>
              <w:spacing w:after="0"/>
              <w:rPr>
                <w:sz w:val="1"/>
                <w:szCs w:val="1"/>
                <w:color w:val="auto"/>
              </w:rPr>
            </w:pPr>
          </w:p>
        </w:tc>
      </w:tr>
      <w:tr>
        <w:trPr>
          <w:trHeight w:val="141"/>
        </w:trPr>
        <w:tc>
          <w:tcPr>
            <w:tcW w:w="180" w:type="dxa"/>
            <w:vAlign w:val="bottom"/>
            <w:vMerge w:val="continue"/>
          </w:tcPr>
          <w:p>
            <w:pPr>
              <w:spacing w:after="0"/>
              <w:rPr>
                <w:sz w:val="12"/>
                <w:szCs w:val="12"/>
                <w:color w:val="auto"/>
              </w:rPr>
            </w:pPr>
          </w:p>
        </w:tc>
        <w:tc>
          <w:tcPr>
            <w:tcW w:w="5240" w:type="dxa"/>
            <w:vAlign w:val="bottom"/>
            <w:vMerge w:val="restart"/>
          </w:tcPr>
          <w:p>
            <w:pPr>
              <w:ind w:left="80"/>
              <w:spacing w:after="0"/>
              <w:rPr>
                <w:sz w:val="20"/>
                <w:szCs w:val="20"/>
                <w:color w:val="auto"/>
              </w:rPr>
            </w:pPr>
            <w:r>
              <w:rPr>
                <w:rFonts w:ascii="Arial" w:cs="Arial" w:eastAsia="Arial" w:hAnsi="Arial"/>
                <w:sz w:val="14"/>
                <w:szCs w:val="14"/>
                <w:color w:val="auto"/>
              </w:rPr>
              <w:t>You seek an investment for which there will be an active secondary market.</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20"/>
                <w:szCs w:val="20"/>
                <w:color w:val="auto"/>
              </w:rPr>
            </w:pPr>
            <w:r>
              <w:rPr>
                <w:rFonts w:ascii="Arial" w:cs="Arial" w:eastAsia="Arial" w:hAnsi="Arial"/>
                <w:sz w:val="14"/>
                <w:szCs w:val="14"/>
                <w:color w:val="auto"/>
              </w:rPr>
              <w:t> </w:t>
            </w:r>
          </w:p>
        </w:tc>
        <w:tc>
          <w:tcPr>
            <w:tcW w:w="5240" w:type="dxa"/>
            <w:vAlign w:val="bottom"/>
            <w:vMerge w:val="restart"/>
          </w:tcPr>
          <w:p>
            <w:pPr>
              <w:ind w:left="80"/>
              <w:spacing w:after="0"/>
              <w:rPr>
                <w:sz w:val="20"/>
                <w:szCs w:val="20"/>
                <w:color w:val="auto"/>
              </w:rPr>
            </w:pPr>
            <w:r>
              <w:rPr>
                <w:rFonts w:ascii="Arial" w:cs="Arial" w:eastAsia="Arial" w:hAnsi="Arial"/>
                <w:sz w:val="14"/>
                <w:szCs w:val="14"/>
                <w:color w:val="auto"/>
              </w:rPr>
              <w:t>You prefer the lower risk, and therefore accept the potentially lower returns, of</w:t>
            </w:r>
          </w:p>
        </w:tc>
        <w:tc>
          <w:tcPr>
            <w:tcW w:w="0" w:type="dxa"/>
            <w:vAlign w:val="bottom"/>
          </w:tcPr>
          <w:p>
            <w:pPr>
              <w:spacing w:after="0"/>
              <w:rPr>
                <w:sz w:val="1"/>
                <w:szCs w:val="1"/>
                <w:color w:val="auto"/>
              </w:rPr>
            </w:pPr>
          </w:p>
        </w:tc>
      </w:tr>
      <w:tr>
        <w:trPr>
          <w:trHeight w:val="151"/>
        </w:trPr>
        <w:tc>
          <w:tcPr>
            <w:tcW w:w="18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240" w:type="dxa"/>
            <w:vAlign w:val="bottom"/>
          </w:tcPr>
          <w:p>
            <w:pPr>
              <w:ind w:left="80"/>
              <w:spacing w:after="0" w:line="155" w:lineRule="exact"/>
              <w:rPr>
                <w:sz w:val="20"/>
                <w:szCs w:val="20"/>
                <w:color w:val="auto"/>
              </w:rPr>
            </w:pPr>
            <w:r>
              <w:rPr>
                <w:rFonts w:ascii="Arial" w:cs="Arial" w:eastAsia="Arial" w:hAnsi="Arial"/>
                <w:sz w:val="14"/>
                <w:szCs w:val="14"/>
                <w:color w:val="auto"/>
              </w:rPr>
              <w:t>conventional debt securities with comparable maturities issued by Marex or</w:t>
            </w:r>
          </w:p>
        </w:tc>
        <w:tc>
          <w:tcPr>
            <w:tcW w:w="0" w:type="dxa"/>
            <w:vAlign w:val="bottom"/>
          </w:tcPr>
          <w:p>
            <w:pPr>
              <w:spacing w:after="0"/>
              <w:rPr>
                <w:sz w:val="1"/>
                <w:szCs w:val="1"/>
                <w:color w:val="auto"/>
              </w:rPr>
            </w:pPr>
          </w:p>
        </w:tc>
      </w:tr>
      <w:tr>
        <w:trPr>
          <w:trHeight w:val="186"/>
        </w:trPr>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40" w:type="dxa"/>
            <w:vAlign w:val="bottom"/>
          </w:tcPr>
          <w:p>
            <w:pPr>
              <w:ind w:left="80"/>
              <w:spacing w:after="0"/>
              <w:rPr>
                <w:sz w:val="20"/>
                <w:szCs w:val="20"/>
                <w:color w:val="auto"/>
              </w:rPr>
            </w:pPr>
            <w:r>
              <w:rPr>
                <w:rFonts w:ascii="Arial" w:cs="Arial" w:eastAsia="Arial" w:hAnsi="Arial"/>
                <w:sz w:val="14"/>
                <w:szCs w:val="14"/>
                <w:color w:val="auto"/>
              </w:rPr>
              <w:t>another issuer with a similar credit rating.</w:t>
            </w:r>
          </w:p>
        </w:tc>
        <w:tc>
          <w:tcPr>
            <w:tcW w:w="0" w:type="dxa"/>
            <w:vAlign w:val="bottom"/>
          </w:tcPr>
          <w:p>
            <w:pPr>
              <w:spacing w:after="0"/>
              <w:rPr>
                <w:sz w:val="1"/>
                <w:szCs w:val="1"/>
                <w:color w:val="auto"/>
              </w:rPr>
            </w:pPr>
          </w:p>
        </w:tc>
      </w:tr>
      <w:tr>
        <w:trPr>
          <w:trHeight w:val="145"/>
        </w:trPr>
        <w:tc>
          <w:tcPr>
            <w:tcW w:w="180" w:type="dxa"/>
            <w:vAlign w:val="bottom"/>
            <w:vMerge w:val="continue"/>
          </w:tcPr>
          <w:p>
            <w:pPr>
              <w:spacing w:after="0"/>
              <w:rPr>
                <w:sz w:val="12"/>
                <w:szCs w:val="12"/>
                <w:color w:val="auto"/>
              </w:rPr>
            </w:pPr>
          </w:p>
        </w:tc>
        <w:tc>
          <w:tcPr>
            <w:tcW w:w="5240" w:type="dxa"/>
            <w:vAlign w:val="bottom"/>
            <w:vMerge w:val="restart"/>
          </w:tcPr>
          <w:p>
            <w:pPr>
              <w:ind w:left="80"/>
              <w:spacing w:after="0"/>
              <w:rPr>
                <w:sz w:val="20"/>
                <w:szCs w:val="20"/>
                <w:color w:val="auto"/>
              </w:rPr>
            </w:pPr>
            <w:r>
              <w:rPr>
                <w:rFonts w:ascii="Arial" w:cs="Arial" w:eastAsia="Arial" w:hAnsi="Arial"/>
                <w:sz w:val="14"/>
                <w:szCs w:val="14"/>
                <w:color w:val="auto"/>
              </w:rPr>
              <w:t>You are not willing or are unable to assume the credit risk associated with Marex,</w:t>
            </w:r>
          </w:p>
        </w:tc>
        <w:tc>
          <w:tcPr>
            <w:tcW w:w="0" w:type="dxa"/>
            <w:vAlign w:val="bottom"/>
          </w:tcPr>
          <w:p>
            <w:pPr>
              <w:spacing w:after="0"/>
              <w:rPr>
                <w:sz w:val="1"/>
                <w:szCs w:val="1"/>
                <w:color w:val="auto"/>
              </w:rPr>
            </w:pPr>
          </w:p>
        </w:tc>
      </w:tr>
      <w:tr>
        <w:trPr>
          <w:trHeight w:val="151"/>
        </w:trPr>
        <w:tc>
          <w:tcPr>
            <w:tcW w:w="18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5240" w:type="dxa"/>
            <w:vAlign w:val="bottom"/>
          </w:tcPr>
          <w:p>
            <w:pPr>
              <w:ind w:left="80"/>
              <w:spacing w:after="0"/>
              <w:rPr>
                <w:sz w:val="20"/>
                <w:szCs w:val="20"/>
                <w:color w:val="auto"/>
              </w:rPr>
            </w:pPr>
            <w:r>
              <w:rPr>
                <w:rFonts w:ascii="Arial" w:cs="Arial" w:eastAsia="Arial" w:hAnsi="Arial"/>
                <w:sz w:val="14"/>
                <w:szCs w:val="14"/>
                <w:color w:val="auto"/>
              </w:rPr>
              <w:t>as Issuer of the Notes.</w:t>
            </w:r>
          </w:p>
        </w:tc>
        <w:tc>
          <w:tcPr>
            <w:tcW w:w="0" w:type="dxa"/>
            <w:vAlign w:val="bottom"/>
          </w:tcPr>
          <w:p>
            <w:pPr>
              <w:spacing w:after="0"/>
              <w:rPr>
                <w:sz w:val="1"/>
                <w:szCs w:val="1"/>
                <w:color w:val="auto"/>
              </w:rPr>
            </w:pPr>
          </w:p>
        </w:tc>
      </w:tr>
      <w:tr>
        <w:trPr>
          <w:trHeight w:val="155"/>
        </w:trPr>
        <w:tc>
          <w:tcPr>
            <w:tcW w:w="180" w:type="dxa"/>
            <w:vAlign w:val="bottom"/>
            <w:vMerge w:val="continue"/>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PS-6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8255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2">
            <w:col w:w="5420" w:space="60"/>
            <w:col w:w="5800"/>
          </w:cols>
          <w:pgMar w:left="300" w:top="204" w:right="3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 </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FF0000"/>
        </w:rPr>
        <w:t> </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7030A0"/>
        </w:rPr>
        <w:t>RISK FACTORS</w:t>
      </w:r>
    </w:p>
    <w:p>
      <w:pPr>
        <w:spacing w:after="0" w:line="237" w:lineRule="auto"/>
        <w:rPr>
          <w:sz w:val="20"/>
          <w:szCs w:val="20"/>
          <w:color w:val="auto"/>
        </w:rPr>
      </w:pPr>
      <w:r>
        <w:rPr>
          <w:rFonts w:ascii="Arial" w:cs="Arial" w:eastAsia="Arial" w:hAnsi="Arial"/>
          <w:sz w:val="14"/>
          <w:szCs w:val="14"/>
          <w:color w:val="7030A0"/>
        </w:rPr>
        <w:t> </w:t>
      </w:r>
    </w:p>
    <w:p>
      <w:pPr>
        <w:jc w:val="both"/>
        <w:spacing w:after="0" w:line="237" w:lineRule="auto"/>
        <w:rPr>
          <w:sz w:val="20"/>
          <w:szCs w:val="20"/>
          <w:color w:val="auto"/>
        </w:rPr>
      </w:pPr>
      <w:r>
        <w:rPr>
          <w:rFonts w:ascii="Arial" w:cs="Arial" w:eastAsia="Arial" w:hAnsi="Arial"/>
          <w:sz w:val="14"/>
          <w:szCs w:val="14"/>
          <w:color w:val="auto"/>
        </w:rPr>
        <w:t>We urge you to read the section “Risk Factors” beginning on page S-1 of the accompanying prospectus supplement and page S-1 of the accompanying underlying supplement. You should understand the risks of investing in the Notes and should reach an investment decision only after careful consideration, with your advisors, of the suitability of the Notes in light of your particular financial circumstances and the information set forth in this document and the accompanying prospectus, prospectus supplement and underlying supplement. In addition to the risks discussed below, you should review “Risk Factors” in the accompanying prospectus supplement and underlying supplement including the explanation of risks relating to the Notes described in the following sections:</w:t>
      </w:r>
    </w:p>
    <w:tbl>
      <w:tblPr>
        <w:tblLayout w:type="fixed"/>
        <w:tblInd w:w="0" w:type="dxa"/>
        <w:tblCellMar>
          <w:top w:w="0" w:type="dxa"/>
          <w:left w:w="0" w:type="dxa"/>
          <w:bottom w:w="0" w:type="dxa"/>
          <w:right w:w="0" w:type="dxa"/>
        </w:tblCellMar>
      </w:tblPr>
      <w:tr>
        <w:trPr>
          <w:trHeight w:val="160"/>
        </w:trPr>
        <w:tc>
          <w:tcPr>
            <w:tcW w:w="160" w:type="dxa"/>
            <w:vAlign w:val="bottom"/>
          </w:tcPr>
          <w:p>
            <w:pPr>
              <w:spacing w:after="0" w:line="160" w:lineRule="exact"/>
              <w:rPr>
                <w:sz w:val="20"/>
                <w:szCs w:val="20"/>
                <w:color w:val="auto"/>
              </w:rPr>
            </w:pPr>
            <w:r>
              <w:rPr>
                <w:rFonts w:ascii="Arial" w:cs="Arial" w:eastAsia="Arial" w:hAnsi="Arial"/>
                <w:sz w:val="14"/>
                <w:szCs w:val="14"/>
                <w:color w:val="auto"/>
              </w:rPr>
              <w:t> </w:t>
            </w:r>
          </w:p>
        </w:tc>
        <w:tc>
          <w:tcPr>
            <w:tcW w:w="4580" w:type="dxa"/>
            <w:vAlign w:val="bottom"/>
            <w:vMerge w:val="restart"/>
          </w:tcPr>
          <w:p>
            <w:pPr>
              <w:ind w:left="100"/>
              <w:spacing w:after="0"/>
              <w:rPr>
                <w:sz w:val="20"/>
                <w:szCs w:val="20"/>
                <w:color w:val="auto"/>
              </w:rPr>
            </w:pPr>
            <w:r>
              <w:rPr>
                <w:rFonts w:ascii="Arial" w:cs="Arial" w:eastAsia="Arial" w:hAnsi="Arial"/>
                <w:sz w:val="14"/>
                <w:szCs w:val="14"/>
                <w:color w:val="auto"/>
              </w:rPr>
              <w:t>“—Risks Related to Note Issuances” in the prospectus supplement; and</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4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20"/>
                <w:szCs w:val="20"/>
                <w:color w:val="auto"/>
              </w:rPr>
            </w:pPr>
            <w:r>
              <w:rPr>
                <w:rFonts w:ascii="Arial" w:cs="Arial" w:eastAsia="Arial" w:hAnsi="Arial"/>
                <w:sz w:val="14"/>
                <w:szCs w:val="14"/>
                <w:color w:val="auto"/>
              </w:rPr>
              <w:t> </w:t>
            </w:r>
          </w:p>
        </w:tc>
        <w:tc>
          <w:tcPr>
            <w:tcW w:w="4580" w:type="dxa"/>
            <w:vAlign w:val="bottom"/>
            <w:vMerge w:val="restart"/>
          </w:tcPr>
          <w:p>
            <w:pPr>
              <w:ind w:left="100"/>
              <w:spacing w:after="0"/>
              <w:rPr>
                <w:sz w:val="20"/>
                <w:szCs w:val="20"/>
                <w:color w:val="auto"/>
              </w:rPr>
            </w:pPr>
            <w:r>
              <w:rPr>
                <w:rFonts w:ascii="Arial" w:cs="Arial" w:eastAsia="Arial" w:hAnsi="Arial"/>
                <w:sz w:val="14"/>
                <w:szCs w:val="14"/>
                <w:color w:val="auto"/>
              </w:rPr>
              <w:t>“—General risks related to an Index” in the underlying supplement.</w:t>
            </w: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4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color w:val="auto"/>
        </w:rPr>
        <w:t>You will be subject to significant risks not associated with conventional fixed-rate or floating-rate debt securities.</w:t>
      </w:r>
    </w:p>
    <w:p>
      <w:pPr>
        <w:spacing w:after="0" w:line="238" w:lineRule="auto"/>
        <w:rPr>
          <w:sz w:val="20"/>
          <w:szCs w:val="20"/>
          <w:color w:val="auto"/>
        </w:rPr>
      </w:pPr>
      <w:r>
        <w:rPr>
          <w:rFonts w:ascii="Arial" w:cs="Arial" w:eastAsia="Arial" w:hAnsi="Arial"/>
          <w:sz w:val="14"/>
          <w:szCs w:val="14"/>
          <w:color w:val="auto"/>
        </w:rPr>
        <w:t> </w:t>
      </w:r>
    </w:p>
    <w:p>
      <w:pPr>
        <w:spacing w:after="0" w:line="237" w:lineRule="auto"/>
        <w:rPr>
          <w:sz w:val="20"/>
          <w:szCs w:val="20"/>
          <w:color w:val="auto"/>
        </w:rPr>
      </w:pPr>
      <w:r>
        <w:rPr>
          <w:rFonts w:ascii="Arial" w:cs="Arial" w:eastAsia="Arial" w:hAnsi="Arial"/>
          <w:sz w:val="14"/>
          <w:szCs w:val="14"/>
          <w:b w:val="1"/>
          <w:bCs w:val="1"/>
          <w:i w:val="1"/>
          <w:iCs w:val="1"/>
          <w:color w:val="auto"/>
        </w:rPr>
        <w:t>Risks Relating to the Structure or Features of the Notes</w:t>
      </w:r>
    </w:p>
    <w:p>
      <w:pPr>
        <w:spacing w:after="0" w:line="238"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b w:val="1"/>
          <w:bCs w:val="1"/>
          <w:color w:val="auto"/>
        </w:rPr>
        <w:t>The Notes do not guarantee any return of principal and you may lose all of your Principal Amount.</w:t>
      </w:r>
    </w:p>
    <w:p>
      <w:pPr>
        <w:spacing w:after="0" w:line="237" w:lineRule="auto"/>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Notes do not guarantee any return of principal. The Notes differ from ordinary debt securities in that we will not pay you 100% of the Principal Amount of your Notes if the Notes are not redeemed, a Trigger Event occurs and the Final Value of the Worst Performing Underlying is less than its Initial Value. In this case, the Payment at Maturity you will be entitled to receive will be less than the Principal Amount and you will lose 1% for each 1% that the Reference Return of the Worst Performing Underlying is less than 0.00%. You may lose up to 100% of your investment at maturity. Even with the Interest Payments received during the term of the Notes, your return on the Notes may be negative in this case.  </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Your return on the Notes is limited to the Principal Amount plus the Interest Payments, regardless of any appreciation in the value of any Underlying.</w:t>
      </w:r>
    </w:p>
    <w:p>
      <w:pPr>
        <w:spacing w:after="0" w:line="237" w:lineRule="auto"/>
        <w:rPr>
          <w:sz w:val="20"/>
          <w:szCs w:val="20"/>
          <w:color w:val="auto"/>
        </w:rPr>
      </w:pPr>
      <w:r>
        <w:rPr>
          <w:rFonts w:ascii="Arial" w:cs="Arial" w:eastAsia="Arial" w:hAnsi="Arial"/>
          <w:sz w:val="14"/>
          <w:szCs w:val="14"/>
          <w:color w:val="auto"/>
        </w:rPr>
        <w:t> </w:t>
      </w:r>
    </w:p>
    <w:p>
      <w:pPr>
        <w:spacing w:after="0"/>
        <w:rPr>
          <w:sz w:val="20"/>
          <w:szCs w:val="20"/>
          <w:color w:val="auto"/>
        </w:rPr>
      </w:pPr>
      <w:r>
        <w:rPr>
          <w:rFonts w:ascii="Arial" w:cs="Arial" w:eastAsia="Arial" w:hAnsi="Arial"/>
          <w:sz w:val="14"/>
          <w:szCs w:val="14"/>
          <w:color w:val="auto"/>
        </w:rPr>
        <w:t>You will not participate in any appreciation of any Underlying. Whether the Notes are redeemed or at maturity, the total payments on the Notes will not exceed the Principal Amount plus the Interest Payments, regardless of any appreciation in the value of any Underlying, which may be significant. Accordingly, the return on the Notes may be significantly less than the return on a direct investment in the stocks included in the Underlyings during the term of the Notes.  </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Notes may be redeemed at our option prior to maturity, and the Notes are subject to reinvestment risk.</w:t>
      </w:r>
    </w:p>
    <w:p>
      <w:pPr>
        <w:spacing w:after="0" w:line="237" w:lineRule="auto"/>
        <w:rPr>
          <w:sz w:val="20"/>
          <w:szCs w:val="20"/>
          <w:color w:val="auto"/>
        </w:rPr>
      </w:pPr>
      <w:r>
        <w:rPr>
          <w:rFonts w:ascii="Arial" w:cs="Arial" w:eastAsia="Arial" w:hAnsi="Arial"/>
          <w:sz w:val="14"/>
          <w:szCs w:val="14"/>
          <w:color w:val="auto"/>
        </w:rPr>
        <w:t> </w:t>
      </w:r>
    </w:p>
    <w:p>
      <w:pPr>
        <w:spacing w:after="0"/>
        <w:rPr>
          <w:sz w:val="20"/>
          <w:szCs w:val="20"/>
          <w:color w:val="auto"/>
        </w:rPr>
      </w:pPr>
      <w:r>
        <w:rPr>
          <w:rFonts w:ascii="Arial" w:cs="Arial" w:eastAsia="Arial" w:hAnsi="Arial"/>
          <w:sz w:val="14"/>
          <w:szCs w:val="14"/>
          <w:color w:val="auto"/>
        </w:rPr>
        <w:t>If the Notes are redeemed early, the holding period over which you may receive the Interest Payments could be as little as approximately 3 months. Once the Notes are redeemed, you will lose the opportunity to continue to receive the Interest Payments from the relevant Call Payment Date to the Maturity Date, and the total return on the Notes could be minimal. It is more likely that we will redeem the Notes prior to maturity to the extent that the interest rate on the Notes is higher than the then-current interest rate on a conventional debt security with a comparable maturity issued by Marex or another issuer with a similar credit rating. There is no guarantee that you would be able to reinvest the proceeds from an investment in the Notes at a comparable return for a similar level of risk in the event the Notes are redeemed prior to the Maturity Date.  </w:t>
      </w:r>
    </w:p>
    <w:p>
      <w:pPr>
        <w:spacing w:after="0" w:line="15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b w:val="1"/>
          <w:bCs w:val="1"/>
          <w:color w:val="auto"/>
        </w:rPr>
        <w:t>The Notes are subject to the full risks of the Worst Performing Underlying and will be negatively affected if any Underlying performs poorly, even if the other Underlyings perform favorably.</w:t>
      </w:r>
    </w:p>
    <w:p>
      <w:pPr>
        <w:spacing w:after="0"/>
        <w:rPr>
          <w:sz w:val="20"/>
          <w:szCs w:val="20"/>
          <w:color w:val="auto"/>
        </w:rPr>
      </w:pPr>
      <w:r>
        <w:rPr>
          <w:rFonts w:ascii="Arial" w:cs="Arial" w:eastAsia="Arial" w:hAnsi="Arial"/>
          <w:sz w:val="14"/>
          <w:szCs w:val="14"/>
          <w:color w:val="auto"/>
        </w:rPr>
        <w:t> </w:t>
      </w:r>
    </w:p>
    <w:p>
      <w:pPr>
        <w:spacing w:after="0" w:line="237" w:lineRule="auto"/>
        <w:rPr>
          <w:sz w:val="20"/>
          <w:szCs w:val="20"/>
          <w:color w:val="auto"/>
        </w:rPr>
      </w:pPr>
      <w:r>
        <w:rPr>
          <w:rFonts w:ascii="Arial" w:cs="Arial" w:eastAsia="Arial" w:hAnsi="Arial"/>
          <w:sz w:val="14"/>
          <w:szCs w:val="14"/>
          <w:color w:val="auto"/>
        </w:rPr>
        <w:t>You are subject to the full risks of the Worst Performing Underlying. If the Worst Performing Underlying performs poorly, you will be negatively affected, even if the other Underlyings</w:t>
      </w:r>
    </w:p>
    <w:p>
      <w:pPr>
        <w:spacing w:after="0" w:line="238" w:lineRule="auto"/>
        <w:rPr>
          <w:sz w:val="20"/>
          <w:szCs w:val="20"/>
          <w:color w:val="auto"/>
        </w:rPr>
      </w:pPr>
      <w:r>
        <w:rPr>
          <w:rFonts w:ascii="Arial" w:cs="Arial" w:eastAsia="Arial" w:hAnsi="Arial"/>
          <w:sz w:val="14"/>
          <w:szCs w:val="14"/>
          <w:color w:val="auto"/>
        </w:rPr>
        <w:t>perform favorably. The Notes are not linked to a basket composed of the Underlyings, where the better performance of one Underlying could offset the poor performance of the</w:t>
      </w:r>
    </w:p>
    <w:p>
      <w:pPr>
        <w:spacing w:after="0" w:line="238" w:lineRule="auto"/>
        <w:rPr>
          <w:sz w:val="20"/>
          <w:szCs w:val="20"/>
          <w:color w:val="auto"/>
        </w:rPr>
      </w:pPr>
      <w:r>
        <w:rPr>
          <w:rFonts w:ascii="Arial" w:cs="Arial" w:eastAsia="Arial" w:hAnsi="Arial"/>
          <w:sz w:val="14"/>
          <w:szCs w:val="14"/>
          <w:color w:val="auto"/>
        </w:rPr>
        <w:t>others. Instead, you are subject to the full risks of the Worst Performing Underlying on the Final Valuation Date. As a result, the Notes are riskier than an alternative investment</w:t>
      </w:r>
    </w:p>
    <w:p>
      <w:pPr>
        <w:spacing w:after="0" w:line="237" w:lineRule="auto"/>
        <w:rPr>
          <w:sz w:val="20"/>
          <w:szCs w:val="20"/>
          <w:color w:val="auto"/>
        </w:rPr>
      </w:pPr>
      <w:r>
        <w:rPr>
          <w:rFonts w:ascii="Arial" w:cs="Arial" w:eastAsia="Arial" w:hAnsi="Arial"/>
          <w:sz w:val="14"/>
          <w:szCs w:val="14"/>
          <w:color w:val="auto"/>
        </w:rPr>
        <w:t>linked to only one of the Underlyings or linked to a basket composed of the Underlyings. You should not invest in the Notes unless you understand and are willing to accept the full</w:t>
      </w:r>
    </w:p>
    <w:p>
      <w:pPr>
        <w:spacing w:after="0" w:line="238" w:lineRule="auto"/>
        <w:rPr>
          <w:sz w:val="20"/>
          <w:szCs w:val="20"/>
          <w:color w:val="auto"/>
        </w:rPr>
      </w:pPr>
      <w:r>
        <w:rPr>
          <w:rFonts w:ascii="Arial" w:cs="Arial" w:eastAsia="Arial" w:hAnsi="Arial"/>
          <w:sz w:val="14"/>
          <w:szCs w:val="14"/>
          <w:color w:val="auto"/>
        </w:rPr>
        <w:t>downside risks of the Worst Performing Underlying.</w:t>
      </w:r>
    </w:p>
    <w:p>
      <w:pPr>
        <w:spacing w:after="0" w:line="238" w:lineRule="auto"/>
        <w:rPr>
          <w:sz w:val="20"/>
          <w:szCs w:val="20"/>
          <w:color w:val="auto"/>
        </w:rPr>
      </w:pPr>
      <w:r>
        <w:rPr>
          <w:rFonts w:ascii="Arial" w:cs="Arial" w:eastAsia="Arial" w:hAnsi="Arial"/>
          <w:sz w:val="14"/>
          <w:szCs w:val="14"/>
          <w:color w:val="auto"/>
        </w:rPr>
        <w:t> </w:t>
      </w:r>
    </w:p>
    <w:p>
      <w:pPr>
        <w:spacing w:after="0" w:line="237" w:lineRule="auto"/>
        <w:rPr>
          <w:sz w:val="20"/>
          <w:szCs w:val="20"/>
          <w:color w:val="auto"/>
        </w:rPr>
      </w:pPr>
      <w:r>
        <w:rPr>
          <w:rFonts w:ascii="Arial" w:cs="Arial" w:eastAsia="Arial" w:hAnsi="Arial"/>
          <w:sz w:val="14"/>
          <w:szCs w:val="14"/>
          <w:b w:val="1"/>
          <w:bCs w:val="1"/>
          <w:i w:val="1"/>
          <w:iCs w:val="1"/>
          <w:color w:val="auto"/>
        </w:rPr>
        <w:t>Risks Relating to the Reference Asset</w:t>
      </w:r>
    </w:p>
    <w:p>
      <w:pPr>
        <w:spacing w:after="0" w:line="238"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b w:val="1"/>
          <w:bCs w:val="1"/>
          <w:color w:val="auto"/>
        </w:rPr>
        <w:t>Changes that affect an Underlying may affect the value of that Underlying and the return on the Notes.</w:t>
      </w:r>
    </w:p>
    <w:p>
      <w:pPr>
        <w:spacing w:after="0" w:line="237" w:lineRule="auto"/>
        <w:rPr>
          <w:sz w:val="20"/>
          <w:szCs w:val="20"/>
          <w:color w:val="auto"/>
        </w:rPr>
      </w:pPr>
      <w:r>
        <w:rPr>
          <w:rFonts w:ascii="Arial" w:cs="Arial" w:eastAsia="Arial" w:hAnsi="Arial"/>
          <w:sz w:val="14"/>
          <w:szCs w:val="14"/>
          <w:b w:val="1"/>
          <w:bCs w:val="1"/>
          <w:color w:val="auto"/>
        </w:rPr>
        <w:t>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policies of the Reference Sponsor of an Underlying concerning additions, deletions and substitutions of the stocks included in that Underlying, and the manner in which the Reference Sponsor takes account of certain changes affecting those stocks, may adversely affect the value of that Underlying. The policies of the Reference Sponsor with respect to the calculation of an Underlying could also adversely affect the value of that Underlying. The Reference Sponsor may discontinue or suspend calculation or dissemination of an Underlying. Any such actions could adversely affect the value of an Underlying and the value of and the return on the Notes.  </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Notes are subject to small-capitalization risk.</w:t>
      </w:r>
    </w:p>
    <w:p>
      <w:pPr>
        <w:spacing w:after="0" w:line="237" w:lineRule="auto"/>
        <w:rPr>
          <w:sz w:val="20"/>
          <w:szCs w:val="20"/>
          <w:color w:val="auto"/>
        </w:rPr>
      </w:pPr>
      <w:r>
        <w:rPr>
          <w:rFonts w:ascii="Arial" w:cs="Arial" w:eastAsia="Arial" w:hAnsi="Arial"/>
          <w:sz w:val="14"/>
          <w:szCs w:val="14"/>
          <w:b w:val="1"/>
          <w:bCs w:val="1"/>
          <w:color w:val="auto"/>
        </w:rPr>
        <w:t> </w:t>
      </w:r>
    </w:p>
    <w:p>
      <w:pPr>
        <w:spacing w:after="0" w:line="241" w:lineRule="auto"/>
        <w:rPr>
          <w:sz w:val="20"/>
          <w:szCs w:val="20"/>
          <w:color w:val="auto"/>
        </w:rPr>
      </w:pPr>
      <w:r>
        <w:rPr>
          <w:rFonts w:ascii="Arial" w:cs="Arial" w:eastAsia="Arial" w:hAnsi="Arial"/>
          <w:sz w:val="14"/>
          <w:szCs w:val="14"/>
          <w:color w:val="auto"/>
        </w:rPr>
        <w:t>The RTY tracks companies that are considered small-capitalization. These companies often have greater stock price volatility, lower trading volume and less liquidity than large-capitalization companies and therefore the level of the RTY may be more volatile than an investment in stocks issued by large-capitalization companies. Stock prices of small-capitalization companies are also more vulnerable than those of large-capitalization companies to adverse business and economic developments, and the stocks of small-capitalization companies may be thinly traded, making it difficult for the RTY to track them. In addition, small-capitalization companies are typically less stable financially than large-capitalization companies and may depend on a small number of key personnel, making them more vulnerable  </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PS-7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 </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to loss of personnel. Small-capitalization companies are often subject to less analyst coverage and may be in early, and less predictable, periods of their corporate existences. Such companies tend to have smaller revenues, less diverse product lines, smaller shares of their product or service markets, fewer financial resources and less competitive strengths than large-capitalization companies and are more susceptible to adverse developments related to their products or services.  </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Notes are subject to non-U.S. securities risk.</w:t>
      </w:r>
    </w:p>
    <w:p>
      <w:pPr>
        <w:spacing w:after="0" w:line="237" w:lineRule="auto"/>
        <w:rPr>
          <w:sz w:val="20"/>
          <w:szCs w:val="20"/>
          <w:color w:val="auto"/>
        </w:rPr>
      </w:pPr>
      <w:r>
        <w:rPr>
          <w:rFonts w:ascii="Arial" w:cs="Arial" w:eastAsia="Arial" w:hAnsi="Arial"/>
          <w:sz w:val="14"/>
          <w:szCs w:val="14"/>
          <w:color w:val="auto"/>
        </w:rPr>
        <w:t> </w:t>
      </w:r>
    </w:p>
    <w:p>
      <w:pPr>
        <w:spacing w:after="0"/>
        <w:rPr>
          <w:sz w:val="20"/>
          <w:szCs w:val="20"/>
          <w:color w:val="auto"/>
        </w:rPr>
      </w:pPr>
      <w:r>
        <w:rPr>
          <w:rFonts w:ascii="Arial" w:cs="Arial" w:eastAsia="Arial" w:hAnsi="Arial"/>
          <w:sz w:val="14"/>
          <w:szCs w:val="14"/>
          <w:color w:val="auto"/>
        </w:rPr>
        <w:t>Some of the equity securities included in the NDX are issued by non-U.S. companies. Investments in securities linked to the value of such non-U.S. equity securities, such as the Notes, involve risks associated with the home countries of the issuers of those non-U.S. equity securities. The prices of securities in non-U.S. markets may be affected by political, economic, financial and social factors in those countries, or global regions, including changes in government, economic and fiscal policies and currency exchange laws.  </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Risk Factors</w:t>
      </w:r>
    </w:p>
    <w:p>
      <w:pPr>
        <w:spacing w:after="0" w:line="237"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b w:val="1"/>
          <w:bCs w:val="1"/>
          <w:color w:val="auto"/>
        </w:rPr>
        <w:t>The Notes are subject to our credit risk.</w:t>
      </w:r>
    </w:p>
    <w:p>
      <w:pPr>
        <w:spacing w:after="0" w:line="238" w:lineRule="auto"/>
        <w:rPr>
          <w:sz w:val="20"/>
          <w:szCs w:val="20"/>
          <w:color w:val="auto"/>
        </w:rPr>
      </w:pPr>
      <w:r>
        <w:rPr>
          <w:rFonts w:ascii="Arial" w:cs="Arial" w:eastAsia="Arial" w:hAnsi="Arial"/>
          <w:sz w:val="14"/>
          <w:szCs w:val="14"/>
          <w:color w:val="auto"/>
        </w:rPr>
        <w:t> </w:t>
      </w:r>
    </w:p>
    <w:p>
      <w:pPr>
        <w:spacing w:after="0"/>
        <w:rPr>
          <w:sz w:val="20"/>
          <w:szCs w:val="20"/>
          <w:color w:val="auto"/>
        </w:rPr>
      </w:pPr>
      <w:r>
        <w:rPr>
          <w:rFonts w:ascii="Arial" w:cs="Arial" w:eastAsia="Arial" w:hAnsi="Arial"/>
          <w:sz w:val="14"/>
          <w:szCs w:val="14"/>
          <w:color w:val="auto"/>
        </w:rPr>
        <w:t>Marex may partially or wholly fail to meet their obligations under the Notes. Investors should therefore take the creditworthiness of Marex and its subsidiaries into account in their investment decision. Credit risk means the risk of insolvency or illiquidity of an issuer, i.e. a potential, temporary or final inability to fulfil their interest and repayment obligations on time. An increased insolvency risk is typical of issuers that have a low creditworthiness. The payment of any amount due on the Notes is subject to the credit risk of Marex. The Notes are senior unsecured debt obligations of Marex, and are not, either directly or indirectly, an obligation of any third party. Investors are dependent on Marex’s ability to pay all amounts due on the Notes, and therefore investors are subject to the credit risk of Marex and to changes in the market’s view of its creditworthiness.  </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The Notes are not bank deposits and are not insured or guaranteed by the U.S. Federal Deposit Insurance Corporation, the UK Financial Services Compensation Scheme or any</w:t>
      </w:r>
    </w:p>
    <w:p>
      <w:pPr>
        <w:spacing w:after="0" w:line="237" w:lineRule="auto"/>
        <w:rPr>
          <w:sz w:val="20"/>
          <w:szCs w:val="20"/>
          <w:color w:val="auto"/>
        </w:rPr>
      </w:pPr>
      <w:r>
        <w:rPr>
          <w:rFonts w:ascii="Arial" w:cs="Arial" w:eastAsia="Arial" w:hAnsi="Arial"/>
          <w:sz w:val="14"/>
          <w:szCs w:val="14"/>
          <w:color w:val="auto"/>
        </w:rPr>
        <w:t>other government or governmental or private agency or deposit protection scheme in any jurisdiction. Investors are dependent on Marex’s ability to pay all amounts due on the</w:t>
      </w:r>
    </w:p>
    <w:p>
      <w:pPr>
        <w:spacing w:after="0" w:line="238" w:lineRule="auto"/>
        <w:rPr>
          <w:sz w:val="20"/>
          <w:szCs w:val="20"/>
          <w:color w:val="auto"/>
        </w:rPr>
      </w:pPr>
      <w:r>
        <w:rPr>
          <w:rFonts w:ascii="Arial" w:cs="Arial" w:eastAsia="Arial" w:hAnsi="Arial"/>
          <w:sz w:val="14"/>
          <w:szCs w:val="14"/>
          <w:color w:val="auto"/>
        </w:rPr>
        <w:t>Notes, and therefore investors are subject to Marex’s credit risk and to changes in the market’s view of Marex’s creditworthiness. The payment of any amount due on the Notes is</w:t>
      </w:r>
    </w:p>
    <w:p>
      <w:pPr>
        <w:spacing w:after="0" w:line="238" w:lineRule="auto"/>
        <w:rPr>
          <w:sz w:val="20"/>
          <w:szCs w:val="20"/>
          <w:color w:val="auto"/>
        </w:rPr>
      </w:pPr>
      <w:r>
        <w:rPr>
          <w:rFonts w:ascii="Arial" w:cs="Arial" w:eastAsia="Arial" w:hAnsi="Arial"/>
          <w:sz w:val="14"/>
          <w:szCs w:val="14"/>
          <w:color w:val="auto"/>
        </w:rPr>
        <w:t>not guaranteed by any entity.</w:t>
      </w:r>
    </w:p>
    <w:p>
      <w:pPr>
        <w:spacing w:after="0" w:line="237"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b w:val="1"/>
          <w:bCs w:val="1"/>
          <w:color w:val="auto"/>
        </w:rPr>
        <w:t>The Notes are not insured against loss by any third parties; you can depend only on our earnings and assets for payments on the Notes.</w:t>
      </w:r>
    </w:p>
    <w:p>
      <w:pPr>
        <w:spacing w:after="0" w:line="238" w:lineRule="auto"/>
        <w:rPr>
          <w:sz w:val="20"/>
          <w:szCs w:val="20"/>
          <w:color w:val="auto"/>
        </w:rPr>
      </w:pPr>
      <w:r>
        <w:rPr>
          <w:rFonts w:ascii="Arial" w:cs="Arial" w:eastAsia="Arial" w:hAnsi="Arial"/>
          <w:sz w:val="14"/>
          <w:szCs w:val="14"/>
          <w:color w:val="auto"/>
        </w:rPr>
        <w:t> </w:t>
      </w:r>
    </w:p>
    <w:p>
      <w:pPr>
        <w:spacing w:after="0" w:line="237" w:lineRule="auto"/>
        <w:rPr>
          <w:sz w:val="20"/>
          <w:szCs w:val="20"/>
          <w:color w:val="auto"/>
        </w:rPr>
      </w:pPr>
      <w:r>
        <w:rPr>
          <w:rFonts w:ascii="Arial" w:cs="Arial" w:eastAsia="Arial" w:hAnsi="Arial"/>
          <w:sz w:val="14"/>
          <w:szCs w:val="14"/>
          <w:color w:val="auto"/>
        </w:rPr>
        <w:t>The Notes will be solely our obligations, and no other entity will have any obligation, contingent or otherwise, to make any payments in respect of the Notes.</w:t>
      </w:r>
    </w:p>
    <w:p>
      <w:pPr>
        <w:spacing w:after="0" w:line="238" w:lineRule="auto"/>
        <w:rPr>
          <w:sz w:val="20"/>
          <w:szCs w:val="20"/>
          <w:color w:val="auto"/>
        </w:rPr>
      </w:pPr>
      <w:r>
        <w:rPr>
          <w:rFonts w:ascii="Arial" w:cs="Arial" w:eastAsia="Arial" w:hAnsi="Arial"/>
          <w:sz w:val="14"/>
          <w:szCs w:val="14"/>
          <w:color w:val="auto"/>
        </w:rPr>
        <w:t> </w:t>
      </w:r>
    </w:p>
    <w:p>
      <w:pPr>
        <w:jc w:val="both"/>
        <w:spacing w:after="0" w:line="237" w:lineRule="auto"/>
        <w:rPr>
          <w:sz w:val="20"/>
          <w:szCs w:val="20"/>
          <w:color w:val="auto"/>
        </w:rPr>
      </w:pPr>
      <w:r>
        <w:rPr>
          <w:rFonts w:ascii="Arial" w:cs="Arial" w:eastAsia="Arial" w:hAnsi="Arial"/>
          <w:sz w:val="14"/>
          <w:szCs w:val="14"/>
          <w:b w:val="1"/>
          <w:bCs w:val="1"/>
          <w:color w:val="auto"/>
        </w:rPr>
        <w:t>The Estimated Initial Value of the Notes, which was determined by us on the Trade Date, is less than the price to public and may differ from the market value of the Notes in the secondary market, if any.</w:t>
      </w:r>
    </w:p>
    <w:p>
      <w:pPr>
        <w:spacing w:after="0"/>
        <w:rPr>
          <w:sz w:val="20"/>
          <w:szCs w:val="20"/>
          <w:color w:val="auto"/>
        </w:rPr>
      </w:pPr>
      <w:r>
        <w:rPr>
          <w:rFonts w:ascii="Arial" w:cs="Arial" w:eastAsia="Arial" w:hAnsi="Arial"/>
          <w:sz w:val="14"/>
          <w:szCs w:val="14"/>
          <w:color w:val="auto"/>
        </w:rPr>
        <w:t> </w:t>
      </w:r>
    </w:p>
    <w:p>
      <w:pPr>
        <w:spacing w:after="0" w:line="237" w:lineRule="auto"/>
        <w:rPr>
          <w:sz w:val="20"/>
          <w:szCs w:val="20"/>
          <w:color w:val="auto"/>
        </w:rPr>
      </w:pPr>
      <w:r>
        <w:rPr>
          <w:rFonts w:ascii="Arial" w:cs="Arial" w:eastAsia="Arial" w:hAnsi="Arial"/>
          <w:sz w:val="14"/>
          <w:szCs w:val="14"/>
          <w:color w:val="auto"/>
        </w:rPr>
        <w:t>The Estimated Initial Value of the Notes was calculated by us on the Trade Date and is less than the price to public. The Estimated Initial Value reflects our and our affiliates’</w:t>
      </w:r>
    </w:p>
    <w:p>
      <w:pPr>
        <w:spacing w:after="0" w:line="238" w:lineRule="auto"/>
        <w:rPr>
          <w:sz w:val="20"/>
          <w:szCs w:val="20"/>
          <w:color w:val="auto"/>
        </w:rPr>
      </w:pPr>
      <w:r>
        <w:rPr>
          <w:rFonts w:ascii="Arial" w:cs="Arial" w:eastAsia="Arial" w:hAnsi="Arial"/>
          <w:sz w:val="14"/>
          <w:szCs w:val="14"/>
          <w:color w:val="auto"/>
        </w:rPr>
        <w:t>internal funding rate, which is the borrowing rate paid to issue market-linked securities, as well as the mid-market value of the embedded derivatives in the Notes. This internal</w:t>
      </w:r>
    </w:p>
    <w:p>
      <w:pPr>
        <w:spacing w:after="0" w:line="238" w:lineRule="auto"/>
        <w:rPr>
          <w:sz w:val="20"/>
          <w:szCs w:val="20"/>
          <w:color w:val="auto"/>
        </w:rPr>
      </w:pPr>
      <w:r>
        <w:rPr>
          <w:rFonts w:ascii="Arial" w:cs="Arial" w:eastAsia="Arial" w:hAnsi="Arial"/>
          <w:sz w:val="14"/>
          <w:szCs w:val="14"/>
          <w:color w:val="auto"/>
        </w:rPr>
        <w:t>funding rate is typically lower than the rate we would use when we issue conventional fixed or floating rate debt securities. As a result of the difference between our internal funding</w:t>
      </w:r>
    </w:p>
    <w:p>
      <w:pPr>
        <w:spacing w:after="0" w:line="237" w:lineRule="auto"/>
        <w:rPr>
          <w:sz w:val="20"/>
          <w:szCs w:val="20"/>
          <w:color w:val="auto"/>
        </w:rPr>
      </w:pPr>
      <w:r>
        <w:rPr>
          <w:rFonts w:ascii="Arial" w:cs="Arial" w:eastAsia="Arial" w:hAnsi="Arial"/>
          <w:sz w:val="14"/>
          <w:szCs w:val="14"/>
          <w:color w:val="auto"/>
        </w:rPr>
        <w:t>rate and the rate we would use when we issue conventional fixed or floating rate debt securities, the Estimated Initial Value of the Notes may be lower if it were based on the prices</w:t>
      </w:r>
    </w:p>
    <w:p>
      <w:pPr>
        <w:spacing w:after="0" w:line="238" w:lineRule="auto"/>
        <w:rPr>
          <w:sz w:val="20"/>
          <w:szCs w:val="20"/>
          <w:color w:val="auto"/>
        </w:rPr>
      </w:pPr>
      <w:r>
        <w:rPr>
          <w:rFonts w:ascii="Arial" w:cs="Arial" w:eastAsia="Arial" w:hAnsi="Arial"/>
          <w:sz w:val="14"/>
          <w:szCs w:val="14"/>
          <w:color w:val="auto"/>
        </w:rPr>
        <w:t>at which our fixed or floating rate debt securities trade in the secondary market. In addition, if we were to use the rate we use for our conventional fixed or floating rate debt</w:t>
      </w:r>
    </w:p>
    <w:p>
      <w:pPr>
        <w:spacing w:after="0" w:line="238" w:lineRule="auto"/>
        <w:rPr>
          <w:sz w:val="20"/>
          <w:szCs w:val="20"/>
          <w:color w:val="auto"/>
        </w:rPr>
      </w:pPr>
      <w:r>
        <w:rPr>
          <w:rFonts w:ascii="Arial" w:cs="Arial" w:eastAsia="Arial" w:hAnsi="Arial"/>
          <w:sz w:val="14"/>
          <w:szCs w:val="14"/>
          <w:color w:val="auto"/>
        </w:rPr>
        <w:t>issuances, we would expect the economic terms of the Notes to be more favorable to you. We determined the value of the embedded derivatives in the Notes by reference to our or</w:t>
      </w:r>
    </w:p>
    <w:p>
      <w:pPr>
        <w:spacing w:after="0" w:line="237" w:lineRule="auto"/>
        <w:rPr>
          <w:sz w:val="20"/>
          <w:szCs w:val="20"/>
          <w:color w:val="auto"/>
        </w:rPr>
      </w:pPr>
      <w:r>
        <w:rPr>
          <w:rFonts w:ascii="Arial" w:cs="Arial" w:eastAsia="Arial" w:hAnsi="Arial"/>
          <w:sz w:val="14"/>
          <w:szCs w:val="14"/>
          <w:color w:val="auto"/>
        </w:rPr>
        <w:t>our affiliates’ internal pricing models. These pricing models consider certain assumptions and variables, which can include volatility and interest rates. Different pricing models and</w:t>
      </w:r>
    </w:p>
    <w:p>
      <w:pPr>
        <w:spacing w:after="0" w:line="238" w:lineRule="auto"/>
        <w:rPr>
          <w:sz w:val="20"/>
          <w:szCs w:val="20"/>
          <w:color w:val="auto"/>
        </w:rPr>
      </w:pPr>
      <w:r>
        <w:rPr>
          <w:rFonts w:ascii="Arial" w:cs="Arial" w:eastAsia="Arial" w:hAnsi="Arial"/>
          <w:sz w:val="14"/>
          <w:szCs w:val="14"/>
          <w:color w:val="auto"/>
        </w:rPr>
        <w:t>assumptions could provide valuations for the Notes that are different from our Estimated Initial Value. These pricing models rely in part on certain forecasts about future events,</w:t>
      </w:r>
    </w:p>
    <w:p>
      <w:pPr>
        <w:spacing w:after="0" w:line="238" w:lineRule="auto"/>
        <w:rPr>
          <w:sz w:val="20"/>
          <w:szCs w:val="20"/>
          <w:color w:val="auto"/>
        </w:rPr>
      </w:pPr>
      <w:r>
        <w:rPr>
          <w:rFonts w:ascii="Arial" w:cs="Arial" w:eastAsia="Arial" w:hAnsi="Arial"/>
          <w:sz w:val="14"/>
          <w:szCs w:val="14"/>
          <w:color w:val="auto"/>
        </w:rPr>
        <w:t>which may prove to be incorrect. The Estimated Initial Value does not represent a minimum price at which we or any of our affiliates would be willing to purchase your Notes in the</w:t>
      </w:r>
    </w:p>
    <w:p>
      <w:pPr>
        <w:spacing w:after="0" w:line="237" w:lineRule="auto"/>
        <w:rPr>
          <w:sz w:val="20"/>
          <w:szCs w:val="20"/>
          <w:color w:val="auto"/>
        </w:rPr>
      </w:pPr>
      <w:r>
        <w:rPr>
          <w:rFonts w:ascii="Arial" w:cs="Arial" w:eastAsia="Arial" w:hAnsi="Arial"/>
          <w:sz w:val="14"/>
          <w:szCs w:val="14"/>
          <w:color w:val="auto"/>
        </w:rPr>
        <w:t>secondary market (if any exists) at any time.</w:t>
      </w:r>
    </w:p>
    <w:p>
      <w:pPr>
        <w:spacing w:after="0"/>
        <w:rPr>
          <w:sz w:val="20"/>
          <w:szCs w:val="20"/>
          <w:color w:val="auto"/>
        </w:rPr>
      </w:pPr>
      <w:r>
        <w:rPr>
          <w:rFonts w:ascii="Arial" w:cs="Arial" w:eastAsia="Arial" w:hAnsi="Arial"/>
          <w:sz w:val="14"/>
          <w:szCs w:val="14"/>
          <w:color w:val="auto"/>
        </w:rPr>
        <w:t> </w:t>
      </w:r>
    </w:p>
    <w:p>
      <w:pPr>
        <w:spacing w:after="0" w:line="237" w:lineRule="auto"/>
        <w:rPr>
          <w:sz w:val="20"/>
          <w:szCs w:val="20"/>
          <w:color w:val="auto"/>
        </w:rPr>
      </w:pPr>
      <w:r>
        <w:rPr>
          <w:rFonts w:ascii="Arial" w:cs="Arial" w:eastAsia="Arial" w:hAnsi="Arial"/>
          <w:sz w:val="14"/>
          <w:szCs w:val="14"/>
          <w:b w:val="1"/>
          <w:bCs w:val="1"/>
          <w:color w:val="auto"/>
        </w:rPr>
        <w:t>The price of your Notes in the secondary market, if any, immediately after the Trade Date is expected to be less than the price to public.</w:t>
      </w:r>
    </w:p>
    <w:p>
      <w:pPr>
        <w:spacing w:after="0" w:line="238"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color w:val="auto"/>
        </w:rPr>
        <w:t>The price to public takes into account certain costs. These costs include our affiliates’ projected hedging profits (which may or may not be realized) for assuming risks inherent in</w:t>
      </w:r>
    </w:p>
    <w:p>
      <w:pPr>
        <w:spacing w:after="0" w:line="237" w:lineRule="auto"/>
        <w:rPr>
          <w:sz w:val="20"/>
          <w:szCs w:val="20"/>
          <w:color w:val="auto"/>
        </w:rPr>
      </w:pPr>
      <w:r>
        <w:rPr>
          <w:rFonts w:ascii="Arial" w:cs="Arial" w:eastAsia="Arial" w:hAnsi="Arial"/>
          <w:sz w:val="14"/>
          <w:szCs w:val="14"/>
          <w:color w:val="auto"/>
        </w:rPr>
        <w:t>hedging our obligations under the Notes, the underwriting discount and the costs associated with structuring and hedging our obligations under the Notes. These costs will be used</w:t>
      </w:r>
    </w:p>
    <w:p>
      <w:pPr>
        <w:spacing w:after="0" w:line="238" w:lineRule="auto"/>
        <w:rPr>
          <w:sz w:val="20"/>
          <w:szCs w:val="20"/>
          <w:color w:val="auto"/>
        </w:rPr>
      </w:pPr>
      <w:r>
        <w:rPr>
          <w:rFonts w:ascii="Arial" w:cs="Arial" w:eastAsia="Arial" w:hAnsi="Arial"/>
          <w:sz w:val="14"/>
          <w:szCs w:val="14"/>
          <w:color w:val="auto"/>
        </w:rPr>
        <w:t>or retained by us or one of our affiliates, except for underwriting discounts paid to unaffiliated distributors. If you were to sell your Notes in the secondary market, if any, the price you</w:t>
      </w:r>
    </w:p>
    <w:p>
      <w:pPr>
        <w:spacing w:after="0" w:line="238" w:lineRule="auto"/>
        <w:rPr>
          <w:sz w:val="20"/>
          <w:szCs w:val="20"/>
          <w:color w:val="auto"/>
        </w:rPr>
      </w:pPr>
      <w:r>
        <w:rPr>
          <w:rFonts w:ascii="Arial" w:cs="Arial" w:eastAsia="Arial" w:hAnsi="Arial"/>
          <w:sz w:val="14"/>
          <w:szCs w:val="14"/>
          <w:color w:val="auto"/>
        </w:rPr>
        <w:t>would receive for your Notes may be less than the price you paid for them because secondary market prices will not take into account these costs. The price of your Notes in the</w:t>
      </w:r>
    </w:p>
    <w:p>
      <w:pPr>
        <w:spacing w:after="0" w:line="237" w:lineRule="auto"/>
        <w:rPr>
          <w:sz w:val="20"/>
          <w:szCs w:val="20"/>
          <w:color w:val="auto"/>
        </w:rPr>
      </w:pPr>
      <w:r>
        <w:rPr>
          <w:rFonts w:ascii="Arial" w:cs="Arial" w:eastAsia="Arial" w:hAnsi="Arial"/>
          <w:sz w:val="14"/>
          <w:szCs w:val="14"/>
          <w:color w:val="auto"/>
        </w:rPr>
        <w:t>secondary market, if any, at any time after issuance will vary based on many factors, including the values of the Underlyings and changes in market conditions, and cannot be</w:t>
      </w:r>
    </w:p>
    <w:p>
      <w:pPr>
        <w:spacing w:after="0" w:line="238" w:lineRule="auto"/>
        <w:rPr>
          <w:sz w:val="20"/>
          <w:szCs w:val="20"/>
          <w:color w:val="auto"/>
        </w:rPr>
      </w:pPr>
      <w:r>
        <w:rPr>
          <w:rFonts w:ascii="Arial" w:cs="Arial" w:eastAsia="Arial" w:hAnsi="Arial"/>
          <w:sz w:val="14"/>
          <w:szCs w:val="14"/>
          <w:color w:val="auto"/>
        </w:rPr>
        <w:t>predicted with accuracy. The Notes are not designed to be short-term trading instruments, and you should, therefore, be able and willing to hold the Notes to maturity. Any sale of</w:t>
      </w:r>
    </w:p>
    <w:p>
      <w:pPr>
        <w:spacing w:after="0" w:line="238" w:lineRule="auto"/>
        <w:rPr>
          <w:sz w:val="20"/>
          <w:szCs w:val="20"/>
          <w:color w:val="auto"/>
        </w:rPr>
      </w:pPr>
      <w:r>
        <w:rPr>
          <w:rFonts w:ascii="Arial" w:cs="Arial" w:eastAsia="Arial" w:hAnsi="Arial"/>
          <w:sz w:val="14"/>
          <w:szCs w:val="14"/>
          <w:color w:val="auto"/>
        </w:rPr>
        <w:t>the Notes prior to maturity could result in a loss to you.</w:t>
      </w:r>
    </w:p>
    <w:p>
      <w:pPr>
        <w:spacing w:after="0" w:line="237" w:lineRule="auto"/>
        <w:rPr>
          <w:sz w:val="20"/>
          <w:szCs w:val="20"/>
          <w:color w:val="auto"/>
        </w:rPr>
      </w:pPr>
      <w:r>
        <w:rPr>
          <w:rFonts w:ascii="Arial" w:cs="Arial" w:eastAsia="Arial" w:hAnsi="Arial"/>
          <w:sz w:val="14"/>
          <w:szCs w:val="14"/>
          <w:color w:val="auto"/>
        </w:rPr>
        <w:t> </w:t>
      </w:r>
    </w:p>
    <w:p>
      <w:pPr>
        <w:spacing w:after="0"/>
        <w:rPr>
          <w:sz w:val="20"/>
          <w:szCs w:val="20"/>
          <w:color w:val="auto"/>
        </w:rPr>
      </w:pPr>
      <w:r>
        <w:rPr>
          <w:rFonts w:ascii="Arial" w:cs="Arial" w:eastAsia="Arial" w:hAnsi="Arial"/>
          <w:sz w:val="14"/>
          <w:szCs w:val="14"/>
          <w:b w:val="1"/>
          <w:bCs w:val="1"/>
          <w:color w:val="auto"/>
        </w:rPr>
        <w:t>If we were to repurchase your Notes immediately after the Original Issue Date, the price you receive may be higher than the Estimated Initial Value of the Notes.</w:t>
      </w:r>
    </w:p>
    <w:p>
      <w:pPr>
        <w:spacing w:after="0" w:line="237"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color w:val="auto"/>
        </w:rPr>
        <w:t>Assuming that all relevant factors remain constant after the Original Issue Date, the price at which MCMI may initially buy or sell the Notes in the secondary market, if any, and the</w:t>
      </w:r>
    </w:p>
    <w:p>
      <w:pPr>
        <w:spacing w:after="0" w:line="238" w:lineRule="auto"/>
        <w:rPr>
          <w:sz w:val="20"/>
          <w:szCs w:val="20"/>
          <w:color w:val="auto"/>
        </w:rPr>
      </w:pPr>
      <w:r>
        <w:rPr>
          <w:rFonts w:ascii="Arial" w:cs="Arial" w:eastAsia="Arial" w:hAnsi="Arial"/>
          <w:sz w:val="14"/>
          <w:szCs w:val="14"/>
          <w:color w:val="auto"/>
        </w:rPr>
        <w:t>value that may initially be used for customer account statements, if any, may exceed the Estimated Initial Value on the Trade Date for a temporary period expected to be</w:t>
      </w:r>
    </w:p>
    <w:p>
      <w:pPr>
        <w:spacing w:after="0" w:line="237" w:lineRule="auto"/>
        <w:rPr>
          <w:sz w:val="20"/>
          <w:szCs w:val="20"/>
          <w:color w:val="auto"/>
        </w:rPr>
      </w:pPr>
      <w:r>
        <w:rPr>
          <w:rFonts w:ascii="Arial" w:cs="Arial" w:eastAsia="Arial" w:hAnsi="Arial"/>
          <w:sz w:val="14"/>
          <w:szCs w:val="14"/>
          <w:color w:val="auto"/>
        </w:rPr>
        <w:t>approximately 6 months after the Original Issue Date. This temporary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PS-8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 </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price difference may exist because, in our discretion, we may elect to effectively reimburse to investors a portion of the estimated cost of hedging our obligations under the Notes</w:t>
      </w:r>
    </w:p>
    <w:p>
      <w:pPr>
        <w:spacing w:after="0" w:line="237" w:lineRule="auto"/>
        <w:rPr>
          <w:sz w:val="20"/>
          <w:szCs w:val="20"/>
          <w:color w:val="auto"/>
        </w:rPr>
      </w:pPr>
      <w:r>
        <w:rPr>
          <w:rFonts w:ascii="Arial" w:cs="Arial" w:eastAsia="Arial" w:hAnsi="Arial"/>
          <w:sz w:val="14"/>
          <w:szCs w:val="14"/>
          <w:color w:val="auto"/>
        </w:rPr>
        <w:t>and other costs in connection with the Notes that we will no longer expect to incur over the term of the Notes. We will make such discretionary election and determine this</w:t>
      </w:r>
    </w:p>
    <w:p>
      <w:pPr>
        <w:spacing w:after="0" w:line="238" w:lineRule="auto"/>
        <w:rPr>
          <w:sz w:val="20"/>
          <w:szCs w:val="20"/>
          <w:color w:val="auto"/>
        </w:rPr>
      </w:pPr>
      <w:r>
        <w:rPr>
          <w:rFonts w:ascii="Arial" w:cs="Arial" w:eastAsia="Arial" w:hAnsi="Arial"/>
          <w:sz w:val="14"/>
          <w:szCs w:val="14"/>
          <w:color w:val="auto"/>
        </w:rPr>
        <w:t>temporary reimbursement period on the basis of a number of factors, including the tenor of the Notes and any agreement we may have with the distributors of the Notes. The</w:t>
      </w:r>
    </w:p>
    <w:p>
      <w:pPr>
        <w:spacing w:after="0" w:line="238" w:lineRule="auto"/>
        <w:rPr>
          <w:sz w:val="20"/>
          <w:szCs w:val="20"/>
          <w:color w:val="auto"/>
        </w:rPr>
      </w:pPr>
      <w:r>
        <w:rPr>
          <w:rFonts w:ascii="Arial" w:cs="Arial" w:eastAsia="Arial" w:hAnsi="Arial"/>
          <w:sz w:val="14"/>
          <w:szCs w:val="14"/>
          <w:color w:val="auto"/>
        </w:rPr>
        <w:t>amount of our estimated costs which we effectively reimburse to investors in this way may not be allocated ratably throughout the reimbursement period, and we may discontinue</w:t>
      </w:r>
    </w:p>
    <w:p>
      <w:pPr>
        <w:spacing w:after="0" w:line="237" w:lineRule="auto"/>
        <w:rPr>
          <w:sz w:val="20"/>
          <w:szCs w:val="20"/>
          <w:color w:val="auto"/>
        </w:rPr>
      </w:pPr>
      <w:r>
        <w:rPr>
          <w:rFonts w:ascii="Arial" w:cs="Arial" w:eastAsia="Arial" w:hAnsi="Arial"/>
          <w:sz w:val="14"/>
          <w:szCs w:val="14"/>
          <w:color w:val="auto"/>
        </w:rPr>
        <w:t>such reimbursement at any time or revise the duration of the reimbursement period after the Original Issue Date of the Notes based on changes in market conditions and other</w:t>
      </w:r>
    </w:p>
    <w:p>
      <w:pPr>
        <w:spacing w:after="0" w:line="238" w:lineRule="auto"/>
        <w:rPr>
          <w:sz w:val="20"/>
          <w:szCs w:val="20"/>
          <w:color w:val="auto"/>
        </w:rPr>
      </w:pPr>
      <w:r>
        <w:rPr>
          <w:rFonts w:ascii="Arial" w:cs="Arial" w:eastAsia="Arial" w:hAnsi="Arial"/>
          <w:sz w:val="14"/>
          <w:szCs w:val="14"/>
          <w:color w:val="auto"/>
        </w:rPr>
        <w:t>factors that cannot be predicted.</w:t>
      </w:r>
    </w:p>
    <w:p>
      <w:pPr>
        <w:spacing w:after="0" w:line="238" w:lineRule="auto"/>
        <w:rPr>
          <w:sz w:val="20"/>
          <w:szCs w:val="20"/>
          <w:color w:val="auto"/>
        </w:rPr>
      </w:pPr>
      <w:r>
        <w:rPr>
          <w:rFonts w:ascii="Arial" w:cs="Arial" w:eastAsia="Arial" w:hAnsi="Arial"/>
          <w:sz w:val="14"/>
          <w:szCs w:val="14"/>
          <w:color w:val="auto"/>
        </w:rPr>
        <w:t> </w:t>
      </w:r>
    </w:p>
    <w:p>
      <w:pPr>
        <w:spacing w:after="0" w:line="237" w:lineRule="auto"/>
        <w:rPr>
          <w:sz w:val="20"/>
          <w:szCs w:val="20"/>
          <w:color w:val="auto"/>
        </w:rPr>
      </w:pPr>
      <w:r>
        <w:rPr>
          <w:rFonts w:ascii="Arial" w:cs="Arial" w:eastAsia="Arial" w:hAnsi="Arial"/>
          <w:sz w:val="14"/>
          <w:szCs w:val="14"/>
          <w:b w:val="1"/>
          <w:bCs w:val="1"/>
          <w:color w:val="auto"/>
        </w:rPr>
        <w:t>You will not have any ownership interest in the stocks included in an Underlying.</w:t>
      </w:r>
    </w:p>
    <w:p>
      <w:pPr>
        <w:spacing w:after="0" w:line="238" w:lineRule="auto"/>
        <w:rPr>
          <w:sz w:val="20"/>
          <w:szCs w:val="20"/>
          <w:color w:val="auto"/>
        </w:rPr>
      </w:pPr>
      <w:r>
        <w:rPr>
          <w:rFonts w:ascii="Arial" w:cs="Arial" w:eastAsia="Arial" w:hAnsi="Arial"/>
          <w:sz w:val="14"/>
          <w:szCs w:val="14"/>
          <w:b w:val="1"/>
          <w:bCs w:val="1"/>
          <w:color w:val="auto"/>
        </w:rPr>
        <w:t> </w:t>
      </w:r>
    </w:p>
    <w:p>
      <w:pPr>
        <w:spacing w:after="0"/>
        <w:rPr>
          <w:sz w:val="20"/>
          <w:szCs w:val="20"/>
          <w:color w:val="auto"/>
        </w:rPr>
      </w:pPr>
      <w:r>
        <w:rPr>
          <w:rFonts w:ascii="Arial" w:cs="Arial" w:eastAsia="Arial" w:hAnsi="Arial"/>
          <w:sz w:val="14"/>
          <w:szCs w:val="14"/>
          <w:color w:val="auto"/>
        </w:rPr>
        <w:t>As a holder of the Notes, you will not have any ownership interest in the stocks included in an Underlying, such as rights to vote, dividend payments or other distributions. Because the return on the Notes will not reflect any dividends on those stocks, the Notes may underperform an investment in the stocks included in an Underlying.  </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Notes lack liquidity.</w:t>
      </w:r>
    </w:p>
    <w:p>
      <w:pPr>
        <w:spacing w:after="0" w:line="237"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color w:val="auto"/>
        </w:rPr>
        <w:t>The Notes are a new issue of securities for which there is no established market. Although we will apply for the Notes to be listed for trading on the Vienna MTF, we cannot provide</w:t>
      </w:r>
    </w:p>
    <w:p>
      <w:pPr>
        <w:spacing w:after="0" w:line="238" w:lineRule="auto"/>
        <w:rPr>
          <w:sz w:val="20"/>
          <w:szCs w:val="20"/>
          <w:color w:val="auto"/>
        </w:rPr>
      </w:pPr>
      <w:r>
        <w:rPr>
          <w:rFonts w:ascii="Arial" w:cs="Arial" w:eastAsia="Arial" w:hAnsi="Arial"/>
          <w:sz w:val="14"/>
          <w:szCs w:val="14"/>
          <w:color w:val="auto"/>
        </w:rPr>
        <w:t>you with any assurance regarding whether the Notes will become or remain listed or whether a trading market for the Notes will develop or as to the liquidity or sustainability of any</w:t>
      </w:r>
    </w:p>
    <w:p>
      <w:pPr>
        <w:spacing w:after="0" w:line="237" w:lineRule="auto"/>
        <w:rPr>
          <w:sz w:val="20"/>
          <w:szCs w:val="20"/>
          <w:color w:val="auto"/>
        </w:rPr>
      </w:pPr>
      <w:r>
        <w:rPr>
          <w:rFonts w:ascii="Arial" w:cs="Arial" w:eastAsia="Arial" w:hAnsi="Arial"/>
          <w:sz w:val="14"/>
          <w:szCs w:val="14"/>
          <w:color w:val="auto"/>
        </w:rPr>
        <w:t>such market, the ability of holders of the Notes to sell their Notes or the price at which holders may be able to sell their Notes. The listing application will be subject to approval by</w:t>
      </w:r>
    </w:p>
    <w:p>
      <w:pPr>
        <w:spacing w:after="0" w:line="238" w:lineRule="auto"/>
        <w:rPr>
          <w:sz w:val="20"/>
          <w:szCs w:val="20"/>
          <w:color w:val="auto"/>
        </w:rPr>
      </w:pPr>
      <w:r>
        <w:rPr>
          <w:rFonts w:ascii="Arial" w:cs="Arial" w:eastAsia="Arial" w:hAnsi="Arial"/>
          <w:sz w:val="14"/>
          <w:szCs w:val="14"/>
          <w:color w:val="auto"/>
        </w:rPr>
        <w:t>the Vienna Stock Exchange. There can be no assurance that application for listing and admission to trading will be granted or than an active trading market in the Notes will</w:t>
      </w:r>
    </w:p>
    <w:p>
      <w:pPr>
        <w:spacing w:after="0" w:line="238" w:lineRule="auto"/>
        <w:rPr>
          <w:sz w:val="20"/>
          <w:szCs w:val="20"/>
          <w:color w:val="auto"/>
        </w:rPr>
      </w:pPr>
      <w:r>
        <w:rPr>
          <w:rFonts w:ascii="Arial" w:cs="Arial" w:eastAsia="Arial" w:hAnsi="Arial"/>
          <w:sz w:val="14"/>
          <w:szCs w:val="14"/>
          <w:color w:val="auto"/>
        </w:rPr>
        <w:t>develop. If such a listing is obtained, we have no obligation to maintain such listing, and we may delist the Notes at any time. In addition, MCMI is not required to offer to purchase</w:t>
      </w:r>
    </w:p>
    <w:p>
      <w:pPr>
        <w:spacing w:after="0" w:line="237" w:lineRule="auto"/>
        <w:rPr>
          <w:sz w:val="20"/>
          <w:szCs w:val="20"/>
          <w:color w:val="auto"/>
        </w:rPr>
      </w:pPr>
      <w:r>
        <w:rPr>
          <w:rFonts w:ascii="Arial" w:cs="Arial" w:eastAsia="Arial" w:hAnsi="Arial"/>
          <w:sz w:val="14"/>
          <w:szCs w:val="14"/>
          <w:color w:val="auto"/>
        </w:rPr>
        <w:t>the Notes in the secondary market. Even if a secondary market were to develop, it may not provide enough liquidity to allow you to trade or sell the Notes easily. Because other</w:t>
      </w:r>
    </w:p>
    <w:p>
      <w:pPr>
        <w:spacing w:after="0" w:line="238" w:lineRule="auto"/>
        <w:rPr>
          <w:sz w:val="20"/>
          <w:szCs w:val="20"/>
          <w:color w:val="auto"/>
        </w:rPr>
      </w:pPr>
      <w:r>
        <w:rPr>
          <w:rFonts w:ascii="Arial" w:cs="Arial" w:eastAsia="Arial" w:hAnsi="Arial"/>
          <w:sz w:val="14"/>
          <w:szCs w:val="14"/>
          <w:color w:val="auto"/>
        </w:rPr>
        <w:t>dealers are not likely to make a secondary market for the Notes, the price at which you may be able to trade your Notes is likely to depend on the price, if any, at which MCMI is</w:t>
      </w:r>
    </w:p>
    <w:p>
      <w:pPr>
        <w:spacing w:after="0" w:line="238" w:lineRule="auto"/>
        <w:rPr>
          <w:sz w:val="20"/>
          <w:szCs w:val="20"/>
          <w:color w:val="auto"/>
        </w:rPr>
      </w:pPr>
      <w:r>
        <w:rPr>
          <w:rFonts w:ascii="Arial" w:cs="Arial" w:eastAsia="Arial" w:hAnsi="Arial"/>
          <w:sz w:val="14"/>
          <w:szCs w:val="14"/>
          <w:color w:val="auto"/>
        </w:rPr>
        <w:t>willing to buy the Notes.</w:t>
      </w:r>
    </w:p>
    <w:p>
      <w:pPr>
        <w:spacing w:after="0" w:line="237" w:lineRule="auto"/>
        <w:rPr>
          <w:sz w:val="20"/>
          <w:szCs w:val="20"/>
          <w:color w:val="auto"/>
        </w:rPr>
      </w:pPr>
      <w:r>
        <w:rPr>
          <w:rFonts w:ascii="Arial" w:cs="Arial" w:eastAsia="Arial" w:hAnsi="Arial"/>
          <w:sz w:val="14"/>
          <w:szCs w:val="14"/>
          <w:color w:val="auto"/>
        </w:rPr>
        <w:t> </w:t>
      </w:r>
    </w:p>
    <w:p>
      <w:pPr>
        <w:spacing w:after="0"/>
        <w:rPr>
          <w:sz w:val="20"/>
          <w:szCs w:val="20"/>
          <w:color w:val="auto"/>
        </w:rPr>
      </w:pPr>
      <w:r>
        <w:rPr>
          <w:rFonts w:ascii="Arial" w:cs="Arial" w:eastAsia="Arial" w:hAnsi="Arial"/>
          <w:sz w:val="14"/>
          <w:szCs w:val="14"/>
          <w:b w:val="1"/>
          <w:bCs w:val="1"/>
          <w:color w:val="auto"/>
        </w:rPr>
        <w:t>Potential conflicts of interest may exist.</w:t>
      </w:r>
    </w:p>
    <w:p>
      <w:pPr>
        <w:spacing w:after="0" w:line="237" w:lineRule="auto"/>
        <w:rPr>
          <w:sz w:val="20"/>
          <w:szCs w:val="20"/>
          <w:color w:val="auto"/>
        </w:rPr>
      </w:pPr>
      <w:r>
        <w:rPr>
          <w:rFonts w:ascii="Arial" w:cs="Arial" w:eastAsia="Arial" w:hAnsi="Arial"/>
          <w:sz w:val="14"/>
          <w:szCs w:val="14"/>
          <w:color w:val="auto"/>
        </w:rPr>
        <w:t> </w:t>
      </w:r>
    </w:p>
    <w:p>
      <w:pPr>
        <w:spacing w:after="0"/>
        <w:rPr>
          <w:sz w:val="20"/>
          <w:szCs w:val="20"/>
          <w:color w:val="auto"/>
        </w:rPr>
      </w:pPr>
      <w:r>
        <w:rPr>
          <w:rFonts w:ascii="Arial" w:cs="Arial" w:eastAsia="Arial" w:hAnsi="Arial"/>
          <w:sz w:val="14"/>
          <w:szCs w:val="14"/>
          <w:color w:val="auto"/>
        </w:rPr>
        <w:t>Marex and its affiliates play a variety of roles in connection with the issuance of the Notes, including acting as calculation agent and hedging our obligations under the Notes. Following the occurrence of certain events – relating to the Issuer, the Issuer's hedging arrangements, the Underlying(s), taxation, the relevant currency or other matters – outside of the Issuer's control, the calculation agent may determine in its discretion to take one of the actions available to it in order to deal with the impact of such event on the Notes or the Issuer or both. These actions may include (i) adjustment to the terms and conditions of the Notes, (ii) substitution of the Underlying(s) and/or (iii) early redemption or exercise of the Notes. In performing these duties, the economic interests of the calculation agent and other affiliates of ours are potentially adverse to your interests as an investor in the Notes. Any such discretionary determination by the Issuer or the calculation agent could have a negative impact on the value of the Notes. We will not have any obligation to consider your interests as a holder of the Notes in taking any action that might adversely affect the value of your Notes.  </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Uncertain tax treatment.</w:t>
      </w:r>
    </w:p>
    <w:p>
      <w:pPr>
        <w:spacing w:after="0" w:line="237"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color w:val="auto"/>
        </w:rPr>
        <w:t>For a discussion of the U.S. federal income tax consequences of your investment in a Note, please see the discussion under “U.S. Federal Income Tax Considerations” herein, the</w:t>
      </w:r>
    </w:p>
    <w:p>
      <w:pPr>
        <w:spacing w:after="0" w:line="238" w:lineRule="auto"/>
        <w:rPr>
          <w:sz w:val="20"/>
          <w:szCs w:val="20"/>
          <w:color w:val="auto"/>
        </w:rPr>
      </w:pPr>
      <w:r>
        <w:rPr>
          <w:rFonts w:ascii="Arial" w:cs="Arial" w:eastAsia="Arial" w:hAnsi="Arial"/>
          <w:sz w:val="14"/>
          <w:szCs w:val="14"/>
          <w:color w:val="auto"/>
        </w:rPr>
        <w:t>discussion under “U.S. Federal Income Tax Considerations” in the accompanying prospectus supplement and the discussion under “Material Tax Considerations — Material U.S.</w:t>
      </w:r>
    </w:p>
    <w:p>
      <w:pPr>
        <w:spacing w:after="0" w:line="237" w:lineRule="auto"/>
        <w:rPr>
          <w:sz w:val="20"/>
          <w:szCs w:val="20"/>
          <w:color w:val="auto"/>
        </w:rPr>
      </w:pPr>
      <w:r>
        <w:rPr>
          <w:rFonts w:ascii="Arial" w:cs="Arial" w:eastAsia="Arial" w:hAnsi="Arial"/>
          <w:sz w:val="14"/>
          <w:szCs w:val="14"/>
          <w:color w:val="auto"/>
        </w:rPr>
        <w:t>Federal Income Tax Considerations” in the accompanying prospectus.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PS-9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 </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7030A0"/>
        </w:rPr>
        <w:t>ILLUSTRATIVE EXAMPLES</w:t>
      </w:r>
    </w:p>
    <w:p>
      <w:pPr>
        <w:spacing w:after="0" w:line="237" w:lineRule="auto"/>
        <w:rPr>
          <w:sz w:val="20"/>
          <w:szCs w:val="20"/>
          <w:color w:val="auto"/>
        </w:rPr>
      </w:pPr>
      <w:r>
        <w:rPr>
          <w:rFonts w:ascii="Arial" w:cs="Arial" w:eastAsia="Arial" w:hAnsi="Arial"/>
          <w:sz w:val="14"/>
          <w:szCs w:val="14"/>
          <w:color w:val="7030A0"/>
        </w:rPr>
        <w:t> </w:t>
      </w:r>
    </w:p>
    <w:p>
      <w:pPr>
        <w:spacing w:after="0" w:line="238" w:lineRule="auto"/>
        <w:rPr>
          <w:sz w:val="20"/>
          <w:szCs w:val="20"/>
          <w:color w:val="auto"/>
        </w:rPr>
      </w:pPr>
      <w:r>
        <w:rPr>
          <w:rFonts w:ascii="Arial" w:cs="Arial" w:eastAsia="Arial" w:hAnsi="Arial"/>
          <w:sz w:val="14"/>
          <w:szCs w:val="14"/>
          <w:color w:val="auto"/>
        </w:rPr>
        <w:t>The following table and examples are provided for illustrative purposes only and are hypothetical. They do not purport to be representative of every possible scenario concerning</w:t>
      </w:r>
    </w:p>
    <w:p>
      <w:pPr>
        <w:spacing w:after="0" w:line="238" w:lineRule="auto"/>
        <w:rPr>
          <w:sz w:val="20"/>
          <w:szCs w:val="20"/>
          <w:color w:val="auto"/>
        </w:rPr>
      </w:pPr>
      <w:r>
        <w:rPr>
          <w:rFonts w:ascii="Arial" w:cs="Arial" w:eastAsia="Arial" w:hAnsi="Arial"/>
          <w:sz w:val="14"/>
          <w:szCs w:val="14"/>
          <w:color w:val="auto"/>
        </w:rPr>
        <w:t>increases or decreases in the Final Value of any Underlying relative to its Initial Value. We cannot predict the Closing Level of any Underlying on any Trading Day during the</w:t>
      </w:r>
    </w:p>
    <w:p>
      <w:pPr>
        <w:spacing w:after="0" w:line="237" w:lineRule="auto"/>
        <w:rPr>
          <w:sz w:val="20"/>
          <w:szCs w:val="20"/>
          <w:color w:val="auto"/>
        </w:rPr>
      </w:pPr>
      <w:r>
        <w:rPr>
          <w:rFonts w:ascii="Arial" w:cs="Arial" w:eastAsia="Arial" w:hAnsi="Arial"/>
          <w:sz w:val="14"/>
          <w:szCs w:val="14"/>
          <w:color w:val="auto"/>
        </w:rPr>
        <w:t>Observation Period, including the Final Valuation Date. The assumptions we have made in connection with the illustrations set forth below may not reflect actual events. You should</w:t>
      </w:r>
    </w:p>
    <w:p>
      <w:pPr>
        <w:spacing w:after="0" w:line="238" w:lineRule="auto"/>
        <w:rPr>
          <w:sz w:val="20"/>
          <w:szCs w:val="20"/>
          <w:color w:val="auto"/>
        </w:rPr>
      </w:pPr>
      <w:r>
        <w:rPr>
          <w:rFonts w:ascii="Arial" w:cs="Arial" w:eastAsia="Arial" w:hAnsi="Arial"/>
          <w:sz w:val="14"/>
          <w:szCs w:val="14"/>
          <w:color w:val="auto"/>
        </w:rPr>
        <w:t>not take this illustration or these examples as an indication or assurance of the expected performance of any Underlying or return on the Notes. The numbers appearing in the table</w:t>
      </w:r>
    </w:p>
    <w:p>
      <w:pPr>
        <w:spacing w:after="0" w:line="238" w:lineRule="auto"/>
        <w:rPr>
          <w:sz w:val="20"/>
          <w:szCs w:val="20"/>
          <w:color w:val="auto"/>
        </w:rPr>
      </w:pPr>
      <w:r>
        <w:rPr>
          <w:rFonts w:ascii="Arial" w:cs="Arial" w:eastAsia="Arial" w:hAnsi="Arial"/>
          <w:sz w:val="14"/>
          <w:szCs w:val="14"/>
          <w:color w:val="auto"/>
        </w:rPr>
        <w:t>below and following examples have been rounded for ease of analysis.</w:t>
      </w:r>
    </w:p>
    <w:p>
      <w:pPr>
        <w:spacing w:after="0" w:line="237" w:lineRule="auto"/>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table and examples below illustrate the payments on a $1,000 investment in the Notes for a hypothetical range of Reference Return of the Worst Performing Underlying from -100% to +100%. The following results are based solely on the assumptions outlined below. The “Hypothetical Return on the Notes” as used below is the number, expressed as a percentage, that results from comparing the Payment at Maturity per $1,000 Principal Amount to $1,000. The potential returns described below assume that the Notes have not been redeemed prior to maturity and are held to maturity. The following table and examples are based on the following terms:  </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Principal Amount:                   $1,000</w:t>
      </w:r>
    </w:p>
    <w:p>
      <w:pPr>
        <w:spacing w:after="0" w:line="237"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color w:val="auto"/>
        </w:rPr>
        <w:t>Interest Payment:                   $34.38 (or 3.438% of the Principal Amount, equivalent to 13.752% per annum)</w:t>
      </w:r>
    </w:p>
    <w:p>
      <w:pPr>
        <w:spacing w:after="0" w:line="238" w:lineRule="auto"/>
        <w:rPr>
          <w:sz w:val="20"/>
          <w:szCs w:val="20"/>
          <w:color w:val="auto"/>
        </w:rPr>
      </w:pPr>
      <w:r>
        <w:rPr>
          <w:rFonts w:ascii="Arial" w:cs="Arial" w:eastAsia="Arial" w:hAnsi="Arial"/>
          <w:sz w:val="14"/>
          <w:szCs w:val="14"/>
          <w:color w:val="auto"/>
        </w:rPr>
        <w:t> </w:t>
      </w:r>
    </w:p>
    <w:p>
      <w:pPr>
        <w:spacing w:after="0" w:line="237" w:lineRule="auto"/>
        <w:rPr>
          <w:sz w:val="20"/>
          <w:szCs w:val="20"/>
          <w:color w:val="auto"/>
        </w:rPr>
      </w:pPr>
      <w:r>
        <w:rPr>
          <w:rFonts w:ascii="Arial" w:cs="Arial" w:eastAsia="Arial" w:hAnsi="Arial"/>
          <w:sz w:val="14"/>
          <w:szCs w:val="14"/>
          <w:color w:val="auto"/>
        </w:rPr>
        <w:t>Hypothetical Initial Value of the Worst Performing Underlying:                 1,000</w:t>
      </w:r>
    </w:p>
    <w:p>
      <w:pPr>
        <w:spacing w:after="0" w:line="238"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color w:val="auto"/>
        </w:rPr>
        <w:t>Hypothetical Barrier Value of the Worst Performing Underlying:                700 (70% of its Initial Value)</w:t>
      </w:r>
    </w:p>
    <w:p>
      <w:pPr>
        <w:spacing w:after="0"/>
        <w:rPr>
          <w:sz w:val="20"/>
          <w:szCs w:val="20"/>
          <w:color w:val="auto"/>
        </w:rPr>
      </w:pPr>
      <w:r>
        <w:rPr>
          <w:rFonts w:ascii="Arial" w:cs="Arial" w:eastAsia="Arial" w:hAnsi="Arial"/>
          <w:sz w:val="14"/>
          <w:szCs w:val="14"/>
          <w:color w:val="auto"/>
        </w:rPr>
        <w:t> </w:t>
      </w:r>
    </w:p>
    <w:tbl>
      <w:tblPr>
        <w:tblLayout w:type="fixed"/>
        <w:tblInd w:w="10" w:type="dxa"/>
        <w:tblCellMar>
          <w:top w:w="0" w:type="dxa"/>
          <w:left w:w="0" w:type="dxa"/>
          <w:bottom w:w="0" w:type="dxa"/>
          <w:right w:w="0" w:type="dxa"/>
        </w:tblCellMar>
      </w:tblPr>
      <w:tr>
        <w:trPr>
          <w:trHeight w:val="224"/>
        </w:trPr>
        <w:tc>
          <w:tcPr>
            <w:tcW w:w="1600" w:type="dxa"/>
            <w:vAlign w:val="bottom"/>
            <w:tcBorders>
              <w:top w:val="single" w:sz="8" w:color="auto"/>
              <w:left w:val="single" w:sz="8" w:color="auto"/>
              <w:right w:val="single" w:sz="8" w:color="auto"/>
            </w:tcBorders>
          </w:tcPr>
          <w:p>
            <w:pPr>
              <w:spacing w:after="0"/>
              <w:rPr>
                <w:sz w:val="19"/>
                <w:szCs w:val="19"/>
                <w:color w:val="auto"/>
              </w:rPr>
            </w:pPr>
          </w:p>
        </w:tc>
        <w:tc>
          <w:tcPr>
            <w:tcW w:w="160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Hypothetical</w:t>
            </w:r>
          </w:p>
        </w:tc>
        <w:tc>
          <w:tcPr>
            <w:tcW w:w="1580" w:type="dxa"/>
            <w:vAlign w:val="bottom"/>
            <w:tcBorders>
              <w:top w:val="single" w:sz="8" w:color="auto"/>
              <w:right w:val="single" w:sz="8" w:color="auto"/>
            </w:tcBorders>
          </w:tcPr>
          <w:p>
            <w:pPr>
              <w:spacing w:after="0"/>
              <w:rPr>
                <w:sz w:val="19"/>
                <w:szCs w:val="19"/>
                <w:color w:val="auto"/>
              </w:rPr>
            </w:pPr>
          </w:p>
        </w:tc>
        <w:tc>
          <w:tcPr>
            <w:tcW w:w="3140" w:type="dxa"/>
            <w:vAlign w:val="bottom"/>
            <w:tcBorders>
              <w:top w:val="single" w:sz="8" w:color="auto"/>
              <w:bottom w:val="single" w:sz="8" w:color="auto"/>
              <w:right w:val="single" w:sz="8" w:color="auto"/>
            </w:tcBorders>
            <w:gridSpan w:val="2"/>
          </w:tcPr>
          <w:p>
            <w:pPr>
              <w:ind w:left="480"/>
              <w:spacing w:after="0" w:line="223" w:lineRule="exact"/>
              <w:rPr>
                <w:sz w:val="20"/>
                <w:szCs w:val="20"/>
                <w:color w:val="auto"/>
              </w:rPr>
            </w:pPr>
            <w:r>
              <w:rPr>
                <w:rFonts w:ascii="Arial" w:cs="Arial" w:eastAsia="Arial" w:hAnsi="Arial"/>
                <w:sz w:val="14"/>
                <w:szCs w:val="14"/>
                <w:b w:val="1"/>
                <w:bCs w:val="1"/>
                <w:color w:val="auto"/>
              </w:rPr>
              <w:t>Trigger Event Does Not Occur</w:t>
            </w:r>
            <w:r>
              <w:rPr>
                <w:rFonts w:ascii="Arial" w:cs="Arial" w:eastAsia="Arial" w:hAnsi="Arial"/>
                <w:sz w:val="23"/>
                <w:szCs w:val="23"/>
                <w:b w:val="1"/>
                <w:bCs w:val="1"/>
                <w:color w:val="auto"/>
                <w:vertAlign w:val="superscript"/>
              </w:rPr>
              <w:t>(1)</w:t>
            </w:r>
          </w:p>
        </w:tc>
        <w:tc>
          <w:tcPr>
            <w:tcW w:w="3380" w:type="dxa"/>
            <w:vAlign w:val="bottom"/>
            <w:tcBorders>
              <w:top w:val="single" w:sz="8" w:color="auto"/>
              <w:bottom w:val="single" w:sz="8" w:color="auto"/>
              <w:right w:val="single" w:sz="8" w:color="auto"/>
            </w:tcBorders>
            <w:gridSpan w:val="2"/>
          </w:tcPr>
          <w:p>
            <w:pPr>
              <w:ind w:left="880"/>
              <w:spacing w:after="0" w:line="223" w:lineRule="exact"/>
              <w:rPr>
                <w:sz w:val="20"/>
                <w:szCs w:val="20"/>
                <w:color w:val="auto"/>
              </w:rPr>
            </w:pPr>
            <w:r>
              <w:rPr>
                <w:rFonts w:ascii="Arial" w:cs="Arial" w:eastAsia="Arial" w:hAnsi="Arial"/>
                <w:sz w:val="14"/>
                <w:szCs w:val="14"/>
                <w:b w:val="1"/>
                <w:bCs w:val="1"/>
                <w:color w:val="auto"/>
              </w:rPr>
              <w:t>Trigger Event Occurs</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93"/>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Hypothetical</w:t>
            </w:r>
          </w:p>
        </w:tc>
        <w:tc>
          <w:tcPr>
            <w:tcW w:w="160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Hypothetical</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Hypothetical</w:t>
            </w:r>
          </w:p>
        </w:tc>
        <w:tc>
          <w:tcPr>
            <w:tcW w:w="192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Hypothetical</w:t>
            </w:r>
          </w:p>
        </w:tc>
        <w:tc>
          <w:tcPr>
            <w:tcW w:w="0" w:type="dxa"/>
            <w:vAlign w:val="bottom"/>
          </w:tcPr>
          <w:p>
            <w:pPr>
              <w:spacing w:after="0"/>
              <w:rPr>
                <w:sz w:val="1"/>
                <w:szCs w:val="1"/>
                <w:color w:val="auto"/>
              </w:rPr>
            </w:pPr>
          </w:p>
        </w:tc>
      </w:tr>
      <w:tr>
        <w:trPr>
          <w:trHeight w:val="100"/>
        </w:trPr>
        <w:tc>
          <w:tcPr>
            <w:tcW w:w="1600" w:type="dxa"/>
            <w:vAlign w:val="bottom"/>
            <w:tcBorders>
              <w:left w:val="single" w:sz="8" w:color="auto"/>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Reference</w:t>
            </w:r>
          </w:p>
        </w:tc>
        <w:tc>
          <w:tcPr>
            <w:tcW w:w="158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Hypothetical</w:t>
            </w:r>
          </w:p>
        </w:tc>
        <w:tc>
          <w:tcPr>
            <w:tcW w:w="1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00" w:type="dxa"/>
            <w:vAlign w:val="bottom"/>
            <w:tcBorders>
              <w:left w:val="single" w:sz="8" w:color="auto"/>
              <w:right w:val="single" w:sz="8" w:color="auto"/>
            </w:tcBorders>
          </w:tcPr>
          <w:p>
            <w:pPr>
              <w:jc w:val="center"/>
              <w:spacing w:after="0" w:line="85" w:lineRule="exact"/>
              <w:rPr>
                <w:sz w:val="20"/>
                <w:szCs w:val="20"/>
                <w:color w:val="auto"/>
              </w:rPr>
            </w:pPr>
            <w:r>
              <w:rPr>
                <w:rFonts w:ascii="Arial" w:cs="Arial" w:eastAsia="Arial" w:hAnsi="Arial"/>
                <w:sz w:val="9"/>
                <w:szCs w:val="9"/>
                <w:b w:val="1"/>
                <w:bCs w:val="1"/>
                <w:color w:val="auto"/>
              </w:rPr>
              <w:t>Final Value of</w:t>
            </w:r>
          </w:p>
        </w:tc>
        <w:tc>
          <w:tcPr>
            <w:tcW w:w="160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Payment at</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Total Return on</w:t>
            </w:r>
          </w:p>
        </w:tc>
        <w:tc>
          <w:tcPr>
            <w:tcW w:w="192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jc w:val="center"/>
              <w:spacing w:after="0" w:line="85" w:lineRule="exact"/>
              <w:rPr>
                <w:sz w:val="20"/>
                <w:szCs w:val="20"/>
                <w:color w:val="auto"/>
              </w:rPr>
            </w:pPr>
            <w:r>
              <w:rPr>
                <w:rFonts w:ascii="Arial" w:cs="Arial" w:eastAsia="Arial" w:hAnsi="Arial"/>
                <w:sz w:val="9"/>
                <w:szCs w:val="9"/>
                <w:b w:val="1"/>
                <w:bCs w:val="1"/>
                <w:color w:val="auto"/>
              </w:rPr>
              <w:t>Total Return</w:t>
            </w:r>
          </w:p>
        </w:tc>
        <w:tc>
          <w:tcPr>
            <w:tcW w:w="0" w:type="dxa"/>
            <w:vAlign w:val="bottom"/>
          </w:tcPr>
          <w:p>
            <w:pPr>
              <w:spacing w:after="0"/>
              <w:rPr>
                <w:sz w:val="1"/>
                <w:szCs w:val="1"/>
                <w:color w:val="auto"/>
              </w:rPr>
            </w:pPr>
          </w:p>
        </w:tc>
      </w:tr>
      <w:tr>
        <w:trPr>
          <w:trHeight w:val="159"/>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the Worst</w:t>
            </w:r>
          </w:p>
        </w:tc>
        <w:tc>
          <w:tcPr>
            <w:tcW w:w="16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Return of the</w:t>
            </w:r>
          </w:p>
        </w:tc>
        <w:tc>
          <w:tcPr>
            <w:tcW w:w="15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7"/>
              </w:rPr>
              <w:t>Total Interest</w:t>
            </w:r>
          </w:p>
        </w:tc>
        <w:tc>
          <w:tcPr>
            <w:tcW w:w="1560" w:type="dxa"/>
            <w:vAlign w:val="bottom"/>
            <w:tcBorders>
              <w:right w:val="single" w:sz="8" w:color="auto"/>
            </w:tcBorders>
            <w:vMerge w:val="continue"/>
          </w:tcPr>
          <w:p>
            <w:pPr>
              <w:spacing w:after="0"/>
              <w:rPr>
                <w:sz w:val="13"/>
                <w:szCs w:val="13"/>
                <w:color w:val="auto"/>
              </w:rPr>
            </w:pPr>
          </w:p>
        </w:tc>
        <w:tc>
          <w:tcPr>
            <w:tcW w:w="1580" w:type="dxa"/>
            <w:vAlign w:val="bottom"/>
            <w:tcBorders>
              <w:right w:val="single" w:sz="8" w:color="auto"/>
            </w:tcBorders>
            <w:vMerge w:val="continue"/>
          </w:tcPr>
          <w:p>
            <w:pPr>
              <w:spacing w:after="0"/>
              <w:rPr>
                <w:sz w:val="13"/>
                <w:szCs w:val="13"/>
                <w:color w:val="auto"/>
              </w:rPr>
            </w:pPr>
          </w:p>
        </w:tc>
        <w:tc>
          <w:tcPr>
            <w:tcW w:w="192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Payment at</w:t>
            </w:r>
          </w:p>
        </w:tc>
        <w:tc>
          <w:tcPr>
            <w:tcW w:w="14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9"/>
              </w:rPr>
              <w:t>on the</w:t>
            </w:r>
          </w:p>
        </w:tc>
        <w:tc>
          <w:tcPr>
            <w:tcW w:w="0" w:type="dxa"/>
            <w:vAlign w:val="bottom"/>
          </w:tcPr>
          <w:p>
            <w:pPr>
              <w:spacing w:after="0"/>
              <w:rPr>
                <w:sz w:val="1"/>
                <w:szCs w:val="1"/>
                <w:color w:val="auto"/>
              </w:rPr>
            </w:pPr>
          </w:p>
        </w:tc>
      </w:tr>
      <w:tr>
        <w:trPr>
          <w:trHeight w:val="117"/>
        </w:trPr>
        <w:tc>
          <w:tcPr>
            <w:tcW w:w="1600" w:type="dxa"/>
            <w:vAlign w:val="bottom"/>
            <w:tcBorders>
              <w:left w:val="single" w:sz="8" w:color="auto"/>
              <w:right w:val="single" w:sz="8" w:color="auto"/>
            </w:tcBorders>
            <w:vMerge w:val="continue"/>
          </w:tcPr>
          <w:p>
            <w:pPr>
              <w:spacing w:after="0"/>
              <w:rPr>
                <w:sz w:val="10"/>
                <w:szCs w:val="10"/>
                <w:color w:val="auto"/>
              </w:rPr>
            </w:pPr>
          </w:p>
        </w:tc>
        <w:tc>
          <w:tcPr>
            <w:tcW w:w="16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rPr>
              <w:t>Worst</w:t>
            </w:r>
          </w:p>
        </w:tc>
        <w:tc>
          <w:tcPr>
            <w:tcW w:w="15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rPr>
              <w:t>Payments</w:t>
            </w:r>
          </w:p>
        </w:tc>
        <w:tc>
          <w:tcPr>
            <w:tcW w:w="15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rPr>
              <w:t>Maturity</w:t>
            </w:r>
          </w:p>
        </w:tc>
        <w:tc>
          <w:tcPr>
            <w:tcW w:w="15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rPr>
              <w:t>the Notes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Maturity (Excluding</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Notes</w:t>
            </w:r>
          </w:p>
        </w:tc>
        <w:tc>
          <w:tcPr>
            <w:tcW w:w="0" w:type="dxa"/>
            <w:vAlign w:val="bottom"/>
          </w:tcPr>
          <w:p>
            <w:pPr>
              <w:spacing w:after="0"/>
              <w:rPr>
                <w:sz w:val="1"/>
                <w:szCs w:val="1"/>
                <w:color w:val="auto"/>
              </w:rPr>
            </w:pPr>
          </w:p>
        </w:tc>
      </w:tr>
      <w:tr>
        <w:trPr>
          <w:trHeight w:val="117"/>
        </w:trPr>
        <w:tc>
          <w:tcPr>
            <w:tcW w:w="1600" w:type="dxa"/>
            <w:vAlign w:val="bottom"/>
            <w:tcBorders>
              <w:left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rPr>
              <w:t>Performing</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Performing</w:t>
            </w:r>
          </w:p>
        </w:tc>
        <w:tc>
          <w:tcPr>
            <w:tcW w:w="158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rPr>
              <w:t>(Excluding</w:t>
            </w:r>
          </w:p>
        </w:tc>
        <w:tc>
          <w:tcPr>
            <w:tcW w:w="15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rPr>
              <w:t>(Including All</w:t>
            </w:r>
          </w:p>
        </w:tc>
        <w:tc>
          <w:tcPr>
            <w:tcW w:w="192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600" w:type="dxa"/>
            <w:vAlign w:val="bottom"/>
            <w:tcBorders>
              <w:left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rPr>
              <w:t>Underlying</w:t>
            </w:r>
          </w:p>
        </w:tc>
        <w:tc>
          <w:tcPr>
            <w:tcW w:w="16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Final Interest</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Interest</w:t>
            </w:r>
          </w:p>
        </w:tc>
        <w:tc>
          <w:tcPr>
            <w:tcW w:w="1920" w:type="dxa"/>
            <w:vAlign w:val="bottom"/>
            <w:tcBorders>
              <w:right w:val="single" w:sz="8" w:color="auto"/>
            </w:tcBorders>
          </w:tcPr>
          <w:p>
            <w:pPr>
              <w:jc w:val="center"/>
              <w:ind w:right="9"/>
              <w:spacing w:after="0" w:line="117" w:lineRule="exact"/>
              <w:rPr>
                <w:sz w:val="20"/>
                <w:szCs w:val="20"/>
                <w:color w:val="auto"/>
              </w:rPr>
            </w:pPr>
            <w:r>
              <w:rPr>
                <w:rFonts w:ascii="Arial" w:cs="Arial" w:eastAsia="Arial" w:hAnsi="Arial"/>
                <w:sz w:val="13"/>
                <w:szCs w:val="13"/>
                <w:b w:val="1"/>
                <w:bCs w:val="1"/>
                <w:color w:val="auto"/>
              </w:rPr>
              <w:t>Final Interest</w:t>
            </w:r>
          </w:p>
        </w:tc>
        <w:tc>
          <w:tcPr>
            <w:tcW w:w="14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rPr>
              <w:t>(Including</w:t>
            </w:r>
          </w:p>
        </w:tc>
        <w:tc>
          <w:tcPr>
            <w:tcW w:w="0" w:type="dxa"/>
            <w:vAlign w:val="bottom"/>
          </w:tcPr>
          <w:p>
            <w:pPr>
              <w:spacing w:after="0"/>
              <w:rPr>
                <w:sz w:val="1"/>
                <w:szCs w:val="1"/>
                <w:color w:val="auto"/>
              </w:rPr>
            </w:pPr>
          </w:p>
        </w:tc>
      </w:tr>
      <w:tr>
        <w:trPr>
          <w:trHeight w:val="128"/>
        </w:trPr>
        <w:tc>
          <w:tcPr>
            <w:tcW w:w="1600" w:type="dxa"/>
            <w:vAlign w:val="bottom"/>
            <w:tcBorders>
              <w:left w:val="single" w:sz="8" w:color="auto"/>
              <w:right w:val="single" w:sz="8" w:color="auto"/>
            </w:tcBorders>
          </w:tcPr>
          <w:p>
            <w:pPr>
              <w:spacing w:after="0"/>
              <w:rPr>
                <w:sz w:val="11"/>
                <w:szCs w:val="11"/>
                <w:color w:val="auto"/>
              </w:rPr>
            </w:pPr>
          </w:p>
        </w:tc>
        <w:tc>
          <w:tcPr>
            <w:tcW w:w="160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Underlying</w:t>
            </w:r>
          </w:p>
        </w:tc>
        <w:tc>
          <w:tcPr>
            <w:tcW w:w="158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192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Payment)</w:t>
            </w:r>
          </w:p>
        </w:tc>
        <w:tc>
          <w:tcPr>
            <w:tcW w:w="146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All Interest</w:t>
            </w:r>
          </w:p>
        </w:tc>
        <w:tc>
          <w:tcPr>
            <w:tcW w:w="0" w:type="dxa"/>
            <w:vAlign w:val="bottom"/>
          </w:tcPr>
          <w:p>
            <w:pPr>
              <w:spacing w:after="0"/>
              <w:rPr>
                <w:sz w:val="1"/>
                <w:szCs w:val="1"/>
                <w:color w:val="auto"/>
              </w:rPr>
            </w:pPr>
          </w:p>
        </w:tc>
      </w:tr>
      <w:tr>
        <w:trPr>
          <w:trHeight w:val="159"/>
        </w:trPr>
        <w:tc>
          <w:tcPr>
            <w:tcW w:w="1600" w:type="dxa"/>
            <w:vAlign w:val="bottom"/>
            <w:tcBorders>
              <w:left w:val="single" w:sz="8" w:color="auto"/>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Payment)</w:t>
            </w:r>
          </w:p>
        </w:tc>
        <w:tc>
          <w:tcPr>
            <w:tcW w:w="15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Payments)</w:t>
            </w:r>
          </w:p>
        </w:tc>
        <w:tc>
          <w:tcPr>
            <w:tcW w:w="192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Payments)</w:t>
            </w:r>
          </w:p>
        </w:tc>
        <w:tc>
          <w:tcPr>
            <w:tcW w:w="0" w:type="dxa"/>
            <w:vAlign w:val="bottom"/>
          </w:tcPr>
          <w:p>
            <w:pPr>
              <w:spacing w:after="0"/>
              <w:rPr>
                <w:sz w:val="1"/>
                <w:szCs w:val="1"/>
                <w:color w:val="auto"/>
              </w:rPr>
            </w:pPr>
          </w:p>
        </w:tc>
      </w:tr>
      <w:tr>
        <w:trPr>
          <w:trHeight w:val="52"/>
        </w:trPr>
        <w:tc>
          <w:tcPr>
            <w:tcW w:w="1600" w:type="dxa"/>
            <w:vAlign w:val="bottom"/>
            <w:tcBorders>
              <w:left w:val="single" w:sz="8" w:color="auto"/>
              <w:right w:val="single" w:sz="8" w:color="auto"/>
            </w:tcBorders>
          </w:tcPr>
          <w:p>
            <w:pPr>
              <w:spacing w:after="0"/>
              <w:rPr>
                <w:sz w:val="4"/>
                <w:szCs w:val="4"/>
                <w:color w:val="auto"/>
              </w:rPr>
            </w:pPr>
          </w:p>
        </w:tc>
        <w:tc>
          <w:tcPr>
            <w:tcW w:w="160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1920" w:type="dxa"/>
            <w:vAlign w:val="bottom"/>
            <w:tcBorders>
              <w:right w:val="single" w:sz="8" w:color="auto"/>
            </w:tcBorders>
          </w:tcPr>
          <w:p>
            <w:pPr>
              <w:spacing w:after="0"/>
              <w:rPr>
                <w:sz w:val="4"/>
                <w:szCs w:val="4"/>
                <w:color w:val="auto"/>
              </w:rPr>
            </w:pPr>
          </w:p>
        </w:tc>
        <w:tc>
          <w:tcPr>
            <w:tcW w:w="14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$137.52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$1,000.00</w:t>
            </w:r>
          </w:p>
        </w:tc>
        <w:tc>
          <w:tcPr>
            <w:tcW w:w="1580" w:type="dxa"/>
            <w:vAlign w:val="bottom"/>
            <w:tcBorders>
              <w:bottom w:val="single" w:sz="8" w:color="auto"/>
              <w:right w:val="single" w:sz="8" w:color="auto"/>
            </w:tcBorders>
          </w:tcPr>
          <w:p>
            <w:pPr>
              <w:jc w:val="center"/>
              <w:spacing w:after="0" w:line="224" w:lineRule="exact"/>
              <w:rPr>
                <w:sz w:val="20"/>
                <w:szCs w:val="20"/>
                <w:color w:val="auto"/>
              </w:rPr>
            </w:pPr>
            <w:r>
              <w:rPr>
                <w:rFonts w:ascii="Arial" w:cs="Arial" w:eastAsia="Arial" w:hAnsi="Arial"/>
                <w:sz w:val="14"/>
                <w:szCs w:val="14"/>
                <w:color w:val="auto"/>
                <w:w w:val="92"/>
              </w:rPr>
              <w:t>   13.752%</w:t>
            </w:r>
            <w:r>
              <w:rPr>
                <w:rFonts w:ascii="Arial" w:cs="Arial" w:eastAsia="Arial" w:hAnsi="Arial"/>
                <w:sz w:val="23"/>
                <w:szCs w:val="23"/>
                <w:color w:val="auto"/>
                <w:w w:val="92"/>
                <w:vertAlign w:val="superscript"/>
              </w:rPr>
              <w:t>(2)</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 $1,000.00</w:t>
            </w:r>
          </w:p>
        </w:tc>
        <w:tc>
          <w:tcPr>
            <w:tcW w:w="1460" w:type="dxa"/>
            <w:vAlign w:val="bottom"/>
            <w:tcBorders>
              <w:bottom w:val="single" w:sz="8" w:color="auto"/>
              <w:right w:val="single" w:sz="8" w:color="auto"/>
            </w:tcBorders>
          </w:tcPr>
          <w:p>
            <w:pPr>
              <w:jc w:val="center"/>
              <w:spacing w:after="0" w:line="224" w:lineRule="exact"/>
              <w:rPr>
                <w:sz w:val="20"/>
                <w:szCs w:val="20"/>
                <w:color w:val="auto"/>
              </w:rPr>
            </w:pPr>
            <w:r>
              <w:rPr>
                <w:rFonts w:ascii="Arial" w:cs="Arial" w:eastAsia="Arial" w:hAnsi="Arial"/>
                <w:sz w:val="14"/>
                <w:szCs w:val="14"/>
                <w:color w:val="auto"/>
                <w:w w:val="94"/>
              </w:rPr>
              <w:t>   13.752%</w:t>
            </w:r>
            <w:r>
              <w:rPr>
                <w:rFonts w:ascii="Arial" w:cs="Arial" w:eastAsia="Arial" w:hAnsi="Arial"/>
                <w:sz w:val="23"/>
                <w:szCs w:val="23"/>
                <w:color w:val="auto"/>
                <w:w w:val="94"/>
                <w:vertAlign w:val="superscript"/>
              </w:rPr>
              <w:t>(2)</w:t>
            </w:r>
          </w:p>
        </w:tc>
        <w:tc>
          <w:tcPr>
            <w:tcW w:w="0" w:type="dxa"/>
            <w:vAlign w:val="bottom"/>
          </w:tcPr>
          <w:p>
            <w:pPr>
              <w:spacing w:after="0"/>
              <w:rPr>
                <w:sz w:val="1"/>
                <w:szCs w:val="1"/>
                <w:color w:val="auto"/>
              </w:rPr>
            </w:pPr>
          </w:p>
        </w:tc>
      </w:tr>
      <w:tr>
        <w:trPr>
          <w:trHeight w:val="185"/>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1,750.00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75.00%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$137.52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13.752%</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13.752%</w:t>
            </w:r>
          </w:p>
        </w:tc>
        <w:tc>
          <w:tcPr>
            <w:tcW w:w="0" w:type="dxa"/>
            <w:vAlign w:val="bottom"/>
          </w:tcPr>
          <w:p>
            <w:pPr>
              <w:spacing w:after="0"/>
              <w:rPr>
                <w:sz w:val="1"/>
                <w:szCs w:val="1"/>
                <w:color w:val="auto"/>
              </w:rPr>
            </w:pPr>
          </w:p>
        </w:tc>
      </w:tr>
      <w:tr>
        <w:trPr>
          <w:trHeight w:val="19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$137.52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13.752%</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13.752%</w:t>
            </w:r>
          </w:p>
        </w:tc>
        <w:tc>
          <w:tcPr>
            <w:tcW w:w="0" w:type="dxa"/>
            <w:vAlign w:val="bottom"/>
          </w:tcPr>
          <w:p>
            <w:pPr>
              <w:spacing w:after="0"/>
              <w:rPr>
                <w:sz w:val="1"/>
                <w:szCs w:val="1"/>
                <w:color w:val="auto"/>
              </w:rPr>
            </w:pPr>
          </w:p>
        </w:tc>
      </w:tr>
      <w:tr>
        <w:trPr>
          <w:trHeight w:val="19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1,250.00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$137.52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13.752%</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13.752%</w:t>
            </w:r>
          </w:p>
        </w:tc>
        <w:tc>
          <w:tcPr>
            <w:tcW w:w="0" w:type="dxa"/>
            <w:vAlign w:val="bottom"/>
          </w:tcPr>
          <w:p>
            <w:pPr>
              <w:spacing w:after="0"/>
              <w:rPr>
                <w:sz w:val="1"/>
                <w:szCs w:val="1"/>
                <w:color w:val="auto"/>
              </w:rPr>
            </w:pPr>
          </w:p>
        </w:tc>
      </w:tr>
      <w:tr>
        <w:trPr>
          <w:trHeight w:val="232"/>
        </w:trPr>
        <w:tc>
          <w:tcPr>
            <w:tcW w:w="1600" w:type="dxa"/>
            <w:vAlign w:val="bottom"/>
            <w:tcBorders>
              <w:left w:val="single" w:sz="8" w:color="auto"/>
              <w:bottom w:val="single" w:sz="8" w:color="auto"/>
              <w:right w:val="single" w:sz="8" w:color="auto"/>
            </w:tcBorders>
            <w:shd w:val="clear" w:color="auto" w:fill="D9D9D9"/>
          </w:tcPr>
          <w:p>
            <w:pPr>
              <w:jc w:val="center"/>
              <w:spacing w:after="0" w:line="232" w:lineRule="exact"/>
              <w:rPr>
                <w:sz w:val="20"/>
                <w:szCs w:val="20"/>
                <w:color w:val="auto"/>
              </w:rPr>
            </w:pPr>
            <w:r>
              <w:rPr>
                <w:rFonts w:ascii="Arial" w:cs="Arial" w:eastAsia="Arial" w:hAnsi="Arial"/>
                <w:sz w:val="14"/>
                <w:szCs w:val="14"/>
                <w:b w:val="1"/>
                <w:bCs w:val="1"/>
                <w:color w:val="auto"/>
                <w:w w:val="93"/>
              </w:rPr>
              <w:t>   1,000.00</w:t>
            </w:r>
            <w:r>
              <w:rPr>
                <w:rFonts w:ascii="Arial" w:cs="Arial" w:eastAsia="Arial" w:hAnsi="Arial"/>
                <w:sz w:val="23"/>
                <w:szCs w:val="23"/>
                <w:b w:val="1"/>
                <w:bCs w:val="1"/>
                <w:color w:val="auto"/>
                <w:w w:val="93"/>
                <w:vertAlign w:val="superscript"/>
              </w:rPr>
              <w:t>(3)</w:t>
            </w:r>
          </w:p>
        </w:tc>
        <w:tc>
          <w:tcPr>
            <w:tcW w:w="16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0.00%</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8"/>
              </w:rPr>
              <w:t>$137.52</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9"/>
              </w:rPr>
              <w:t>$1,000.00</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13.752%</w:t>
            </w:r>
          </w:p>
        </w:tc>
        <w:tc>
          <w:tcPr>
            <w:tcW w:w="19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$1,000.00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13.752%</w:t>
            </w:r>
          </w:p>
        </w:tc>
        <w:tc>
          <w:tcPr>
            <w:tcW w:w="0" w:type="dxa"/>
            <w:vAlign w:val="bottom"/>
          </w:tcPr>
          <w:p>
            <w:pPr>
              <w:spacing w:after="0"/>
              <w:rPr>
                <w:sz w:val="1"/>
                <w:szCs w:val="1"/>
                <w:color w:val="auto"/>
              </w:rPr>
            </w:pPr>
          </w:p>
        </w:tc>
      </w:tr>
      <w:tr>
        <w:trPr>
          <w:trHeight w:val="185"/>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-10.00%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$137.52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13.752%</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19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-20.00%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$137.52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13.752%</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-6.248%</w:t>
            </w:r>
          </w:p>
        </w:tc>
        <w:tc>
          <w:tcPr>
            <w:tcW w:w="0" w:type="dxa"/>
            <w:vAlign w:val="bottom"/>
          </w:tcPr>
          <w:p>
            <w:pPr>
              <w:spacing w:after="0"/>
              <w:rPr>
                <w:sz w:val="1"/>
                <w:szCs w:val="1"/>
                <w:color w:val="auto"/>
              </w:rPr>
            </w:pPr>
          </w:p>
        </w:tc>
      </w:tr>
      <w:tr>
        <w:trPr>
          <w:trHeight w:val="232"/>
        </w:trPr>
        <w:tc>
          <w:tcPr>
            <w:tcW w:w="1600" w:type="dxa"/>
            <w:vAlign w:val="bottom"/>
            <w:tcBorders>
              <w:left w:val="single" w:sz="8" w:color="auto"/>
              <w:bottom w:val="single" w:sz="8" w:color="auto"/>
              <w:right w:val="single" w:sz="8" w:color="auto"/>
            </w:tcBorders>
            <w:shd w:val="clear" w:color="auto" w:fill="D9D9D9"/>
          </w:tcPr>
          <w:p>
            <w:pPr>
              <w:jc w:val="center"/>
              <w:spacing w:after="0" w:line="232" w:lineRule="exact"/>
              <w:rPr>
                <w:sz w:val="20"/>
                <w:szCs w:val="20"/>
                <w:color w:val="auto"/>
              </w:rPr>
            </w:pPr>
            <w:r>
              <w:rPr>
                <w:rFonts w:ascii="Arial" w:cs="Arial" w:eastAsia="Arial" w:hAnsi="Arial"/>
                <w:sz w:val="14"/>
                <w:szCs w:val="14"/>
                <w:b w:val="1"/>
                <w:bCs w:val="1"/>
                <w:color w:val="auto"/>
                <w:w w:val="91"/>
              </w:rPr>
              <w:t>   700.00</w:t>
            </w:r>
            <w:r>
              <w:rPr>
                <w:rFonts w:ascii="Arial" w:cs="Arial" w:eastAsia="Arial" w:hAnsi="Arial"/>
                <w:sz w:val="23"/>
                <w:szCs w:val="23"/>
                <w:b w:val="1"/>
                <w:bCs w:val="1"/>
                <w:color w:val="auto"/>
                <w:w w:val="91"/>
                <w:vertAlign w:val="superscript"/>
              </w:rPr>
              <w:t>(4)</w:t>
            </w:r>
          </w:p>
        </w:tc>
        <w:tc>
          <w:tcPr>
            <w:tcW w:w="16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9"/>
              </w:rPr>
              <w:t>-30.00%</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8"/>
              </w:rPr>
              <w:t>$137.52</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N/A</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9"/>
              </w:rPr>
              <w:t>N/A</w:t>
            </w:r>
          </w:p>
        </w:tc>
        <w:tc>
          <w:tcPr>
            <w:tcW w:w="19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$700.00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-16.248%</w:t>
            </w:r>
          </w:p>
        </w:tc>
        <w:tc>
          <w:tcPr>
            <w:tcW w:w="0" w:type="dxa"/>
            <w:vAlign w:val="bottom"/>
          </w:tcPr>
          <w:p>
            <w:pPr>
              <w:spacing w:after="0"/>
              <w:rPr>
                <w:sz w:val="1"/>
                <w:szCs w:val="1"/>
                <w:color w:val="auto"/>
              </w:rPr>
            </w:pPr>
          </w:p>
        </w:tc>
      </w:tr>
      <w:tr>
        <w:trPr>
          <w:trHeight w:val="185"/>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-40.00%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$137.52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N/A</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-26.248%</w:t>
            </w:r>
          </w:p>
        </w:tc>
        <w:tc>
          <w:tcPr>
            <w:tcW w:w="0" w:type="dxa"/>
            <w:vAlign w:val="bottom"/>
          </w:tcPr>
          <w:p>
            <w:pPr>
              <w:spacing w:after="0"/>
              <w:rPr>
                <w:sz w:val="1"/>
                <w:szCs w:val="1"/>
                <w:color w:val="auto"/>
              </w:rPr>
            </w:pPr>
          </w:p>
        </w:tc>
      </w:tr>
      <w:tr>
        <w:trPr>
          <w:trHeight w:val="19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$137.52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N/A</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-36.248%</w:t>
            </w:r>
          </w:p>
        </w:tc>
        <w:tc>
          <w:tcPr>
            <w:tcW w:w="0" w:type="dxa"/>
            <w:vAlign w:val="bottom"/>
          </w:tcPr>
          <w:p>
            <w:pPr>
              <w:spacing w:after="0"/>
              <w:rPr>
                <w:sz w:val="1"/>
                <w:szCs w:val="1"/>
                <w:color w:val="auto"/>
              </w:rPr>
            </w:pPr>
          </w:p>
        </w:tc>
      </w:tr>
      <w:tr>
        <w:trPr>
          <w:trHeight w:val="19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-75.00%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$137.52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N/A</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-61.248%</w:t>
            </w:r>
          </w:p>
        </w:tc>
        <w:tc>
          <w:tcPr>
            <w:tcW w:w="0" w:type="dxa"/>
            <w:vAlign w:val="bottom"/>
          </w:tcPr>
          <w:p>
            <w:pPr>
              <w:spacing w:after="0"/>
              <w:rPr>
                <w:sz w:val="1"/>
                <w:szCs w:val="1"/>
                <w:color w:val="auto"/>
              </w:rPr>
            </w:pPr>
          </w:p>
        </w:tc>
      </w:tr>
      <w:tr>
        <w:trPr>
          <w:trHeight w:val="19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-90.00%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$137.52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N/A</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-76.248%</w:t>
            </w:r>
          </w:p>
        </w:tc>
        <w:tc>
          <w:tcPr>
            <w:tcW w:w="0" w:type="dxa"/>
            <w:vAlign w:val="bottom"/>
          </w:tcPr>
          <w:p>
            <w:pPr>
              <w:spacing w:after="0"/>
              <w:rPr>
                <w:sz w:val="1"/>
                <w:szCs w:val="1"/>
                <w:color w:val="auto"/>
              </w:rPr>
            </w:pPr>
          </w:p>
        </w:tc>
      </w:tr>
      <w:tr>
        <w:trPr>
          <w:trHeight w:val="197"/>
        </w:trPr>
        <w:tc>
          <w:tcPr>
            <w:tcW w:w="16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0.00</w:t>
            </w:r>
          </w:p>
        </w:tc>
        <w:tc>
          <w:tcPr>
            <w:tcW w:w="16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-100.00%</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8"/>
              </w:rPr>
              <w:t>$137.52</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N/A</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9"/>
              </w:rPr>
              <w:t>N/A</w:t>
            </w:r>
          </w:p>
        </w:tc>
        <w:tc>
          <w:tcPr>
            <w:tcW w:w="19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$0.00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-86.248%</w:t>
            </w:r>
          </w:p>
        </w:tc>
        <w:tc>
          <w:tcPr>
            <w:tcW w:w="0" w:type="dxa"/>
            <w:vAlign w:val="bottom"/>
          </w:tcPr>
          <w:p>
            <w:pPr>
              <w:spacing w:after="0"/>
              <w:rPr>
                <w:sz w:val="1"/>
                <w:szCs w:val="1"/>
                <w:color w:val="auto"/>
              </w:rPr>
            </w:pPr>
          </w:p>
        </w:tc>
      </w:tr>
      <w:tr>
        <w:trPr>
          <w:trHeight w:val="153"/>
        </w:trPr>
        <w:tc>
          <w:tcPr>
            <w:tcW w:w="1600" w:type="dxa"/>
            <w:vAlign w:val="bottom"/>
          </w:tcPr>
          <w:p>
            <w:pPr>
              <w:ind w:left="580"/>
              <w:spacing w:after="0" w:line="153" w:lineRule="exact"/>
              <w:rPr>
                <w:sz w:val="20"/>
                <w:szCs w:val="20"/>
                <w:color w:val="auto"/>
              </w:rPr>
            </w:pPr>
            <w:r>
              <w:rPr>
                <w:rFonts w:ascii="Arial" w:cs="Arial" w:eastAsia="Arial" w:hAnsi="Arial"/>
                <w:sz w:val="14"/>
                <w:szCs w:val="14"/>
                <w:color w:val="auto"/>
              </w:rPr>
              <w:t> </w:t>
            </w:r>
          </w:p>
        </w:tc>
        <w:tc>
          <w:tcPr>
            <w:tcW w:w="1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80"/>
        <w:spacing w:after="0" w:line="237" w:lineRule="auto"/>
        <w:rPr>
          <w:sz w:val="20"/>
          <w:szCs w:val="20"/>
          <w:color w:val="auto"/>
        </w:rPr>
      </w:pPr>
      <w:r>
        <w:rPr>
          <w:rFonts w:ascii="Arial" w:cs="Arial" w:eastAsia="Arial" w:hAnsi="Arial"/>
          <w:sz w:val="14"/>
          <w:szCs w:val="14"/>
          <w:color w:val="auto"/>
        </w:rPr>
        <w:t>(1)            A Trigger Event occurs if the Closing Level of any Underlying is at or below its Barrier Value on any Trading Day during the Observation Period.</w:t>
      </w:r>
    </w:p>
    <w:p>
      <w:pPr>
        <w:ind w:left="580"/>
        <w:spacing w:after="0" w:line="238" w:lineRule="auto"/>
        <w:rPr>
          <w:sz w:val="20"/>
          <w:szCs w:val="20"/>
          <w:color w:val="auto"/>
        </w:rPr>
      </w:pPr>
      <w:r>
        <w:rPr>
          <w:rFonts w:ascii="Arial" w:cs="Arial" w:eastAsia="Arial" w:hAnsi="Arial"/>
          <w:sz w:val="14"/>
          <w:szCs w:val="14"/>
          <w:color w:val="auto"/>
        </w:rPr>
        <w:t> </w:t>
      </w:r>
    </w:p>
    <w:p>
      <w:pPr>
        <w:ind w:left="580"/>
        <w:spacing w:after="0" w:line="238" w:lineRule="auto"/>
        <w:rPr>
          <w:sz w:val="20"/>
          <w:szCs w:val="20"/>
          <w:color w:val="auto"/>
        </w:rPr>
      </w:pPr>
      <w:r>
        <w:rPr>
          <w:rFonts w:ascii="Arial" w:cs="Arial" w:eastAsia="Arial" w:hAnsi="Arial"/>
          <w:sz w:val="14"/>
          <w:szCs w:val="14"/>
          <w:color w:val="auto"/>
        </w:rPr>
        <w:t>(2)            The total return on the Notes will not exceed the return represented by the Interest Payments.</w:t>
      </w:r>
    </w:p>
    <w:p>
      <w:pPr>
        <w:ind w:left="580"/>
        <w:spacing w:after="0" w:line="237" w:lineRule="auto"/>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520" w:firstLine="61"/>
        <w:spacing w:after="0" w:line="237" w:lineRule="auto"/>
        <w:rPr>
          <w:sz w:val="20"/>
          <w:szCs w:val="20"/>
          <w:color w:val="auto"/>
        </w:rPr>
      </w:pPr>
      <w:r>
        <w:rPr>
          <w:rFonts w:ascii="Arial" w:cs="Arial" w:eastAsia="Arial" w:hAnsi="Arial"/>
          <w:sz w:val="14"/>
          <w:szCs w:val="14"/>
          <w:color w:val="auto"/>
        </w:rPr>
        <w:t>(3)            The hypothetical Initial Value of 1,000 used in these examples has been chosen for illustrative purposes only. The actual Initial Value of each Underlying is set forth on page PS-3 of this pricing supplement.</w:t>
      </w:r>
    </w:p>
    <w:p>
      <w:pPr>
        <w:ind w:left="580"/>
        <w:spacing w:after="0"/>
        <w:rPr>
          <w:sz w:val="20"/>
          <w:szCs w:val="20"/>
          <w:color w:val="auto"/>
        </w:rPr>
      </w:pPr>
      <w:r>
        <w:rPr>
          <w:rFonts w:ascii="Arial" w:cs="Arial" w:eastAsia="Arial" w:hAnsi="Arial"/>
          <w:sz w:val="14"/>
          <w:szCs w:val="14"/>
          <w:color w:val="auto"/>
        </w:rPr>
        <w:t> </w:t>
      </w:r>
    </w:p>
    <w:p>
      <w:pPr>
        <w:ind w:left="580"/>
        <w:spacing w:after="0" w:line="237" w:lineRule="auto"/>
        <w:rPr>
          <w:sz w:val="20"/>
          <w:szCs w:val="20"/>
          <w:color w:val="auto"/>
        </w:rPr>
      </w:pPr>
      <w:r>
        <w:rPr>
          <w:rFonts w:ascii="Arial" w:cs="Arial" w:eastAsia="Arial" w:hAnsi="Arial"/>
          <w:sz w:val="14"/>
          <w:szCs w:val="14"/>
          <w:color w:val="auto"/>
        </w:rPr>
        <w:t xml:space="preserve">(4)            This is the </w:t>
      </w:r>
      <w:r>
        <w:rPr>
          <w:rFonts w:ascii="Arial" w:cs="Arial" w:eastAsia="Arial" w:hAnsi="Arial"/>
          <w:sz w:val="14"/>
          <w:szCs w:val="14"/>
          <w:b w:val="1"/>
          <w:bCs w:val="1"/>
          <w:color w:val="auto"/>
        </w:rPr>
        <w:t>hypothetical</w:t>
      </w:r>
      <w:r>
        <w:rPr>
          <w:rFonts w:ascii="Arial" w:cs="Arial" w:eastAsia="Arial" w:hAnsi="Arial"/>
          <w:sz w:val="14"/>
          <w:szCs w:val="14"/>
          <w:color w:val="auto"/>
        </w:rPr>
        <w:t xml:space="preserve"> Barrier Value of the Worst Performing Underlying.</w:t>
      </w:r>
    </w:p>
    <w:p>
      <w:pPr>
        <w:ind w:left="580"/>
        <w:spacing w:after="0"/>
        <w:rPr>
          <w:sz w:val="20"/>
          <w:szCs w:val="20"/>
          <w:color w:val="auto"/>
        </w:rPr>
      </w:pPr>
      <w:r>
        <w:rPr>
          <w:rFonts w:ascii="Arial" w:cs="Arial" w:eastAsia="Arial" w:hAnsi="Arial"/>
          <w:sz w:val="14"/>
          <w:szCs w:val="14"/>
          <w:color w:val="auto"/>
        </w:rPr>
        <w:t> </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PS-10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auto"/>
        </w:rPr>
        <w:t> </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examples indicate how the Payment at Maturity would be calculated with respect to a hypothetical $1,000 investment in the Notes assuming that the Notes have not</w:t>
      </w:r>
    </w:p>
    <w:p>
      <w:pPr>
        <w:spacing w:after="0" w:line="237" w:lineRule="auto"/>
        <w:rPr>
          <w:sz w:val="20"/>
          <w:szCs w:val="20"/>
          <w:color w:val="auto"/>
        </w:rPr>
      </w:pPr>
      <w:r>
        <w:rPr>
          <w:rFonts w:ascii="Arial" w:cs="Arial" w:eastAsia="Arial" w:hAnsi="Arial"/>
          <w:sz w:val="14"/>
          <w:szCs w:val="14"/>
          <w:color w:val="auto"/>
        </w:rPr>
        <w:t>been redeemed prior to maturity and are held to maturity.</w:t>
      </w:r>
    </w:p>
    <w:p>
      <w:pPr>
        <w:spacing w:after="0" w:line="238"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b w:val="1"/>
          <w:bCs w:val="1"/>
          <w:color w:val="auto"/>
        </w:rPr>
        <w:t>Example 1: A Trigger Event Does Not Occur and the Reference Return of the Worst Performing Underlying Is 50.00%.</w:t>
      </w:r>
    </w:p>
    <w:p>
      <w:pPr>
        <w:spacing w:after="0" w:line="237"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color w:val="auto"/>
        </w:rPr>
        <w:t>If a Trigger Event does not occur, the Payment at Maturity, excluding the final Interest Payment, would be $1,000.00 per $1,000 Principal Amount. When the Payment at Maturity is</w:t>
      </w:r>
    </w:p>
    <w:p>
      <w:pPr>
        <w:spacing w:after="0" w:line="238" w:lineRule="auto"/>
        <w:rPr>
          <w:sz w:val="20"/>
          <w:szCs w:val="20"/>
          <w:color w:val="auto"/>
        </w:rPr>
      </w:pPr>
      <w:r>
        <w:rPr>
          <w:rFonts w:ascii="Arial" w:cs="Arial" w:eastAsia="Arial" w:hAnsi="Arial"/>
          <w:sz w:val="14"/>
          <w:szCs w:val="14"/>
          <w:color w:val="auto"/>
        </w:rPr>
        <w:t>added to the Interest Payments of $137.52 received over the term of the Notes, we would have paid a total of $1,137.52 per $1,000 Principal Amount, for a 13.752% total return on</w:t>
      </w:r>
    </w:p>
    <w:p>
      <w:pPr>
        <w:spacing w:after="0" w:line="237" w:lineRule="auto"/>
        <w:rPr>
          <w:sz w:val="20"/>
          <w:szCs w:val="20"/>
          <w:color w:val="auto"/>
        </w:rPr>
      </w:pPr>
      <w:r>
        <w:rPr>
          <w:rFonts w:ascii="Arial" w:cs="Arial" w:eastAsia="Arial" w:hAnsi="Arial"/>
          <w:sz w:val="14"/>
          <w:szCs w:val="14"/>
          <w:color w:val="auto"/>
        </w:rPr>
        <w:t>the Notes.</w:t>
      </w:r>
    </w:p>
    <w:p>
      <w:pPr>
        <w:spacing w:after="0" w:line="238" w:lineRule="auto"/>
        <w:rPr>
          <w:sz w:val="20"/>
          <w:szCs w:val="20"/>
          <w:color w:val="auto"/>
        </w:rPr>
      </w:pPr>
      <w:r>
        <w:rPr>
          <w:rFonts w:ascii="Arial" w:cs="Arial" w:eastAsia="Arial" w:hAnsi="Arial"/>
          <w:sz w:val="14"/>
          <w:szCs w:val="14"/>
          <w:color w:val="auto"/>
        </w:rPr>
        <w:t> </w:t>
      </w:r>
    </w:p>
    <w:p>
      <w:pPr>
        <w:spacing w:after="0"/>
        <w:rPr>
          <w:sz w:val="20"/>
          <w:szCs w:val="20"/>
          <w:color w:val="auto"/>
        </w:rPr>
      </w:pPr>
      <w:r>
        <w:rPr>
          <w:rFonts w:ascii="Arial" w:cs="Arial" w:eastAsia="Arial" w:hAnsi="Arial"/>
          <w:sz w:val="14"/>
          <w:szCs w:val="14"/>
          <w:color w:val="auto"/>
        </w:rPr>
        <w:t>Example 1 shows that the total payments on the Notes will be fixed at the Principal Amount plus the Interest Payments when the Notes are not redeemed and a Trigger Event does not occur, regardless of the extent to which the value of the Worst Performing Underlying increases on the Final Valuation Date.  </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A Trigger Event Does Not Occur and the Reference Return of the Worst Performing Underlying Is -20.00%.</w:t>
      </w:r>
    </w:p>
    <w:p>
      <w:pPr>
        <w:spacing w:after="0" w:line="237"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color w:val="auto"/>
        </w:rPr>
        <w:t>If a Trigger Event does not occur, the Payment at Maturity, excluding the final Interest Payment, would be $1,000.00 per $1,000 Principal Amount. When the Payment at Maturity is</w:t>
      </w:r>
    </w:p>
    <w:p>
      <w:pPr>
        <w:spacing w:after="0" w:line="238" w:lineRule="auto"/>
        <w:rPr>
          <w:sz w:val="20"/>
          <w:szCs w:val="20"/>
          <w:color w:val="auto"/>
        </w:rPr>
      </w:pPr>
      <w:r>
        <w:rPr>
          <w:rFonts w:ascii="Arial" w:cs="Arial" w:eastAsia="Arial" w:hAnsi="Arial"/>
          <w:sz w:val="14"/>
          <w:szCs w:val="14"/>
          <w:color w:val="auto"/>
        </w:rPr>
        <w:t>added to the Interest Payments of $137.52 received over the term of the Notes, we would have paid a total of $1,137.52 per $1,000 Principal Amount, for a 13.752% total return on</w:t>
      </w:r>
    </w:p>
    <w:p>
      <w:pPr>
        <w:spacing w:after="0" w:line="237" w:lineRule="auto"/>
        <w:rPr>
          <w:sz w:val="20"/>
          <w:szCs w:val="20"/>
          <w:color w:val="auto"/>
        </w:rPr>
      </w:pPr>
      <w:r>
        <w:rPr>
          <w:rFonts w:ascii="Arial" w:cs="Arial" w:eastAsia="Arial" w:hAnsi="Arial"/>
          <w:sz w:val="14"/>
          <w:szCs w:val="14"/>
          <w:color w:val="auto"/>
        </w:rPr>
        <w:t>the Notes.</w:t>
      </w:r>
    </w:p>
    <w:p>
      <w:pPr>
        <w:spacing w:after="0" w:line="238" w:lineRule="auto"/>
        <w:rPr>
          <w:sz w:val="20"/>
          <w:szCs w:val="20"/>
          <w:color w:val="auto"/>
        </w:rPr>
      </w:pPr>
      <w:r>
        <w:rPr>
          <w:rFonts w:ascii="Arial" w:cs="Arial" w:eastAsia="Arial" w:hAnsi="Arial"/>
          <w:sz w:val="14"/>
          <w:szCs w:val="14"/>
          <w:color w:val="auto"/>
        </w:rPr>
        <w:t> </w:t>
      </w:r>
    </w:p>
    <w:p>
      <w:pPr>
        <w:spacing w:after="0"/>
        <w:rPr>
          <w:sz w:val="20"/>
          <w:szCs w:val="20"/>
          <w:color w:val="auto"/>
        </w:rPr>
      </w:pPr>
      <w:r>
        <w:rPr>
          <w:rFonts w:ascii="Arial" w:cs="Arial" w:eastAsia="Arial" w:hAnsi="Arial"/>
          <w:sz w:val="14"/>
          <w:szCs w:val="14"/>
          <w:color w:val="auto"/>
        </w:rPr>
        <w:t>Example 2 shows that the total payments on the Notes will be fixed at the Principal Amount plus the Interest Payments when the Notes are not redeemed and a Trigger Event does not occur, although the value of the Worst Performing Underlying has decreased moderately on the Final Valuation Date.  </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3: A Trigger Event Occurs and the Reference Return of the Worst Performing Underlying Is 50.00%.</w:t>
      </w:r>
    </w:p>
    <w:p>
      <w:pPr>
        <w:spacing w:after="0" w:line="237" w:lineRule="auto"/>
        <w:rPr>
          <w:sz w:val="20"/>
          <w:szCs w:val="20"/>
          <w:color w:val="auto"/>
        </w:rPr>
      </w:pPr>
      <w:r>
        <w:rPr>
          <w:rFonts w:ascii="Arial" w:cs="Arial" w:eastAsia="Arial" w:hAnsi="Arial"/>
          <w:sz w:val="14"/>
          <w:szCs w:val="14"/>
          <w:color w:val="auto"/>
        </w:rPr>
        <w:t> </w:t>
      </w:r>
    </w:p>
    <w:p>
      <w:pPr>
        <w:spacing w:after="0"/>
        <w:rPr>
          <w:sz w:val="20"/>
          <w:szCs w:val="20"/>
          <w:color w:val="auto"/>
        </w:rPr>
      </w:pPr>
      <w:r>
        <w:rPr>
          <w:rFonts w:ascii="Arial" w:cs="Arial" w:eastAsia="Arial" w:hAnsi="Arial"/>
          <w:sz w:val="14"/>
          <w:szCs w:val="14"/>
          <w:color w:val="auto"/>
        </w:rPr>
        <w:t>If a Trigger Event occurs but the Final Value of the Worst Performing Underlying is greater than or equal to its Initial Value, the Payment at Maturity, excluding the final Interest Payment, would be $1,000.00 per $1,000 Principal Amount. When the Payment at Maturity is added to the Interest Payments of $137.52 received over the term of the Notes, we would have paid a total of $1,137.52 per $1,000 Principal Amount, for a 13.752% total return on the Notes.  </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Example 3 shows that the total payments on the Notes will be fixed at the Principal Amount plus the Interest Payments when the Notes are not redeemed, a Trigger Event occurs</w:t>
      </w:r>
    </w:p>
    <w:p>
      <w:pPr>
        <w:spacing w:after="0" w:line="237" w:lineRule="auto"/>
        <w:rPr>
          <w:sz w:val="20"/>
          <w:szCs w:val="20"/>
          <w:color w:val="auto"/>
        </w:rPr>
      </w:pPr>
      <w:r>
        <w:rPr>
          <w:rFonts w:ascii="Arial" w:cs="Arial" w:eastAsia="Arial" w:hAnsi="Arial"/>
          <w:sz w:val="14"/>
          <w:szCs w:val="14"/>
          <w:color w:val="auto"/>
        </w:rPr>
        <w:t>and the Final Value of the Worst Performing Underlying is at or above its Initial Value, regardless of the extent to which the value of the Worst Performing Underlying increases on</w:t>
      </w:r>
    </w:p>
    <w:p>
      <w:pPr>
        <w:spacing w:after="0" w:line="238" w:lineRule="auto"/>
        <w:rPr>
          <w:sz w:val="20"/>
          <w:szCs w:val="20"/>
          <w:color w:val="auto"/>
        </w:rPr>
      </w:pPr>
      <w:r>
        <w:rPr>
          <w:rFonts w:ascii="Arial" w:cs="Arial" w:eastAsia="Arial" w:hAnsi="Arial"/>
          <w:sz w:val="14"/>
          <w:szCs w:val="14"/>
          <w:color w:val="auto"/>
        </w:rPr>
        <w:t>the Final Valuation Date.</w:t>
      </w:r>
    </w:p>
    <w:p>
      <w:pPr>
        <w:spacing w:after="0" w:line="238" w:lineRule="auto"/>
        <w:rPr>
          <w:sz w:val="20"/>
          <w:szCs w:val="20"/>
          <w:color w:val="auto"/>
        </w:rPr>
      </w:pPr>
      <w:r>
        <w:rPr>
          <w:rFonts w:ascii="Arial" w:cs="Arial" w:eastAsia="Arial" w:hAnsi="Arial"/>
          <w:sz w:val="14"/>
          <w:szCs w:val="14"/>
          <w:color w:val="auto"/>
        </w:rPr>
        <w:t> </w:t>
      </w:r>
    </w:p>
    <w:p>
      <w:pPr>
        <w:spacing w:after="0" w:line="237" w:lineRule="auto"/>
        <w:rPr>
          <w:sz w:val="20"/>
          <w:szCs w:val="20"/>
          <w:color w:val="auto"/>
        </w:rPr>
      </w:pPr>
      <w:r>
        <w:rPr>
          <w:rFonts w:ascii="Arial" w:cs="Arial" w:eastAsia="Arial" w:hAnsi="Arial"/>
          <w:sz w:val="14"/>
          <w:szCs w:val="14"/>
          <w:b w:val="1"/>
          <w:bCs w:val="1"/>
          <w:color w:val="auto"/>
        </w:rPr>
        <w:t>Example 4: A Trigger Event Occurs and the Reference Return of the Worst Performing Underlying Is -75.00%.</w:t>
      </w:r>
    </w:p>
    <w:p>
      <w:pPr>
        <w:spacing w:after="0" w:line="238"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color w:val="auto"/>
        </w:rPr>
        <w:t>If a Trigger Event occurs and the Final Value of the Worst Performing Underlying is less than its Initial Value, the Payment at Maturity, excluding the final Interest Payment, would be</w:t>
      </w:r>
    </w:p>
    <w:p>
      <w:pPr>
        <w:spacing w:after="0" w:line="237" w:lineRule="auto"/>
        <w:rPr>
          <w:sz w:val="20"/>
          <w:szCs w:val="20"/>
          <w:color w:val="auto"/>
        </w:rPr>
      </w:pPr>
      <w:r>
        <w:rPr>
          <w:rFonts w:ascii="Arial" w:cs="Arial" w:eastAsia="Arial" w:hAnsi="Arial"/>
          <w:sz w:val="14"/>
          <w:szCs w:val="14"/>
          <w:color w:val="auto"/>
        </w:rPr>
        <w:t>$250.00 per $1,000 Principal Amount, calculated as follows:</w:t>
      </w:r>
    </w:p>
    <w:p>
      <w:pPr>
        <w:spacing w:after="0" w:line="238" w:lineRule="auto"/>
        <w:rPr>
          <w:sz w:val="20"/>
          <w:szCs w:val="20"/>
          <w:color w:val="auto"/>
        </w:rPr>
      </w:pPr>
      <w:r>
        <w:rPr>
          <w:rFonts w:ascii="Arial" w:cs="Arial" w:eastAsia="Arial" w:hAnsi="Arial"/>
          <w:sz w:val="14"/>
          <w:szCs w:val="14"/>
          <w:color w:val="auto"/>
        </w:rPr>
        <w:t> </w:t>
      </w:r>
    </w:p>
    <w:p>
      <w:pPr>
        <w:ind w:left="520"/>
        <w:spacing w:after="0" w:line="238" w:lineRule="auto"/>
        <w:rPr>
          <w:sz w:val="20"/>
          <w:szCs w:val="20"/>
          <w:color w:val="auto"/>
        </w:rPr>
      </w:pPr>
      <w:r>
        <w:rPr>
          <w:rFonts w:ascii="Arial" w:cs="Arial" w:eastAsia="Arial" w:hAnsi="Arial"/>
          <w:sz w:val="14"/>
          <w:szCs w:val="14"/>
          <w:color w:val="auto"/>
        </w:rPr>
        <w:t>$1,000 + ($1,000 × Reference Return of the Worst Performing Underlying)</w:t>
      </w:r>
    </w:p>
    <w:p>
      <w:pPr>
        <w:ind w:left="520"/>
        <w:spacing w:after="0" w:line="237" w:lineRule="auto"/>
        <w:rPr>
          <w:sz w:val="20"/>
          <w:szCs w:val="20"/>
          <w:color w:val="auto"/>
        </w:rPr>
      </w:pPr>
      <w:r>
        <w:rPr>
          <w:rFonts w:ascii="Arial" w:cs="Arial" w:eastAsia="Arial" w:hAnsi="Arial"/>
          <w:sz w:val="14"/>
          <w:szCs w:val="14"/>
          <w:color w:val="auto"/>
        </w:rPr>
        <w:t> </w:t>
      </w:r>
    </w:p>
    <w:p>
      <w:pPr>
        <w:ind w:left="640" w:hanging="125"/>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$1,000 + ($1,000 × -75.00%)</w:t>
      </w:r>
    </w:p>
    <w:p>
      <w:pPr>
        <w:ind w:left="520"/>
        <w:spacing w:after="0" w:line="237" w:lineRule="auto"/>
        <w:rPr>
          <w:rFonts w:ascii="Arial" w:cs="Arial" w:eastAsia="Arial" w:hAnsi="Arial"/>
          <w:sz w:val="14"/>
          <w:szCs w:val="14"/>
          <w:color w:val="auto"/>
        </w:rPr>
      </w:pPr>
      <w:r>
        <w:rPr>
          <w:rFonts w:ascii="Arial" w:cs="Arial" w:eastAsia="Arial" w:hAnsi="Arial"/>
          <w:sz w:val="14"/>
          <w:szCs w:val="14"/>
          <w:color w:val="auto"/>
        </w:rPr>
        <w:t> </w:t>
      </w:r>
    </w:p>
    <w:p>
      <w:pPr>
        <w:ind w:left="640" w:hanging="125"/>
        <w:spacing w:after="0" w:line="237" w:lineRule="auto"/>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$250.00</w:t>
      </w:r>
    </w:p>
    <w:p>
      <w:pPr>
        <w:ind w:left="520"/>
        <w:spacing w:after="0" w:line="238"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color w:val="auto"/>
        </w:rPr>
        <w:t>When the Payment at Maturity is added to the Interest Payments of $137.52 received over the term of the Notes, we would have paid a total of $387.52 per $1,000 Principal</w:t>
      </w:r>
    </w:p>
    <w:p>
      <w:pPr>
        <w:spacing w:after="0" w:line="237" w:lineRule="auto"/>
        <w:rPr>
          <w:sz w:val="20"/>
          <w:szCs w:val="20"/>
          <w:color w:val="auto"/>
        </w:rPr>
      </w:pPr>
      <w:r>
        <w:rPr>
          <w:rFonts w:ascii="Arial" w:cs="Arial" w:eastAsia="Arial" w:hAnsi="Arial"/>
          <w:sz w:val="14"/>
          <w:szCs w:val="14"/>
          <w:color w:val="auto"/>
        </w:rPr>
        <w:t>Amount, for a -61.248% total return on the Notes.</w:t>
      </w:r>
    </w:p>
    <w:p>
      <w:pPr>
        <w:spacing w:after="0" w:line="238" w:lineRule="auto"/>
        <w:rPr>
          <w:sz w:val="20"/>
          <w:szCs w:val="20"/>
          <w:color w:val="auto"/>
        </w:rPr>
      </w:pPr>
      <w:r>
        <w:rPr>
          <w:rFonts w:ascii="Arial" w:cs="Arial" w:eastAsia="Arial" w:hAnsi="Arial"/>
          <w:sz w:val="14"/>
          <w:szCs w:val="14"/>
          <w:color w:val="auto"/>
        </w:rPr>
        <w:t> </w:t>
      </w:r>
    </w:p>
    <w:p>
      <w:pPr>
        <w:spacing w:after="0" w:line="237" w:lineRule="auto"/>
        <w:rPr>
          <w:sz w:val="20"/>
          <w:szCs w:val="20"/>
          <w:color w:val="auto"/>
        </w:rPr>
      </w:pPr>
      <w:r>
        <w:rPr>
          <w:rFonts w:ascii="Arial" w:cs="Arial" w:eastAsia="Arial" w:hAnsi="Arial"/>
          <w:sz w:val="14"/>
          <w:szCs w:val="14"/>
          <w:color w:val="auto"/>
        </w:rPr>
        <w:t xml:space="preserve">Example 4 shows that if a Trigger Event occurs and the Worst Performing Underlying decreases from its Initial Value to its Final Value, you are exposed on a 1-to-1 basis to such decrease. </w:t>
      </w:r>
      <w:r>
        <w:rPr>
          <w:rFonts w:ascii="Arial" w:cs="Arial" w:eastAsia="Arial" w:hAnsi="Arial"/>
          <w:sz w:val="14"/>
          <w:szCs w:val="14"/>
          <w:b w:val="1"/>
          <w:bCs w:val="1"/>
          <w:color w:val="auto"/>
        </w:rPr>
        <w:t>You may lose up to 100% of your Principal Amount at maturity. Even with the Interest Payments, the return on the Notes could be negative.</w:t>
      </w:r>
    </w:p>
    <w:p>
      <w:pPr>
        <w:spacing w:after="0"/>
        <w:rPr>
          <w:sz w:val="20"/>
          <w:szCs w:val="20"/>
          <w:color w:val="auto"/>
        </w:rPr>
      </w:pPr>
      <w:r>
        <w:rPr>
          <w:rFonts w:ascii="Arial" w:cs="Arial" w:eastAsia="Arial" w:hAnsi="Arial"/>
          <w:sz w:val="14"/>
          <w:szCs w:val="14"/>
          <w:color w:val="auto"/>
        </w:rPr>
        <w:t> </w:t>
      </w:r>
    </w:p>
    <w:p>
      <w:pPr>
        <w:spacing w:after="0" w:line="237" w:lineRule="auto"/>
        <w:rPr>
          <w:sz w:val="20"/>
          <w:szCs w:val="20"/>
          <w:color w:val="auto"/>
        </w:rPr>
      </w:pPr>
      <w:r>
        <w:rPr>
          <w:rFonts w:ascii="Arial" w:cs="Arial" w:eastAsia="Arial" w:hAnsi="Arial"/>
          <w:sz w:val="14"/>
          <w:szCs w:val="14"/>
          <w:b w:val="1"/>
          <w:bCs w:val="1"/>
          <w:color w:val="auto"/>
        </w:rPr>
        <w:t>These examples illustrate that you will not participate in any appreciation of any Underlying, but will be fully exposed to any decrease in the Worst Performing</w:t>
      </w:r>
    </w:p>
    <w:p>
      <w:pPr>
        <w:spacing w:after="0" w:line="238" w:lineRule="auto"/>
        <w:rPr>
          <w:sz w:val="20"/>
          <w:szCs w:val="20"/>
          <w:color w:val="auto"/>
        </w:rPr>
      </w:pPr>
      <w:r>
        <w:rPr>
          <w:rFonts w:ascii="Arial" w:cs="Arial" w:eastAsia="Arial" w:hAnsi="Arial"/>
          <w:sz w:val="14"/>
          <w:szCs w:val="14"/>
          <w:b w:val="1"/>
          <w:bCs w:val="1"/>
          <w:color w:val="auto"/>
        </w:rPr>
        <w:t>Underlying if the Notes are not redeemed and a Trigger Event occurs.</w:t>
      </w:r>
    </w:p>
    <w:p>
      <w:pPr>
        <w:spacing w:after="0"/>
        <w:rPr>
          <w:sz w:val="20"/>
          <w:szCs w:val="20"/>
          <w:color w:val="auto"/>
        </w:rPr>
      </w:pPr>
      <w:r>
        <w:rPr>
          <w:rFonts w:ascii="Arial" w:cs="Arial" w:eastAsia="Arial" w:hAnsi="Arial"/>
          <w:sz w:val="14"/>
          <w:szCs w:val="14"/>
          <w:b w:val="1"/>
          <w:bCs w:val="1"/>
          <w:color w:val="auto"/>
        </w:rPr>
        <w:t> </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PS-11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420" w:type="dxa"/>
            <w:vAlign w:val="bottom"/>
          </w:tcPr>
          <w:p>
            <w:pPr>
              <w:spacing w:after="0" w:line="159" w:lineRule="exact"/>
              <w:rPr>
                <w:sz w:val="20"/>
                <w:szCs w:val="20"/>
                <w:color w:val="auto"/>
              </w:rPr>
            </w:pPr>
            <w:r>
              <w:rPr>
                <w:rFonts w:ascii="Arial" w:cs="Arial" w:eastAsia="Arial" w:hAnsi="Arial"/>
                <w:sz w:val="14"/>
                <w:szCs w:val="14"/>
                <w:b w:val="1"/>
                <w:bCs w:val="1"/>
                <w:color w:val="7030A0"/>
              </w:rPr>
              <w:t>DESCRIPTION OF THE REFERENCE ASSET</w:t>
            </w:r>
          </w:p>
        </w:tc>
        <w:tc>
          <w:tcPr>
            <w:tcW w:w="2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20" w:type="dxa"/>
            <w:vAlign w:val="bottom"/>
          </w:tcPr>
          <w:p>
            <w:pPr>
              <w:spacing w:after="0" w:line="159" w:lineRule="exact"/>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2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Description of the SPX</w:t>
            </w:r>
          </w:p>
        </w:tc>
        <w:tc>
          <w:tcPr>
            <w:tcW w:w="220" w:type="dxa"/>
            <w:vAlign w:val="bottom"/>
            <w:vMerge w:val="restart"/>
          </w:tcPr>
          <w:p>
            <w:pPr>
              <w:ind w:left="80"/>
              <w:spacing w:after="0"/>
              <w:rPr>
                <w:sz w:val="20"/>
                <w:szCs w:val="20"/>
                <w:color w:val="auto"/>
              </w:rPr>
            </w:pPr>
            <w:r>
              <w:rPr>
                <w:rFonts w:ascii="Arial" w:cs="Arial" w:eastAsia="Arial" w:hAnsi="Arial"/>
                <w:sz w:val="14"/>
                <w:szCs w:val="14"/>
                <w:b w:val="1"/>
                <w:bCs w:val="1"/>
                <w:color w:val="C00000"/>
              </w:rPr>
              <w:t> </w:t>
            </w:r>
          </w:p>
        </w:tc>
        <w:tc>
          <w:tcPr>
            <w:tcW w:w="55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Historical Performance of the SPX</w:t>
            </w:r>
          </w:p>
        </w:tc>
        <w:tc>
          <w:tcPr>
            <w:tcW w:w="0" w:type="dxa"/>
            <w:vAlign w:val="bottom"/>
          </w:tcPr>
          <w:p>
            <w:pPr>
              <w:spacing w:after="0"/>
              <w:rPr>
                <w:sz w:val="1"/>
                <w:szCs w:val="1"/>
                <w:color w:val="auto"/>
              </w:rPr>
            </w:pPr>
          </w:p>
        </w:tc>
      </w:tr>
      <w:tr>
        <w:trPr>
          <w:trHeight w:val="109"/>
        </w:trPr>
        <w:tc>
          <w:tcPr>
            <w:tcW w:w="542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 </w:t>
            </w:r>
          </w:p>
        </w:tc>
        <w:tc>
          <w:tcPr>
            <w:tcW w:w="220" w:type="dxa"/>
            <w:vAlign w:val="bottom"/>
            <w:vMerge w:val="continue"/>
          </w:tcPr>
          <w:p>
            <w:pPr>
              <w:spacing w:after="0"/>
              <w:rPr>
                <w:sz w:val="9"/>
                <w:szCs w:val="9"/>
                <w:color w:val="auto"/>
              </w:rPr>
            </w:pPr>
          </w:p>
        </w:tc>
        <w:tc>
          <w:tcPr>
            <w:tcW w:w="5560" w:type="dxa"/>
            <w:vAlign w:val="bottom"/>
            <w:vMerge w:val="restart"/>
          </w:tcPr>
          <w:p>
            <w:pPr>
              <w:ind w:left="80"/>
              <w:spacing w:after="0" w:line="15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50"/>
        </w:trPr>
        <w:tc>
          <w:tcPr>
            <w:tcW w:w="54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420" w:type="dxa"/>
            <w:vAlign w:val="bottom"/>
          </w:tcPr>
          <w:p>
            <w:pPr>
              <w:ind w:left="80"/>
              <w:spacing w:after="0" w:line="159" w:lineRule="exact"/>
              <w:rPr>
                <w:sz w:val="20"/>
                <w:szCs w:val="20"/>
                <w:color w:val="auto"/>
              </w:rPr>
            </w:pPr>
            <w:r>
              <w:rPr>
                <w:rFonts w:ascii="Arial" w:cs="Arial" w:eastAsia="Arial" w:hAnsi="Arial"/>
                <w:sz w:val="14"/>
                <w:szCs w:val="14"/>
                <w:color w:val="auto"/>
              </w:rPr>
              <w:t>The SPX is a capitalization-weighted index of 500 U.S. stocks. It is designed to</w:t>
            </w:r>
          </w:p>
        </w:tc>
        <w:tc>
          <w:tcPr>
            <w:tcW w:w="220" w:type="dxa"/>
            <w:vAlign w:val="bottom"/>
          </w:tcPr>
          <w:p>
            <w:pPr>
              <w:spacing w:after="0"/>
              <w:rPr>
                <w:sz w:val="13"/>
                <w:szCs w:val="13"/>
                <w:color w:val="auto"/>
              </w:rPr>
            </w:pPr>
          </w:p>
        </w:tc>
        <w:tc>
          <w:tcPr>
            <w:tcW w:w="5560" w:type="dxa"/>
            <w:vAlign w:val="bottom"/>
          </w:tcPr>
          <w:p>
            <w:pPr>
              <w:ind w:left="80"/>
              <w:spacing w:after="0" w:line="159" w:lineRule="exact"/>
              <w:rPr>
                <w:sz w:val="20"/>
                <w:szCs w:val="20"/>
                <w:color w:val="auto"/>
              </w:rPr>
            </w:pPr>
            <w:r>
              <w:rPr>
                <w:rFonts w:ascii="Arial" w:cs="Arial" w:eastAsia="Arial" w:hAnsi="Arial"/>
                <w:sz w:val="14"/>
                <w:szCs w:val="14"/>
                <w:color w:val="auto"/>
              </w:rPr>
              <w:t>The following graph sets forth the historical performance of the SPX based on the daily</w:t>
            </w:r>
          </w:p>
        </w:tc>
        <w:tc>
          <w:tcPr>
            <w:tcW w:w="0" w:type="dxa"/>
            <w:vAlign w:val="bottom"/>
          </w:tcPr>
          <w:p>
            <w:pPr>
              <w:spacing w:after="0"/>
              <w:rPr>
                <w:sz w:val="1"/>
                <w:szCs w:val="1"/>
                <w:color w:val="auto"/>
              </w:rPr>
            </w:pPr>
          </w:p>
        </w:tc>
      </w:tr>
      <w:tr>
        <w:trPr>
          <w:trHeight w:val="159"/>
        </w:trPr>
        <w:tc>
          <w:tcPr>
            <w:tcW w:w="5420" w:type="dxa"/>
            <w:vAlign w:val="bottom"/>
          </w:tcPr>
          <w:p>
            <w:pPr>
              <w:ind w:left="80"/>
              <w:spacing w:after="0" w:line="159" w:lineRule="exact"/>
              <w:rPr>
                <w:sz w:val="20"/>
                <w:szCs w:val="20"/>
                <w:color w:val="auto"/>
              </w:rPr>
            </w:pPr>
            <w:r>
              <w:rPr>
                <w:rFonts w:ascii="Arial" w:cs="Arial" w:eastAsia="Arial" w:hAnsi="Arial"/>
                <w:sz w:val="14"/>
                <w:szCs w:val="14"/>
                <w:color w:val="auto"/>
              </w:rPr>
              <w:t>measure performance of the broad domestic economy through changes in the</w:t>
            </w:r>
          </w:p>
        </w:tc>
        <w:tc>
          <w:tcPr>
            <w:tcW w:w="220" w:type="dxa"/>
            <w:vAlign w:val="bottom"/>
          </w:tcPr>
          <w:p>
            <w:pPr>
              <w:spacing w:after="0"/>
              <w:rPr>
                <w:sz w:val="13"/>
                <w:szCs w:val="13"/>
                <w:color w:val="auto"/>
              </w:rPr>
            </w:pPr>
          </w:p>
        </w:tc>
        <w:tc>
          <w:tcPr>
            <w:tcW w:w="5560" w:type="dxa"/>
            <w:vAlign w:val="bottom"/>
          </w:tcPr>
          <w:p>
            <w:pPr>
              <w:ind w:left="80"/>
              <w:spacing w:after="0" w:line="159" w:lineRule="exact"/>
              <w:rPr>
                <w:sz w:val="20"/>
                <w:szCs w:val="20"/>
                <w:color w:val="auto"/>
              </w:rPr>
            </w:pPr>
            <w:r>
              <w:rPr>
                <w:rFonts w:ascii="Arial" w:cs="Arial" w:eastAsia="Arial" w:hAnsi="Arial"/>
                <w:sz w:val="14"/>
                <w:szCs w:val="14"/>
                <w:color w:val="auto"/>
              </w:rPr>
              <w:t>historical closing values from June 18, 2021 through June 18, 2026. We obtained the</w:t>
            </w:r>
          </w:p>
        </w:tc>
        <w:tc>
          <w:tcPr>
            <w:tcW w:w="0" w:type="dxa"/>
            <w:vAlign w:val="bottom"/>
          </w:tcPr>
          <w:p>
            <w:pPr>
              <w:spacing w:after="0"/>
              <w:rPr>
                <w:sz w:val="1"/>
                <w:szCs w:val="1"/>
                <w:color w:val="auto"/>
              </w:rPr>
            </w:pPr>
          </w:p>
        </w:tc>
      </w:tr>
      <w:tr>
        <w:trPr>
          <w:trHeight w:val="159"/>
        </w:trPr>
        <w:tc>
          <w:tcPr>
            <w:tcW w:w="5420" w:type="dxa"/>
            <w:vAlign w:val="bottom"/>
          </w:tcPr>
          <w:p>
            <w:pPr>
              <w:ind w:left="80"/>
              <w:spacing w:after="0" w:line="159" w:lineRule="exact"/>
              <w:rPr>
                <w:sz w:val="20"/>
                <w:szCs w:val="20"/>
                <w:color w:val="auto"/>
              </w:rPr>
            </w:pPr>
            <w:r>
              <w:rPr>
                <w:rFonts w:ascii="Arial" w:cs="Arial" w:eastAsia="Arial" w:hAnsi="Arial"/>
                <w:sz w:val="14"/>
                <w:szCs w:val="14"/>
                <w:color w:val="auto"/>
              </w:rPr>
              <w:t>aggregate market value of 500 stocks representing all major industries.</w:t>
            </w:r>
          </w:p>
        </w:tc>
        <w:tc>
          <w:tcPr>
            <w:tcW w:w="220" w:type="dxa"/>
            <w:vAlign w:val="bottom"/>
          </w:tcPr>
          <w:p>
            <w:pPr>
              <w:spacing w:after="0"/>
              <w:rPr>
                <w:sz w:val="13"/>
                <w:szCs w:val="13"/>
                <w:color w:val="auto"/>
              </w:rPr>
            </w:pPr>
          </w:p>
        </w:tc>
        <w:tc>
          <w:tcPr>
            <w:tcW w:w="5560" w:type="dxa"/>
            <w:vAlign w:val="bottom"/>
          </w:tcPr>
          <w:p>
            <w:pPr>
              <w:ind w:left="80"/>
              <w:spacing w:after="0" w:line="159" w:lineRule="exact"/>
              <w:rPr>
                <w:sz w:val="20"/>
                <w:szCs w:val="20"/>
                <w:color w:val="auto"/>
              </w:rPr>
            </w:pPr>
            <w:r>
              <w:rPr>
                <w:rFonts w:ascii="Arial" w:cs="Arial" w:eastAsia="Arial" w:hAnsi="Arial"/>
                <w:sz w:val="14"/>
                <w:szCs w:val="14"/>
                <w:color w:val="auto"/>
              </w:rPr>
              <w:t>closing values below from Bloomberg L.P. (“Bloomberg”). We have not undertaken any</w:t>
            </w:r>
          </w:p>
        </w:tc>
        <w:tc>
          <w:tcPr>
            <w:tcW w:w="0" w:type="dxa"/>
            <w:vAlign w:val="bottom"/>
          </w:tcPr>
          <w:p>
            <w:pPr>
              <w:spacing w:after="0"/>
              <w:rPr>
                <w:sz w:val="1"/>
                <w:szCs w:val="1"/>
                <w:color w:val="auto"/>
              </w:rPr>
            </w:pPr>
          </w:p>
        </w:tc>
      </w:tr>
      <w:tr>
        <w:trPr>
          <w:trHeight w:val="159"/>
        </w:trPr>
        <w:tc>
          <w:tcPr>
            <w:tcW w:w="5420" w:type="dxa"/>
            <w:vAlign w:val="bottom"/>
          </w:tcPr>
          <w:p>
            <w:pPr>
              <w:ind w:left="80"/>
              <w:spacing w:after="0" w:line="159" w:lineRule="exact"/>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5560" w:type="dxa"/>
            <w:vAlign w:val="bottom"/>
          </w:tcPr>
          <w:p>
            <w:pPr>
              <w:ind w:left="80"/>
              <w:spacing w:after="0" w:line="159" w:lineRule="exact"/>
              <w:rPr>
                <w:sz w:val="20"/>
                <w:szCs w:val="20"/>
                <w:color w:val="auto"/>
              </w:rPr>
            </w:pPr>
            <w:r>
              <w:rPr>
                <w:rFonts w:ascii="Arial" w:cs="Arial" w:eastAsia="Arial" w:hAnsi="Arial"/>
                <w:sz w:val="14"/>
                <w:szCs w:val="14"/>
                <w:color w:val="auto"/>
              </w:rPr>
              <w:t>independent review of, or made any due diligence inquiry with respect to, the</w:t>
            </w:r>
          </w:p>
        </w:tc>
        <w:tc>
          <w:tcPr>
            <w:tcW w:w="0" w:type="dxa"/>
            <w:vAlign w:val="bottom"/>
          </w:tcPr>
          <w:p>
            <w:pPr>
              <w:spacing w:after="0"/>
              <w:rPr>
                <w:sz w:val="1"/>
                <w:szCs w:val="1"/>
                <w:color w:val="auto"/>
              </w:rPr>
            </w:pPr>
          </w:p>
        </w:tc>
      </w:tr>
      <w:tr>
        <w:trPr>
          <w:trHeight w:val="159"/>
        </w:trPr>
        <w:tc>
          <w:tcPr>
            <w:tcW w:w="542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3"/>
                <w:szCs w:val="13"/>
                <w:color w:val="auto"/>
              </w:rPr>
            </w:pPr>
          </w:p>
        </w:tc>
        <w:tc>
          <w:tcPr>
            <w:tcW w:w="5560" w:type="dxa"/>
            <w:vAlign w:val="bottom"/>
          </w:tcPr>
          <w:p>
            <w:pPr>
              <w:ind w:left="80"/>
              <w:spacing w:after="0" w:line="159" w:lineRule="exact"/>
              <w:rPr>
                <w:sz w:val="20"/>
                <w:szCs w:val="20"/>
                <w:color w:val="auto"/>
              </w:rPr>
            </w:pPr>
            <w:r>
              <w:rPr>
                <w:rFonts w:ascii="Arial" w:cs="Arial" w:eastAsia="Arial" w:hAnsi="Arial"/>
                <w:sz w:val="14"/>
                <w:szCs w:val="14"/>
                <w:color w:val="auto"/>
              </w:rPr>
              <w:t>information obtained from Bloomberg.</w:t>
            </w:r>
          </w:p>
        </w:tc>
        <w:tc>
          <w:tcPr>
            <w:tcW w:w="0" w:type="dxa"/>
            <w:vAlign w:val="bottom"/>
          </w:tcPr>
          <w:p>
            <w:pPr>
              <w:spacing w:after="0"/>
              <w:rPr>
                <w:sz w:val="1"/>
                <w:szCs w:val="1"/>
                <w:color w:val="auto"/>
              </w:rPr>
            </w:pPr>
          </w:p>
        </w:tc>
      </w:tr>
      <w:tr>
        <w:trPr>
          <w:trHeight w:val="159"/>
        </w:trPr>
        <w:tc>
          <w:tcPr>
            <w:tcW w:w="5420" w:type="dxa"/>
            <w:vAlign w:val="bottom"/>
          </w:tcPr>
          <w:p>
            <w:pPr>
              <w:ind w:left="80"/>
              <w:spacing w:after="0" w:line="159" w:lineRule="exact"/>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5560" w:type="dxa"/>
            <w:vAlign w:val="bottom"/>
          </w:tcPr>
          <w:p>
            <w:pPr>
              <w:ind w:left="80"/>
              <w:spacing w:after="0" w:line="15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9"/>
        </w:trPr>
        <w:tc>
          <w:tcPr>
            <w:tcW w:w="5420" w:type="dxa"/>
            <w:vAlign w:val="bottom"/>
          </w:tcPr>
          <w:p>
            <w:pPr>
              <w:ind w:left="80"/>
              <w:spacing w:after="0" w:line="159" w:lineRule="exact"/>
              <w:rPr>
                <w:sz w:val="20"/>
                <w:szCs w:val="20"/>
                <w:color w:val="auto"/>
              </w:rPr>
            </w:pPr>
            <w:r>
              <w:rPr>
                <w:rFonts w:ascii="Arial" w:cs="Arial" w:eastAsia="Arial" w:hAnsi="Arial"/>
                <w:sz w:val="14"/>
                <w:szCs w:val="14"/>
                <w:color w:val="auto"/>
              </w:rPr>
              <w:t>For more information about the SPX, see "Index Descriptions—The S&amp;P U.S.</w:t>
            </w:r>
          </w:p>
        </w:tc>
        <w:tc>
          <w:tcPr>
            <w:tcW w:w="2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20" w:type="dxa"/>
            <w:vAlign w:val="bottom"/>
          </w:tcPr>
          <w:p>
            <w:pPr>
              <w:ind w:left="80"/>
              <w:spacing w:after="0" w:line="159" w:lineRule="exact"/>
              <w:rPr>
                <w:sz w:val="20"/>
                <w:szCs w:val="20"/>
                <w:color w:val="auto"/>
              </w:rPr>
            </w:pPr>
            <w:r>
              <w:rPr>
                <w:rFonts w:ascii="Arial" w:cs="Arial" w:eastAsia="Arial" w:hAnsi="Arial"/>
                <w:sz w:val="14"/>
                <w:szCs w:val="14"/>
                <w:color w:val="auto"/>
              </w:rPr>
              <w:t>Indices" beginning on page S-42 of the accompanying underlying supplement.</w:t>
            </w:r>
          </w:p>
        </w:tc>
        <w:tc>
          <w:tcPr>
            <w:tcW w:w="2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420" w:type="dxa"/>
            <w:vAlign w:val="bottom"/>
          </w:tcPr>
          <w:p>
            <w:pPr>
              <w:ind w:left="8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5"/>
        </w:trPr>
        <w:tc>
          <w:tcPr>
            <w:tcW w:w="542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24"/>
                <w:szCs w:val="24"/>
                <w:color w:val="auto"/>
              </w:rPr>
            </w:pPr>
          </w:p>
        </w:tc>
        <w:tc>
          <w:tcPr>
            <w:tcW w:w="5560" w:type="dxa"/>
            <w:vAlign w:val="bottom"/>
          </w:tcPr>
          <w:p>
            <w:pPr>
              <w:ind w:left="800"/>
              <w:spacing w:after="0"/>
              <w:rPr>
                <w:sz w:val="20"/>
                <w:szCs w:val="20"/>
                <w:color w:val="auto"/>
              </w:rPr>
            </w:pPr>
            <w:r>
              <w:rPr>
                <w:rFonts w:ascii="Arial" w:cs="Arial" w:eastAsia="Arial" w:hAnsi="Arial"/>
                <w:sz w:val="14"/>
                <w:szCs w:val="14"/>
                <w:b w:val="1"/>
                <w:bCs w:val="1"/>
                <w:color w:val="C00000"/>
              </w:rPr>
              <w:t> </w:t>
            </w:r>
          </w:p>
        </w:tc>
        <w:tc>
          <w:tcPr>
            <w:tcW w:w="0" w:type="dxa"/>
            <w:vAlign w:val="bottom"/>
          </w:tcPr>
          <w:p>
            <w:pPr>
              <w:spacing w:after="0"/>
              <w:rPr>
                <w:sz w:val="1"/>
                <w:szCs w:val="1"/>
                <w:color w:val="auto"/>
              </w:rPr>
            </w:pPr>
          </w:p>
        </w:tc>
      </w:tr>
      <w:tr>
        <w:trPr>
          <w:trHeight w:val="139"/>
        </w:trPr>
        <w:tc>
          <w:tcPr>
            <w:tcW w:w="5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-1119505</wp:posOffset>
            </wp:positionV>
            <wp:extent cx="2558415" cy="9988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558415" cy="998855"/>
                    </a:xfrm>
                    <a:prstGeom prst="rect">
                      <a:avLst/>
                    </a:prstGeom>
                    <a:noFill/>
                  </pic:spPr>
                </pic:pic>
              </a:graphicData>
            </a:graphic>
          </wp:anchor>
        </w:drawing>
      </w:r>
    </w:p>
    <w:p>
      <w:pPr>
        <w:ind w:left="80"/>
        <w:spacing w:after="0" w:line="237" w:lineRule="auto"/>
        <w:rPr>
          <w:sz w:val="20"/>
          <w:szCs w:val="20"/>
          <w:color w:val="auto"/>
        </w:rPr>
      </w:pPr>
      <w:r>
        <w:rPr>
          <w:rFonts w:ascii="Arial" w:cs="Arial" w:eastAsia="Arial" w:hAnsi="Arial"/>
          <w:sz w:val="14"/>
          <w:szCs w:val="14"/>
          <w:color w:val="auto"/>
        </w:rPr>
        <w:t>The historical values of the SPX should not be taken as an indication of its future performance, and no assurance can be given as to the Closing Level of the SPX on any Trading</w:t>
      </w:r>
    </w:p>
    <w:tbl>
      <w:tblPr>
        <w:tblLayout w:type="fixed"/>
        <w:tblInd w:w="80" w:type="dxa"/>
        <w:tblCellMar>
          <w:top w:w="0" w:type="dxa"/>
          <w:left w:w="0" w:type="dxa"/>
          <w:bottom w:w="0" w:type="dxa"/>
          <w:right w:w="0" w:type="dxa"/>
        </w:tblCellMar>
      </w:tblPr>
      <w:tr>
        <w:trPr>
          <w:trHeight w:val="146"/>
        </w:trPr>
        <w:tc>
          <w:tcPr>
            <w:tcW w:w="5340" w:type="dxa"/>
            <w:vAlign w:val="bottom"/>
          </w:tcPr>
          <w:p>
            <w:pPr>
              <w:spacing w:after="0" w:line="146" w:lineRule="exact"/>
              <w:rPr>
                <w:sz w:val="20"/>
                <w:szCs w:val="20"/>
                <w:color w:val="auto"/>
              </w:rPr>
            </w:pPr>
            <w:r>
              <w:rPr>
                <w:rFonts w:ascii="Arial" w:cs="Arial" w:eastAsia="Arial" w:hAnsi="Arial"/>
                <w:sz w:val="14"/>
                <w:szCs w:val="14"/>
                <w:color w:val="auto"/>
              </w:rPr>
              <w:t>Day during the Observation Period, including the Final Valuation Date.</w:t>
            </w:r>
          </w:p>
        </w:tc>
        <w:tc>
          <w:tcPr>
            <w:tcW w:w="2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340" w:type="dxa"/>
            <w:vAlign w:val="bottom"/>
          </w:tcPr>
          <w:p>
            <w:pPr>
              <w:spacing w:after="0" w:line="159" w:lineRule="exact"/>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340" w:type="dxa"/>
            <w:vAlign w:val="bottom"/>
          </w:tcPr>
          <w:p>
            <w:pPr>
              <w:spacing w:after="0" w:line="159" w:lineRule="exact"/>
              <w:rPr>
                <w:sz w:val="20"/>
                <w:szCs w:val="20"/>
                <w:color w:val="auto"/>
              </w:rPr>
            </w:pPr>
            <w:r>
              <w:rPr>
                <w:rFonts w:ascii="Arial" w:cs="Arial" w:eastAsia="Arial" w:hAnsi="Arial"/>
                <w:sz w:val="14"/>
                <w:szCs w:val="14"/>
                <w:b w:val="1"/>
                <w:bCs w:val="1"/>
                <w:color w:val="auto"/>
              </w:rPr>
              <w:t>Description of the RTY</w:t>
            </w:r>
          </w:p>
        </w:tc>
        <w:tc>
          <w:tcPr>
            <w:tcW w:w="220" w:type="dxa"/>
            <w:vAlign w:val="bottom"/>
            <w:vMerge w:val="restart"/>
          </w:tcPr>
          <w:p>
            <w:pPr>
              <w:ind w:left="80"/>
              <w:spacing w:after="0"/>
              <w:rPr>
                <w:sz w:val="20"/>
                <w:szCs w:val="20"/>
                <w:color w:val="auto"/>
              </w:rPr>
            </w:pPr>
            <w:r>
              <w:rPr>
                <w:rFonts w:ascii="Arial" w:cs="Arial" w:eastAsia="Arial" w:hAnsi="Arial"/>
                <w:sz w:val="14"/>
                <w:szCs w:val="14"/>
                <w:b w:val="1"/>
                <w:bCs w:val="1"/>
                <w:color w:val="C00000"/>
              </w:rPr>
              <w:t> </w:t>
            </w:r>
          </w:p>
        </w:tc>
        <w:tc>
          <w:tcPr>
            <w:tcW w:w="55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Historical Performance of the RTY</w:t>
            </w:r>
          </w:p>
        </w:tc>
        <w:tc>
          <w:tcPr>
            <w:tcW w:w="0" w:type="dxa"/>
            <w:vAlign w:val="bottom"/>
          </w:tcPr>
          <w:p>
            <w:pPr>
              <w:spacing w:after="0"/>
              <w:rPr>
                <w:sz w:val="1"/>
                <w:szCs w:val="1"/>
                <w:color w:val="auto"/>
              </w:rPr>
            </w:pPr>
          </w:p>
        </w:tc>
      </w:tr>
      <w:tr>
        <w:trPr>
          <w:trHeight w:val="109"/>
        </w:trPr>
        <w:tc>
          <w:tcPr>
            <w:tcW w:w="5340" w:type="dxa"/>
            <w:vAlign w:val="bottom"/>
            <w:vMerge w:val="restart"/>
          </w:tcPr>
          <w:p>
            <w:pPr>
              <w:spacing w:after="0" w:line="159" w:lineRule="exact"/>
              <w:rPr>
                <w:sz w:val="20"/>
                <w:szCs w:val="20"/>
                <w:color w:val="auto"/>
              </w:rPr>
            </w:pPr>
            <w:r>
              <w:rPr>
                <w:rFonts w:ascii="Arial" w:cs="Arial" w:eastAsia="Arial" w:hAnsi="Arial"/>
                <w:sz w:val="14"/>
                <w:szCs w:val="14"/>
                <w:b w:val="1"/>
                <w:bCs w:val="1"/>
                <w:color w:val="auto"/>
              </w:rPr>
              <w:t> </w:t>
            </w:r>
          </w:p>
        </w:tc>
        <w:tc>
          <w:tcPr>
            <w:tcW w:w="220" w:type="dxa"/>
            <w:vAlign w:val="bottom"/>
            <w:vMerge w:val="continue"/>
          </w:tcPr>
          <w:p>
            <w:pPr>
              <w:spacing w:after="0"/>
              <w:rPr>
                <w:sz w:val="9"/>
                <w:szCs w:val="9"/>
                <w:color w:val="auto"/>
              </w:rPr>
            </w:pPr>
          </w:p>
        </w:tc>
        <w:tc>
          <w:tcPr>
            <w:tcW w:w="5560" w:type="dxa"/>
            <w:vAlign w:val="bottom"/>
            <w:vMerge w:val="restart"/>
          </w:tcPr>
          <w:p>
            <w:pPr>
              <w:ind w:left="80"/>
              <w:spacing w:after="0" w:line="15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50"/>
        </w:trPr>
        <w:tc>
          <w:tcPr>
            <w:tcW w:w="53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340" w:type="dxa"/>
            <w:vAlign w:val="bottom"/>
          </w:tcPr>
          <w:p>
            <w:pPr>
              <w:spacing w:after="0" w:line="159" w:lineRule="exact"/>
              <w:rPr>
                <w:sz w:val="20"/>
                <w:szCs w:val="20"/>
                <w:color w:val="auto"/>
              </w:rPr>
            </w:pPr>
            <w:r>
              <w:rPr>
                <w:rFonts w:ascii="Arial" w:cs="Arial" w:eastAsia="Arial" w:hAnsi="Arial"/>
                <w:sz w:val="14"/>
                <w:szCs w:val="14"/>
                <w:color w:val="auto"/>
              </w:rPr>
              <w:t>The RTY is designed to track the performance of the small capitalization segment of</w:t>
            </w:r>
          </w:p>
        </w:tc>
        <w:tc>
          <w:tcPr>
            <w:tcW w:w="220" w:type="dxa"/>
            <w:vAlign w:val="bottom"/>
          </w:tcPr>
          <w:p>
            <w:pPr>
              <w:spacing w:after="0"/>
              <w:rPr>
                <w:sz w:val="13"/>
                <w:szCs w:val="13"/>
                <w:color w:val="auto"/>
              </w:rPr>
            </w:pPr>
          </w:p>
        </w:tc>
        <w:tc>
          <w:tcPr>
            <w:tcW w:w="5560" w:type="dxa"/>
            <w:vAlign w:val="bottom"/>
          </w:tcPr>
          <w:p>
            <w:pPr>
              <w:ind w:left="80"/>
              <w:spacing w:after="0" w:line="159" w:lineRule="exact"/>
              <w:rPr>
                <w:sz w:val="20"/>
                <w:szCs w:val="20"/>
                <w:color w:val="auto"/>
              </w:rPr>
            </w:pPr>
            <w:r>
              <w:rPr>
                <w:rFonts w:ascii="Arial" w:cs="Arial" w:eastAsia="Arial" w:hAnsi="Arial"/>
                <w:sz w:val="14"/>
                <w:szCs w:val="14"/>
                <w:color w:val="auto"/>
              </w:rPr>
              <w:t>The following graph sets forth the historical performance of the RTY based on the daily</w:t>
            </w:r>
          </w:p>
        </w:tc>
        <w:tc>
          <w:tcPr>
            <w:tcW w:w="0" w:type="dxa"/>
            <w:vAlign w:val="bottom"/>
          </w:tcPr>
          <w:p>
            <w:pPr>
              <w:spacing w:after="0"/>
              <w:rPr>
                <w:sz w:val="1"/>
                <w:szCs w:val="1"/>
                <w:color w:val="auto"/>
              </w:rPr>
            </w:pPr>
          </w:p>
        </w:tc>
      </w:tr>
      <w:tr>
        <w:trPr>
          <w:trHeight w:val="159"/>
        </w:trPr>
        <w:tc>
          <w:tcPr>
            <w:tcW w:w="5340" w:type="dxa"/>
            <w:vAlign w:val="bottom"/>
          </w:tcPr>
          <w:p>
            <w:pPr>
              <w:spacing w:after="0" w:line="159" w:lineRule="exact"/>
              <w:rPr>
                <w:sz w:val="20"/>
                <w:szCs w:val="20"/>
                <w:color w:val="auto"/>
              </w:rPr>
            </w:pPr>
            <w:r>
              <w:rPr>
                <w:rFonts w:ascii="Arial" w:cs="Arial" w:eastAsia="Arial" w:hAnsi="Arial"/>
                <w:sz w:val="14"/>
                <w:szCs w:val="14"/>
                <w:color w:val="auto"/>
              </w:rPr>
              <w:t>the U.S. equity market. The RTY consists of the smallest 2,000 companies included</w:t>
            </w:r>
          </w:p>
        </w:tc>
        <w:tc>
          <w:tcPr>
            <w:tcW w:w="220" w:type="dxa"/>
            <w:vAlign w:val="bottom"/>
          </w:tcPr>
          <w:p>
            <w:pPr>
              <w:spacing w:after="0"/>
              <w:rPr>
                <w:sz w:val="13"/>
                <w:szCs w:val="13"/>
                <w:color w:val="auto"/>
              </w:rPr>
            </w:pPr>
          </w:p>
        </w:tc>
        <w:tc>
          <w:tcPr>
            <w:tcW w:w="5560" w:type="dxa"/>
            <w:vAlign w:val="bottom"/>
          </w:tcPr>
          <w:p>
            <w:pPr>
              <w:ind w:left="80"/>
              <w:spacing w:after="0" w:line="159" w:lineRule="exact"/>
              <w:rPr>
                <w:sz w:val="20"/>
                <w:szCs w:val="20"/>
                <w:color w:val="auto"/>
              </w:rPr>
            </w:pPr>
            <w:r>
              <w:rPr>
                <w:rFonts w:ascii="Arial" w:cs="Arial" w:eastAsia="Arial" w:hAnsi="Arial"/>
                <w:sz w:val="14"/>
                <w:szCs w:val="14"/>
                <w:color w:val="auto"/>
              </w:rPr>
              <w:t>historical closing values from June 18, 2021 through June 18, 2026. We obtained the</w:t>
            </w:r>
          </w:p>
        </w:tc>
        <w:tc>
          <w:tcPr>
            <w:tcW w:w="0" w:type="dxa"/>
            <w:vAlign w:val="bottom"/>
          </w:tcPr>
          <w:p>
            <w:pPr>
              <w:spacing w:after="0"/>
              <w:rPr>
                <w:sz w:val="1"/>
                <w:szCs w:val="1"/>
                <w:color w:val="auto"/>
              </w:rPr>
            </w:pPr>
          </w:p>
        </w:tc>
      </w:tr>
      <w:tr>
        <w:trPr>
          <w:trHeight w:val="174"/>
        </w:trPr>
        <w:tc>
          <w:tcPr>
            <w:tcW w:w="5340" w:type="dxa"/>
            <w:vAlign w:val="bottom"/>
          </w:tcPr>
          <w:p>
            <w:pPr>
              <w:spacing w:after="0" w:line="174" w:lineRule="exact"/>
              <w:rPr>
                <w:sz w:val="20"/>
                <w:szCs w:val="20"/>
                <w:color w:val="auto"/>
              </w:rPr>
            </w:pPr>
            <w:r>
              <w:rPr>
                <w:rFonts w:ascii="Arial" w:cs="Arial" w:eastAsia="Arial" w:hAnsi="Arial"/>
                <w:sz w:val="13"/>
                <w:szCs w:val="13"/>
                <w:color w:val="auto"/>
              </w:rPr>
              <w:t>in the Russell 3000</w:t>
            </w:r>
            <w:r>
              <w:rPr>
                <w:rFonts w:ascii="Arial" w:cs="Arial" w:eastAsia="Arial" w:hAnsi="Arial"/>
                <w:sz w:val="20"/>
                <w:szCs w:val="20"/>
                <w:color w:val="auto"/>
                <w:vertAlign w:val="superscript"/>
              </w:rPr>
              <w:t>®</w:t>
            </w:r>
            <w:r>
              <w:rPr>
                <w:rFonts w:ascii="Arial" w:cs="Arial" w:eastAsia="Arial" w:hAnsi="Arial"/>
                <w:sz w:val="13"/>
                <w:szCs w:val="13"/>
                <w:color w:val="auto"/>
              </w:rPr>
              <w:t xml:space="preserve"> Index, which represents approximately 98% of the U.S. equity</w:t>
            </w:r>
          </w:p>
        </w:tc>
        <w:tc>
          <w:tcPr>
            <w:tcW w:w="220" w:type="dxa"/>
            <w:vAlign w:val="bottom"/>
          </w:tcPr>
          <w:p>
            <w:pPr>
              <w:spacing w:after="0"/>
              <w:rPr>
                <w:sz w:val="15"/>
                <w:szCs w:val="15"/>
                <w:color w:val="auto"/>
              </w:rPr>
            </w:pPr>
          </w:p>
        </w:tc>
        <w:tc>
          <w:tcPr>
            <w:tcW w:w="5560" w:type="dxa"/>
            <w:vAlign w:val="bottom"/>
          </w:tcPr>
          <w:p>
            <w:pPr>
              <w:ind w:left="80"/>
              <w:spacing w:after="0"/>
              <w:rPr>
                <w:sz w:val="20"/>
                <w:szCs w:val="20"/>
                <w:color w:val="auto"/>
              </w:rPr>
            </w:pPr>
            <w:r>
              <w:rPr>
                <w:rFonts w:ascii="Arial" w:cs="Arial" w:eastAsia="Arial" w:hAnsi="Arial"/>
                <w:sz w:val="14"/>
                <w:szCs w:val="14"/>
                <w:color w:val="auto"/>
              </w:rPr>
              <w:t>closing values below from Bloomberg. We have not undertaken any independent</w:t>
            </w:r>
          </w:p>
        </w:tc>
        <w:tc>
          <w:tcPr>
            <w:tcW w:w="0" w:type="dxa"/>
            <w:vAlign w:val="bottom"/>
          </w:tcPr>
          <w:p>
            <w:pPr>
              <w:spacing w:after="0"/>
              <w:rPr>
                <w:sz w:val="1"/>
                <w:szCs w:val="1"/>
                <w:color w:val="auto"/>
              </w:rPr>
            </w:pPr>
          </w:p>
        </w:tc>
      </w:tr>
      <w:tr>
        <w:trPr>
          <w:trHeight w:val="159"/>
        </w:trPr>
        <w:tc>
          <w:tcPr>
            <w:tcW w:w="5340" w:type="dxa"/>
            <w:vAlign w:val="bottom"/>
          </w:tcPr>
          <w:p>
            <w:pPr>
              <w:spacing w:after="0" w:line="159" w:lineRule="exact"/>
              <w:rPr>
                <w:sz w:val="20"/>
                <w:szCs w:val="20"/>
                <w:color w:val="auto"/>
              </w:rPr>
            </w:pPr>
            <w:r>
              <w:rPr>
                <w:rFonts w:ascii="Arial" w:cs="Arial" w:eastAsia="Arial" w:hAnsi="Arial"/>
                <w:sz w:val="14"/>
                <w:szCs w:val="14"/>
                <w:color w:val="auto"/>
              </w:rPr>
              <w:t>market.</w:t>
            </w:r>
          </w:p>
        </w:tc>
        <w:tc>
          <w:tcPr>
            <w:tcW w:w="220" w:type="dxa"/>
            <w:vAlign w:val="bottom"/>
          </w:tcPr>
          <w:p>
            <w:pPr>
              <w:spacing w:after="0"/>
              <w:rPr>
                <w:sz w:val="13"/>
                <w:szCs w:val="13"/>
                <w:color w:val="auto"/>
              </w:rPr>
            </w:pPr>
          </w:p>
        </w:tc>
        <w:tc>
          <w:tcPr>
            <w:tcW w:w="5560" w:type="dxa"/>
            <w:vAlign w:val="bottom"/>
          </w:tcPr>
          <w:p>
            <w:pPr>
              <w:ind w:left="80"/>
              <w:spacing w:after="0" w:line="159" w:lineRule="exact"/>
              <w:rPr>
                <w:sz w:val="20"/>
                <w:szCs w:val="20"/>
                <w:color w:val="auto"/>
              </w:rPr>
            </w:pPr>
            <w:r>
              <w:rPr>
                <w:rFonts w:ascii="Arial" w:cs="Arial" w:eastAsia="Arial" w:hAnsi="Arial"/>
                <w:sz w:val="14"/>
                <w:szCs w:val="14"/>
                <w:color w:val="auto"/>
              </w:rPr>
              <w:t>review of, or made any due diligence inquiry with respect to, the information obtained</w:t>
            </w:r>
          </w:p>
        </w:tc>
        <w:tc>
          <w:tcPr>
            <w:tcW w:w="0" w:type="dxa"/>
            <w:vAlign w:val="bottom"/>
          </w:tcPr>
          <w:p>
            <w:pPr>
              <w:spacing w:after="0"/>
              <w:rPr>
                <w:sz w:val="1"/>
                <w:szCs w:val="1"/>
                <w:color w:val="auto"/>
              </w:rPr>
            </w:pPr>
          </w:p>
        </w:tc>
      </w:tr>
      <w:tr>
        <w:trPr>
          <w:trHeight w:val="159"/>
        </w:trPr>
        <w:tc>
          <w:tcPr>
            <w:tcW w:w="5340" w:type="dxa"/>
            <w:vAlign w:val="bottom"/>
          </w:tcPr>
          <w:p>
            <w:pPr>
              <w:spacing w:after="0" w:line="159" w:lineRule="exact"/>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5560" w:type="dxa"/>
            <w:vAlign w:val="bottom"/>
          </w:tcPr>
          <w:p>
            <w:pPr>
              <w:ind w:left="80"/>
              <w:spacing w:after="0" w:line="159" w:lineRule="exact"/>
              <w:rPr>
                <w:sz w:val="20"/>
                <w:szCs w:val="20"/>
                <w:color w:val="auto"/>
              </w:rPr>
            </w:pPr>
            <w:r>
              <w:rPr>
                <w:rFonts w:ascii="Arial" w:cs="Arial" w:eastAsia="Arial" w:hAnsi="Arial"/>
                <w:sz w:val="14"/>
                <w:szCs w:val="14"/>
                <w:color w:val="auto"/>
              </w:rPr>
              <w:t>from Bloomberg.</w:t>
            </w:r>
          </w:p>
        </w:tc>
        <w:tc>
          <w:tcPr>
            <w:tcW w:w="0" w:type="dxa"/>
            <w:vAlign w:val="bottom"/>
          </w:tcPr>
          <w:p>
            <w:pPr>
              <w:spacing w:after="0"/>
              <w:rPr>
                <w:sz w:val="1"/>
                <w:szCs w:val="1"/>
                <w:color w:val="auto"/>
              </w:rPr>
            </w:pPr>
          </w:p>
        </w:tc>
      </w:tr>
      <w:tr>
        <w:trPr>
          <w:trHeight w:val="177"/>
        </w:trPr>
        <w:tc>
          <w:tcPr>
            <w:tcW w:w="5340" w:type="dxa"/>
            <w:vAlign w:val="bottom"/>
          </w:tcPr>
          <w:p>
            <w:pPr>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5"/>
                <w:szCs w:val="15"/>
                <w:color w:val="auto"/>
              </w:rPr>
            </w:pPr>
          </w:p>
        </w:tc>
        <w:tc>
          <w:tcPr>
            <w:tcW w:w="5560" w:type="dxa"/>
            <w:vAlign w:val="bottom"/>
          </w:tcPr>
          <w:p>
            <w:pPr>
              <w:ind w:left="8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9"/>
        </w:trPr>
        <w:tc>
          <w:tcPr>
            <w:tcW w:w="5340" w:type="dxa"/>
            <w:vAlign w:val="bottom"/>
          </w:tcPr>
          <w:p>
            <w:pPr>
              <w:spacing w:after="0" w:line="159" w:lineRule="exact"/>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340" w:type="dxa"/>
            <w:vAlign w:val="bottom"/>
          </w:tcPr>
          <w:p>
            <w:pPr>
              <w:spacing w:after="0" w:line="159" w:lineRule="exact"/>
              <w:rPr>
                <w:sz w:val="20"/>
                <w:szCs w:val="20"/>
                <w:color w:val="auto"/>
              </w:rPr>
            </w:pPr>
            <w:r>
              <w:rPr>
                <w:rFonts w:ascii="Arial" w:cs="Arial" w:eastAsia="Arial" w:hAnsi="Arial"/>
                <w:sz w:val="14"/>
                <w:szCs w:val="14"/>
                <w:color w:val="auto"/>
              </w:rPr>
              <w:t>For more information about the RTY, see " Index Descriptions—The Russell</w:t>
            </w:r>
          </w:p>
        </w:tc>
        <w:tc>
          <w:tcPr>
            <w:tcW w:w="2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340" w:type="dxa"/>
            <w:vAlign w:val="bottom"/>
          </w:tcPr>
          <w:p>
            <w:pPr>
              <w:spacing w:after="0" w:line="159" w:lineRule="exact"/>
              <w:rPr>
                <w:sz w:val="20"/>
                <w:szCs w:val="20"/>
                <w:color w:val="auto"/>
              </w:rPr>
            </w:pPr>
            <w:r>
              <w:rPr>
                <w:rFonts w:ascii="Arial" w:cs="Arial" w:eastAsia="Arial" w:hAnsi="Arial"/>
                <w:sz w:val="14"/>
                <w:szCs w:val="14"/>
                <w:color w:val="auto"/>
              </w:rPr>
              <w:t>Indices" beginning on page S-30 of the accompanying underlying supplement.</w:t>
            </w:r>
          </w:p>
        </w:tc>
        <w:tc>
          <w:tcPr>
            <w:tcW w:w="2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3"/>
        </w:trPr>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60" w:type="dxa"/>
            <w:vAlign w:val="bottom"/>
          </w:tcPr>
          <w:p>
            <w:pPr>
              <w:ind w:left="800"/>
              <w:spacing w:after="0"/>
              <w:rPr>
                <w:sz w:val="20"/>
                <w:szCs w:val="20"/>
                <w:color w:val="auto"/>
              </w:rPr>
            </w:pPr>
            <w:r>
              <w:rPr>
                <w:rFonts w:ascii="Arial" w:cs="Arial" w:eastAsia="Arial" w:hAnsi="Arial"/>
                <w:sz w:val="14"/>
                <w:szCs w:val="14"/>
                <w:b w:val="1"/>
                <w:bCs w:val="1"/>
                <w:color w:val="C00000"/>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-1017905</wp:posOffset>
            </wp:positionV>
            <wp:extent cx="2564765" cy="998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564765" cy="998855"/>
                    </a:xfrm>
                    <a:prstGeom prst="rect">
                      <a:avLst/>
                    </a:prstGeom>
                    <a:noFill/>
                  </pic:spPr>
                </pic:pic>
              </a:graphicData>
            </a:graphic>
          </wp:anchor>
        </w:drawing>
      </w:r>
    </w:p>
    <w:p>
      <w:pPr>
        <w:ind w:left="80"/>
        <w:spacing w:after="0" w:line="237" w:lineRule="auto"/>
        <w:rPr>
          <w:sz w:val="20"/>
          <w:szCs w:val="20"/>
          <w:color w:val="auto"/>
        </w:rPr>
      </w:pPr>
      <w:r>
        <w:rPr>
          <w:rFonts w:ascii="Arial" w:cs="Arial" w:eastAsia="Arial" w:hAnsi="Arial"/>
          <w:sz w:val="14"/>
          <w:szCs w:val="14"/>
          <w:color w:val="auto"/>
        </w:rPr>
        <w:t> </w:t>
      </w:r>
    </w:p>
    <w:p>
      <w:pPr>
        <w:jc w:val="both"/>
        <w:ind w:left="80"/>
        <w:spacing w:after="0" w:line="237" w:lineRule="auto"/>
        <w:rPr>
          <w:sz w:val="20"/>
          <w:szCs w:val="20"/>
          <w:color w:val="auto"/>
        </w:rPr>
      </w:pPr>
      <w:r>
        <w:rPr>
          <w:rFonts w:ascii="Arial" w:cs="Arial" w:eastAsia="Arial" w:hAnsi="Arial"/>
          <w:sz w:val="14"/>
          <w:szCs w:val="14"/>
          <w:color w:val="auto"/>
        </w:rPr>
        <w:t>The historical values of the RTY should not be taken as an indication of its future performance, and no assurance can be given as to the Closing Level of the RTY on any Trading Day during the Observation Period, including the Final Valuation Date.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PS-12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00"/>
          </w:cols>
          <w:pgMar w:left="300" w:top="204"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6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Description of the NDX</w:t>
            </w:r>
          </w:p>
        </w:tc>
        <w:tc>
          <w:tcPr>
            <w:tcW w:w="220" w:type="dxa"/>
            <w:vAlign w:val="bottom"/>
            <w:vMerge w:val="restart"/>
          </w:tcPr>
          <w:p>
            <w:pPr>
              <w:ind w:left="80"/>
              <w:spacing w:after="0"/>
              <w:rPr>
                <w:sz w:val="20"/>
                <w:szCs w:val="20"/>
                <w:color w:val="auto"/>
              </w:rPr>
            </w:pPr>
            <w:r>
              <w:rPr>
                <w:rFonts w:ascii="Arial" w:cs="Arial" w:eastAsia="Arial" w:hAnsi="Arial"/>
                <w:sz w:val="14"/>
                <w:szCs w:val="14"/>
                <w:b w:val="1"/>
                <w:bCs w:val="1"/>
                <w:color w:val="C00000"/>
              </w:rPr>
              <w:t> </w:t>
            </w:r>
          </w:p>
        </w:tc>
        <w:tc>
          <w:tcPr>
            <w:tcW w:w="53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Historical Performance of the NDX</w:t>
            </w:r>
          </w:p>
        </w:tc>
        <w:tc>
          <w:tcPr>
            <w:tcW w:w="0" w:type="dxa"/>
            <w:vAlign w:val="bottom"/>
          </w:tcPr>
          <w:p>
            <w:pPr>
              <w:spacing w:after="0"/>
              <w:rPr>
                <w:sz w:val="1"/>
                <w:szCs w:val="1"/>
                <w:color w:val="auto"/>
              </w:rPr>
            </w:pPr>
          </w:p>
        </w:tc>
      </w:tr>
      <w:tr>
        <w:trPr>
          <w:trHeight w:val="109"/>
        </w:trPr>
        <w:tc>
          <w:tcPr>
            <w:tcW w:w="564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 </w:t>
            </w:r>
          </w:p>
        </w:tc>
        <w:tc>
          <w:tcPr>
            <w:tcW w:w="220" w:type="dxa"/>
            <w:vAlign w:val="bottom"/>
            <w:vMerge w:val="continue"/>
          </w:tcPr>
          <w:p>
            <w:pPr>
              <w:spacing w:after="0"/>
              <w:rPr>
                <w:sz w:val="9"/>
                <w:szCs w:val="9"/>
                <w:color w:val="auto"/>
              </w:rPr>
            </w:pPr>
          </w:p>
        </w:tc>
        <w:tc>
          <w:tcPr>
            <w:tcW w:w="5340" w:type="dxa"/>
            <w:vAlign w:val="bottom"/>
            <w:vMerge w:val="restart"/>
          </w:tcPr>
          <w:p>
            <w:pPr>
              <w:ind w:left="80"/>
              <w:spacing w:after="0" w:line="15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50"/>
        </w:trPr>
        <w:tc>
          <w:tcPr>
            <w:tcW w:w="56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640" w:type="dxa"/>
            <w:vAlign w:val="bottom"/>
          </w:tcPr>
          <w:p>
            <w:pPr>
              <w:ind w:left="80"/>
              <w:spacing w:after="0" w:line="159" w:lineRule="exact"/>
              <w:rPr>
                <w:sz w:val="20"/>
                <w:szCs w:val="20"/>
                <w:color w:val="auto"/>
              </w:rPr>
            </w:pPr>
            <w:r>
              <w:rPr>
                <w:rFonts w:ascii="Arial" w:cs="Arial" w:eastAsia="Arial" w:hAnsi="Arial"/>
                <w:sz w:val="14"/>
                <w:szCs w:val="14"/>
                <w:color w:val="auto"/>
              </w:rPr>
              <w:t>The NDX is a modified market capitalization-weighted index of 100 of the largest</w:t>
            </w:r>
          </w:p>
        </w:tc>
        <w:tc>
          <w:tcPr>
            <w:tcW w:w="220" w:type="dxa"/>
            <w:vAlign w:val="bottom"/>
          </w:tcPr>
          <w:p>
            <w:pPr>
              <w:spacing w:after="0"/>
              <w:rPr>
                <w:sz w:val="13"/>
                <w:szCs w:val="13"/>
                <w:color w:val="auto"/>
              </w:rPr>
            </w:pPr>
          </w:p>
        </w:tc>
        <w:tc>
          <w:tcPr>
            <w:tcW w:w="5340" w:type="dxa"/>
            <w:vAlign w:val="bottom"/>
          </w:tcPr>
          <w:p>
            <w:pPr>
              <w:ind w:left="80"/>
              <w:spacing w:after="0" w:line="159" w:lineRule="exact"/>
              <w:rPr>
                <w:sz w:val="20"/>
                <w:szCs w:val="20"/>
                <w:color w:val="auto"/>
              </w:rPr>
            </w:pPr>
            <w:r>
              <w:rPr>
                <w:rFonts w:ascii="Arial" w:cs="Arial" w:eastAsia="Arial" w:hAnsi="Arial"/>
                <w:sz w:val="14"/>
                <w:szCs w:val="14"/>
                <w:color w:val="auto"/>
              </w:rPr>
              <w:t>The following graph sets forth the historical performance of the NDX based on the</w:t>
            </w:r>
          </w:p>
        </w:tc>
        <w:tc>
          <w:tcPr>
            <w:tcW w:w="0" w:type="dxa"/>
            <w:vAlign w:val="bottom"/>
          </w:tcPr>
          <w:p>
            <w:pPr>
              <w:spacing w:after="0"/>
              <w:rPr>
                <w:sz w:val="1"/>
                <w:szCs w:val="1"/>
                <w:color w:val="auto"/>
              </w:rPr>
            </w:pPr>
          </w:p>
        </w:tc>
      </w:tr>
      <w:tr>
        <w:trPr>
          <w:trHeight w:val="159"/>
        </w:trPr>
        <w:tc>
          <w:tcPr>
            <w:tcW w:w="5640" w:type="dxa"/>
            <w:vAlign w:val="bottom"/>
          </w:tcPr>
          <w:p>
            <w:pPr>
              <w:ind w:left="80"/>
              <w:spacing w:after="0" w:line="159" w:lineRule="exact"/>
              <w:rPr>
                <w:sz w:val="20"/>
                <w:szCs w:val="20"/>
                <w:color w:val="auto"/>
              </w:rPr>
            </w:pPr>
            <w:r>
              <w:rPr>
                <w:rFonts w:ascii="Arial" w:cs="Arial" w:eastAsia="Arial" w:hAnsi="Arial"/>
                <w:sz w:val="14"/>
                <w:szCs w:val="14"/>
                <w:color w:val="auto"/>
              </w:rPr>
              <w:t>domestic and international non-financial companies listed on The Nasdaq Stock Market</w:t>
            </w:r>
          </w:p>
        </w:tc>
        <w:tc>
          <w:tcPr>
            <w:tcW w:w="220" w:type="dxa"/>
            <w:vAlign w:val="bottom"/>
          </w:tcPr>
          <w:p>
            <w:pPr>
              <w:spacing w:after="0"/>
              <w:rPr>
                <w:sz w:val="13"/>
                <w:szCs w:val="13"/>
                <w:color w:val="auto"/>
              </w:rPr>
            </w:pPr>
          </w:p>
        </w:tc>
        <w:tc>
          <w:tcPr>
            <w:tcW w:w="5340" w:type="dxa"/>
            <w:vAlign w:val="bottom"/>
          </w:tcPr>
          <w:p>
            <w:pPr>
              <w:ind w:left="80"/>
              <w:spacing w:after="0" w:line="159" w:lineRule="exact"/>
              <w:rPr>
                <w:sz w:val="20"/>
                <w:szCs w:val="20"/>
                <w:color w:val="auto"/>
              </w:rPr>
            </w:pPr>
            <w:r>
              <w:rPr>
                <w:rFonts w:ascii="Arial" w:cs="Arial" w:eastAsia="Arial" w:hAnsi="Arial"/>
                <w:sz w:val="14"/>
                <w:szCs w:val="14"/>
                <w:color w:val="auto"/>
              </w:rPr>
              <w:t>daily historical closing values from June 18, 2021 through June 18, 2026. We</w:t>
            </w:r>
          </w:p>
        </w:tc>
        <w:tc>
          <w:tcPr>
            <w:tcW w:w="0" w:type="dxa"/>
            <w:vAlign w:val="bottom"/>
          </w:tcPr>
          <w:p>
            <w:pPr>
              <w:spacing w:after="0"/>
              <w:rPr>
                <w:sz w:val="1"/>
                <w:szCs w:val="1"/>
                <w:color w:val="auto"/>
              </w:rPr>
            </w:pPr>
          </w:p>
        </w:tc>
      </w:tr>
      <w:tr>
        <w:trPr>
          <w:trHeight w:val="159"/>
        </w:trPr>
        <w:tc>
          <w:tcPr>
            <w:tcW w:w="5640" w:type="dxa"/>
            <w:vAlign w:val="bottom"/>
          </w:tcPr>
          <w:p>
            <w:pPr>
              <w:ind w:left="80"/>
              <w:spacing w:after="0" w:line="159" w:lineRule="exact"/>
              <w:rPr>
                <w:sz w:val="20"/>
                <w:szCs w:val="20"/>
                <w:color w:val="auto"/>
              </w:rPr>
            </w:pPr>
            <w:r>
              <w:rPr>
                <w:rFonts w:ascii="Arial" w:cs="Arial" w:eastAsia="Arial" w:hAnsi="Arial"/>
                <w:sz w:val="14"/>
                <w:szCs w:val="14"/>
                <w:color w:val="auto"/>
              </w:rPr>
              <w:t>based on market capitalization. It does not contain securities of financial companies,</w:t>
            </w:r>
          </w:p>
        </w:tc>
        <w:tc>
          <w:tcPr>
            <w:tcW w:w="220" w:type="dxa"/>
            <w:vAlign w:val="bottom"/>
          </w:tcPr>
          <w:p>
            <w:pPr>
              <w:spacing w:after="0"/>
              <w:rPr>
                <w:sz w:val="13"/>
                <w:szCs w:val="13"/>
                <w:color w:val="auto"/>
              </w:rPr>
            </w:pPr>
          </w:p>
        </w:tc>
        <w:tc>
          <w:tcPr>
            <w:tcW w:w="5340" w:type="dxa"/>
            <w:vAlign w:val="bottom"/>
          </w:tcPr>
          <w:p>
            <w:pPr>
              <w:ind w:left="80"/>
              <w:spacing w:after="0" w:line="159" w:lineRule="exact"/>
              <w:rPr>
                <w:sz w:val="20"/>
                <w:szCs w:val="20"/>
                <w:color w:val="auto"/>
              </w:rPr>
            </w:pPr>
            <w:r>
              <w:rPr>
                <w:rFonts w:ascii="Arial" w:cs="Arial" w:eastAsia="Arial" w:hAnsi="Arial"/>
                <w:sz w:val="14"/>
                <w:szCs w:val="14"/>
                <w:color w:val="auto"/>
              </w:rPr>
              <w:t>obtained the closing values below from Bloomberg. We have not undertaken any</w:t>
            </w:r>
          </w:p>
        </w:tc>
        <w:tc>
          <w:tcPr>
            <w:tcW w:w="0" w:type="dxa"/>
            <w:vAlign w:val="bottom"/>
          </w:tcPr>
          <w:p>
            <w:pPr>
              <w:spacing w:after="0"/>
              <w:rPr>
                <w:sz w:val="1"/>
                <w:szCs w:val="1"/>
                <w:color w:val="auto"/>
              </w:rPr>
            </w:pPr>
          </w:p>
        </w:tc>
      </w:tr>
      <w:tr>
        <w:trPr>
          <w:trHeight w:val="159"/>
        </w:trPr>
        <w:tc>
          <w:tcPr>
            <w:tcW w:w="5640" w:type="dxa"/>
            <w:vAlign w:val="bottom"/>
          </w:tcPr>
          <w:p>
            <w:pPr>
              <w:ind w:left="80"/>
              <w:spacing w:after="0" w:line="159" w:lineRule="exact"/>
              <w:rPr>
                <w:sz w:val="20"/>
                <w:szCs w:val="20"/>
                <w:color w:val="auto"/>
              </w:rPr>
            </w:pPr>
            <w:r>
              <w:rPr>
                <w:rFonts w:ascii="Arial" w:cs="Arial" w:eastAsia="Arial" w:hAnsi="Arial"/>
                <w:sz w:val="14"/>
                <w:szCs w:val="14"/>
                <w:color w:val="auto"/>
              </w:rPr>
              <w:t>including investment companies.</w:t>
            </w:r>
          </w:p>
        </w:tc>
        <w:tc>
          <w:tcPr>
            <w:tcW w:w="220" w:type="dxa"/>
            <w:vAlign w:val="bottom"/>
          </w:tcPr>
          <w:p>
            <w:pPr>
              <w:spacing w:after="0"/>
              <w:rPr>
                <w:sz w:val="13"/>
                <w:szCs w:val="13"/>
                <w:color w:val="auto"/>
              </w:rPr>
            </w:pPr>
          </w:p>
        </w:tc>
        <w:tc>
          <w:tcPr>
            <w:tcW w:w="5340" w:type="dxa"/>
            <w:vAlign w:val="bottom"/>
          </w:tcPr>
          <w:p>
            <w:pPr>
              <w:ind w:left="80"/>
              <w:spacing w:after="0" w:line="159" w:lineRule="exact"/>
              <w:rPr>
                <w:sz w:val="20"/>
                <w:szCs w:val="20"/>
                <w:color w:val="auto"/>
              </w:rPr>
            </w:pPr>
            <w:r>
              <w:rPr>
                <w:rFonts w:ascii="Arial" w:cs="Arial" w:eastAsia="Arial" w:hAnsi="Arial"/>
                <w:sz w:val="14"/>
                <w:szCs w:val="14"/>
                <w:color w:val="auto"/>
              </w:rPr>
              <w:t>independent review of, or made any due diligence inquiry with respect to, the</w:t>
            </w:r>
          </w:p>
        </w:tc>
        <w:tc>
          <w:tcPr>
            <w:tcW w:w="0" w:type="dxa"/>
            <w:vAlign w:val="bottom"/>
          </w:tcPr>
          <w:p>
            <w:pPr>
              <w:spacing w:after="0"/>
              <w:rPr>
                <w:sz w:val="1"/>
                <w:szCs w:val="1"/>
                <w:color w:val="auto"/>
              </w:rPr>
            </w:pPr>
          </w:p>
        </w:tc>
      </w:tr>
      <w:tr>
        <w:trPr>
          <w:trHeight w:val="159"/>
        </w:trPr>
        <w:tc>
          <w:tcPr>
            <w:tcW w:w="5640" w:type="dxa"/>
            <w:vAlign w:val="bottom"/>
          </w:tcPr>
          <w:p>
            <w:pPr>
              <w:ind w:left="80"/>
              <w:spacing w:after="0" w:line="159" w:lineRule="exact"/>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5340" w:type="dxa"/>
            <w:vAlign w:val="bottom"/>
          </w:tcPr>
          <w:p>
            <w:pPr>
              <w:ind w:left="80"/>
              <w:spacing w:after="0" w:line="159" w:lineRule="exact"/>
              <w:rPr>
                <w:sz w:val="20"/>
                <w:szCs w:val="20"/>
                <w:color w:val="auto"/>
              </w:rPr>
            </w:pPr>
            <w:r>
              <w:rPr>
                <w:rFonts w:ascii="Arial" w:cs="Arial" w:eastAsia="Arial" w:hAnsi="Arial"/>
                <w:sz w:val="14"/>
                <w:szCs w:val="14"/>
                <w:color w:val="auto"/>
              </w:rPr>
              <w:t>information obtained from Bloomberg.</w:t>
            </w:r>
          </w:p>
        </w:tc>
        <w:tc>
          <w:tcPr>
            <w:tcW w:w="0" w:type="dxa"/>
            <w:vAlign w:val="bottom"/>
          </w:tcPr>
          <w:p>
            <w:pPr>
              <w:spacing w:after="0"/>
              <w:rPr>
                <w:sz w:val="1"/>
                <w:szCs w:val="1"/>
                <w:color w:val="auto"/>
              </w:rPr>
            </w:pPr>
          </w:p>
        </w:tc>
      </w:tr>
      <w:tr>
        <w:trPr>
          <w:trHeight w:val="159"/>
        </w:trPr>
        <w:tc>
          <w:tcPr>
            <w:tcW w:w="56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3"/>
                <w:szCs w:val="13"/>
                <w:color w:val="auto"/>
              </w:rPr>
            </w:pPr>
          </w:p>
        </w:tc>
        <w:tc>
          <w:tcPr>
            <w:tcW w:w="5340" w:type="dxa"/>
            <w:vAlign w:val="bottom"/>
          </w:tcPr>
          <w:p>
            <w:pPr>
              <w:ind w:left="80"/>
              <w:spacing w:after="0" w:line="15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9"/>
        </w:trPr>
        <w:tc>
          <w:tcPr>
            <w:tcW w:w="5640" w:type="dxa"/>
            <w:vAlign w:val="bottom"/>
          </w:tcPr>
          <w:p>
            <w:pPr>
              <w:ind w:left="80"/>
              <w:spacing w:after="0" w:line="159" w:lineRule="exact"/>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640" w:type="dxa"/>
            <w:vAlign w:val="bottom"/>
          </w:tcPr>
          <w:p>
            <w:pPr>
              <w:ind w:left="80"/>
              <w:spacing w:after="0"/>
              <w:rPr>
                <w:sz w:val="20"/>
                <w:szCs w:val="20"/>
                <w:color w:val="auto"/>
              </w:rPr>
            </w:pPr>
            <w:r>
              <w:rPr>
                <w:rFonts w:ascii="Arial" w:cs="Arial" w:eastAsia="Arial" w:hAnsi="Arial"/>
                <w:sz w:val="14"/>
                <w:szCs w:val="14"/>
                <w:color w:val="auto"/>
              </w:rPr>
              <w:t>For more information about the NDX, see " Index Descriptions—The Nasdaq-100</w:t>
            </w:r>
          </w:p>
        </w:tc>
        <w:tc>
          <w:tcPr>
            <w:tcW w:w="2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640" w:type="dxa"/>
            <w:vAlign w:val="bottom"/>
          </w:tcPr>
          <w:p>
            <w:pPr>
              <w:ind w:left="80"/>
              <w:spacing w:after="0" w:line="188" w:lineRule="exact"/>
              <w:rPr>
                <w:sz w:val="20"/>
                <w:szCs w:val="20"/>
                <w:color w:val="auto"/>
              </w:rPr>
            </w:pPr>
            <w:r>
              <w:rPr>
                <w:rFonts w:ascii="Arial" w:cs="Arial" w:eastAsia="Arial" w:hAnsi="Arial"/>
                <w:sz w:val="13"/>
                <w:szCs w:val="13"/>
                <w:color w:val="auto"/>
              </w:rPr>
              <w:t>Index</w:t>
            </w:r>
            <w:r>
              <w:rPr>
                <w:rFonts w:ascii="Arial" w:cs="Arial" w:eastAsia="Arial" w:hAnsi="Arial"/>
                <w:sz w:val="21"/>
                <w:szCs w:val="21"/>
                <w:color w:val="auto"/>
                <w:vertAlign w:val="superscript"/>
              </w:rPr>
              <w:t>®</w:t>
            </w:r>
            <w:r>
              <w:rPr>
                <w:rFonts w:ascii="Arial" w:cs="Arial" w:eastAsia="Arial" w:hAnsi="Arial"/>
                <w:sz w:val="13"/>
                <w:szCs w:val="13"/>
                <w:color w:val="auto"/>
              </w:rPr>
              <w:t>" beginning on page S-25 of the accompanying underlying supplement.</w:t>
            </w:r>
          </w:p>
        </w:tc>
        <w:tc>
          <w:tcPr>
            <w:tcW w:w="2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40" w:type="dxa"/>
            <w:vAlign w:val="bottom"/>
          </w:tcPr>
          <w:p>
            <w:pPr>
              <w:ind w:left="8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-432435</wp:posOffset>
            </wp:positionV>
            <wp:extent cx="2551430" cy="998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551430" cy="99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560"/>
        <w:spacing w:after="0"/>
        <w:rPr>
          <w:sz w:val="20"/>
          <w:szCs w:val="20"/>
          <w:color w:val="auto"/>
        </w:rPr>
      </w:pPr>
      <w:r>
        <w:rPr>
          <w:rFonts w:ascii="Arial" w:cs="Arial" w:eastAsia="Arial" w:hAnsi="Arial"/>
          <w:sz w:val="14"/>
          <w:szCs w:val="14"/>
          <w:b w:val="1"/>
          <w:bCs w:val="1"/>
          <w:color w:val="C00000"/>
        </w:rPr>
        <w:t> </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4"/>
          <w:szCs w:val="14"/>
          <w:color w:val="auto"/>
        </w:rPr>
        <w:t> </w:t>
      </w:r>
    </w:p>
    <w:p>
      <w:pPr>
        <w:ind w:left="80"/>
        <w:spacing w:after="0" w:line="237" w:lineRule="auto"/>
        <w:rPr>
          <w:sz w:val="20"/>
          <w:szCs w:val="20"/>
          <w:color w:val="auto"/>
        </w:rPr>
      </w:pPr>
      <w:r>
        <w:rPr>
          <w:rFonts w:ascii="Arial" w:cs="Arial" w:eastAsia="Arial" w:hAnsi="Arial"/>
          <w:sz w:val="14"/>
          <w:szCs w:val="14"/>
          <w:color w:val="auto"/>
        </w:rPr>
        <w:t>The historical values of the NDX should not be taken as an indication of its future performance, and no assurance can be given as to the Closing Level of the NDX on any Trading Day during the Observation Period, including the Final Valuation Date.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030A0"/>
        </w:rPr>
        <w:t> </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PS-13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00"/>
          </w:cols>
          <w:pgMar w:left="300" w:top="204"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 </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7030A0"/>
        </w:rPr>
        <w:t> </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7030A0"/>
        </w:rPr>
        <w:t>SUPPLEMENTAL PLAN OF DISTRIBUTION (CONFLICTS OF INTEREST)</w:t>
      </w:r>
    </w:p>
    <w:p>
      <w:pPr>
        <w:spacing w:after="0" w:line="237" w:lineRule="auto"/>
        <w:rPr>
          <w:sz w:val="20"/>
          <w:szCs w:val="20"/>
          <w:color w:val="auto"/>
        </w:rPr>
      </w:pPr>
      <w:r>
        <w:rPr>
          <w:rFonts w:ascii="Arial" w:cs="Arial" w:eastAsia="Arial" w:hAnsi="Arial"/>
          <w:sz w:val="14"/>
          <w:szCs w:val="14"/>
          <w:color w:val="7030A0"/>
        </w:rPr>
        <w:t> </w:t>
      </w:r>
    </w:p>
    <w:p>
      <w:pPr>
        <w:spacing w:after="0"/>
        <w:rPr>
          <w:sz w:val="20"/>
          <w:szCs w:val="20"/>
          <w:color w:val="auto"/>
        </w:rPr>
      </w:pPr>
      <w:r>
        <w:rPr>
          <w:rFonts w:ascii="Arial" w:cs="Arial" w:eastAsia="Arial" w:hAnsi="Arial"/>
          <w:sz w:val="14"/>
          <w:szCs w:val="14"/>
          <w:color w:val="auto"/>
        </w:rPr>
        <w:t>We have appointed MCMI, an affiliate of Marex, as the agent for the sale of the Notes. Pursuant to the terms of a distribution agreement, MCMI will purchase the Notes from Marex at the price to public less the underwriting discount set forth on the cover page of this pricing supplement, for distribution to other registered broker-dealers or will offer the Notes directly to investors. MCMI has offered the Notes at the price to public set forth on the cover page of this document. MCMI will use the underwriting discount to pay selling concessions or fees (including custodial or clearing fees) to other registered broker-dealers.  </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An affiliate of Marex has paid or may pay in the future an amount to broker-dealers in connection with the costs of the continuing implementation of systems to support the Notes.</w:t>
      </w:r>
    </w:p>
    <w:p>
      <w:pPr>
        <w:spacing w:after="0" w:line="237" w:lineRule="auto"/>
        <w:rPr>
          <w:sz w:val="20"/>
          <w:szCs w:val="20"/>
          <w:color w:val="auto"/>
        </w:rPr>
      </w:pPr>
      <w:r>
        <w:rPr>
          <w:rFonts w:ascii="Arial" w:cs="Arial" w:eastAsia="Arial" w:hAnsi="Arial"/>
          <w:sz w:val="14"/>
          <w:szCs w:val="14"/>
          <w:color w:val="auto"/>
        </w:rPr>
        <w:t>We or one of our affiliates may pay a fee to one or more broker dealers for providing certain services with respect to this offering, which may reduce the economic terms of the</w:t>
      </w:r>
    </w:p>
    <w:p>
      <w:pPr>
        <w:spacing w:after="0" w:line="238" w:lineRule="auto"/>
        <w:rPr>
          <w:sz w:val="20"/>
          <w:szCs w:val="20"/>
          <w:color w:val="auto"/>
        </w:rPr>
      </w:pPr>
      <w:r>
        <w:rPr>
          <w:rFonts w:ascii="Arial" w:cs="Arial" w:eastAsia="Arial" w:hAnsi="Arial"/>
          <w:sz w:val="14"/>
          <w:szCs w:val="14"/>
          <w:color w:val="auto"/>
        </w:rPr>
        <w:t>Notes to you.</w:t>
      </w:r>
    </w:p>
    <w:p>
      <w:pPr>
        <w:spacing w:after="0" w:line="238" w:lineRule="auto"/>
        <w:rPr>
          <w:sz w:val="20"/>
          <w:szCs w:val="20"/>
          <w:color w:val="auto"/>
        </w:rPr>
      </w:pPr>
      <w:r>
        <w:rPr>
          <w:rFonts w:ascii="Arial" w:cs="Arial" w:eastAsia="Arial" w:hAnsi="Arial"/>
          <w:sz w:val="14"/>
          <w:szCs w:val="14"/>
          <w:color w:val="auto"/>
        </w:rPr>
        <w:t> </w:t>
      </w:r>
    </w:p>
    <w:p>
      <w:pPr>
        <w:spacing w:after="0"/>
        <w:rPr>
          <w:sz w:val="20"/>
          <w:szCs w:val="20"/>
          <w:color w:val="auto"/>
        </w:rPr>
      </w:pPr>
      <w:r>
        <w:rPr>
          <w:rFonts w:ascii="Arial" w:cs="Arial" w:eastAsia="Arial" w:hAnsi="Arial"/>
          <w:sz w:val="14"/>
          <w:szCs w:val="14"/>
          <w:color w:val="auto"/>
        </w:rPr>
        <w:t>In addition, MCMI or another of our affiliates or agents may use this pricing supplement in market-making transactions after the initial sale of the Notes, but is under no obligation to make a market in the Notes and may discontinue any market-making activities at any time without notice.  </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See “Supplemental Plan of Distribution (Conflicts of Interest)” on page S-61 in the prospectus supplement.</w:t>
      </w:r>
    </w:p>
    <w:p>
      <w:pPr>
        <w:spacing w:after="0" w:line="237" w:lineRule="auto"/>
        <w:rPr>
          <w:sz w:val="20"/>
          <w:szCs w:val="20"/>
          <w:color w:val="auto"/>
        </w:rPr>
      </w:pPr>
      <w:r>
        <w:rPr>
          <w:rFonts w:ascii="Arial" w:cs="Arial" w:eastAsia="Arial" w:hAnsi="Arial"/>
          <w:sz w:val="14"/>
          <w:szCs w:val="14"/>
          <w:color w:val="auto"/>
        </w:rPr>
        <w:t> </w:t>
      </w:r>
    </w:p>
    <w:p>
      <w:pPr>
        <w:spacing w:after="0"/>
        <w:rPr>
          <w:sz w:val="20"/>
          <w:szCs w:val="20"/>
          <w:color w:val="auto"/>
        </w:rPr>
      </w:pPr>
      <w:r>
        <w:rPr>
          <w:rFonts w:ascii="Arial" w:cs="Arial" w:eastAsia="Arial" w:hAnsi="Arial"/>
          <w:sz w:val="14"/>
          <w:szCs w:val="14"/>
          <w:color w:val="auto"/>
        </w:rPr>
        <w:t>Delivery of the Notes will be made against payment for the Notes on the Original Issue Date set forth on the inside cover page of this document, which is more than one business day following the Trade Date. Under Rule 15c6-1 under the Securities Exchange Act of 1934, trades in the secondary market generally are required to settle in one business day, unless the parties to that trade expressly agree otherwise. Accordingly, purchasers who wish to trade the Notes more than one business day prior to the Original Issue Date will be required to specify an alternate settlement cycle at the time of any such trade to prevent a failed settlement, and should consult their own advisors.  </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7030A0"/>
        </w:rPr>
        <w:t>U.S. FEDERAL INCOME TAX CONSIDERATIONS</w:t>
      </w:r>
    </w:p>
    <w:p>
      <w:pPr>
        <w:spacing w:after="0" w:line="237" w:lineRule="auto"/>
        <w:rPr>
          <w:sz w:val="20"/>
          <w:szCs w:val="20"/>
          <w:color w:val="auto"/>
        </w:rPr>
      </w:pPr>
      <w:r>
        <w:rPr>
          <w:rFonts w:ascii="Arial" w:cs="Arial" w:eastAsia="Arial" w:hAnsi="Arial"/>
          <w:sz w:val="14"/>
          <w:szCs w:val="14"/>
          <w:color w:val="7030A0"/>
        </w:rPr>
        <w:t> </w:t>
      </w:r>
    </w:p>
    <w:p>
      <w:pPr>
        <w:spacing w:after="0" w:line="238" w:lineRule="auto"/>
        <w:rPr>
          <w:sz w:val="20"/>
          <w:szCs w:val="20"/>
          <w:color w:val="auto"/>
        </w:rPr>
      </w:pPr>
      <w:r>
        <w:rPr>
          <w:rFonts w:ascii="Arial" w:cs="Arial" w:eastAsia="Arial" w:hAnsi="Arial"/>
          <w:sz w:val="14"/>
          <w:szCs w:val="14"/>
          <w:color w:val="auto"/>
        </w:rPr>
        <w:t>The U.S. federal income tax consequences of each holder’s investment in the Notes are uncertain. There are no Treasury Regulations, published rulings or judicial decisions</w:t>
      </w:r>
    </w:p>
    <w:p>
      <w:pPr>
        <w:spacing w:after="0" w:line="238" w:lineRule="auto"/>
        <w:rPr>
          <w:sz w:val="20"/>
          <w:szCs w:val="20"/>
          <w:color w:val="auto"/>
        </w:rPr>
      </w:pPr>
      <w:r>
        <w:rPr>
          <w:rFonts w:ascii="Arial" w:cs="Arial" w:eastAsia="Arial" w:hAnsi="Arial"/>
          <w:sz w:val="14"/>
          <w:szCs w:val="14"/>
          <w:color w:val="auto"/>
        </w:rPr>
        <w:t>addressing the treatment for U.S. federal income tax purposes of securities with terms that are substantially the same as the Notes. By purchasing the Notes, each holder agrees</w:t>
      </w:r>
    </w:p>
    <w:p>
      <w:pPr>
        <w:spacing w:after="0" w:line="237" w:lineRule="auto"/>
        <w:rPr>
          <w:sz w:val="20"/>
          <w:szCs w:val="20"/>
          <w:color w:val="auto"/>
        </w:rPr>
      </w:pPr>
      <w:r>
        <w:rPr>
          <w:rFonts w:ascii="Arial" w:cs="Arial" w:eastAsia="Arial" w:hAnsi="Arial"/>
          <w:sz w:val="14"/>
          <w:szCs w:val="14"/>
          <w:color w:val="auto"/>
        </w:rPr>
        <w:t>(in the absence of a change in law, an administrative determination or a judicial ruling to the contrary) to treat each Note as a put option written by you (the “Put Option”) and a</w:t>
      </w:r>
    </w:p>
    <w:p>
      <w:pPr>
        <w:spacing w:after="0" w:line="238" w:lineRule="auto"/>
        <w:rPr>
          <w:sz w:val="20"/>
          <w:szCs w:val="20"/>
          <w:color w:val="auto"/>
        </w:rPr>
      </w:pPr>
      <w:r>
        <w:rPr>
          <w:rFonts w:ascii="Arial" w:cs="Arial" w:eastAsia="Arial" w:hAnsi="Arial"/>
          <w:sz w:val="14"/>
          <w:szCs w:val="14"/>
          <w:color w:val="auto"/>
        </w:rPr>
        <w:t>deposit with us of cash in an amount equal to the Principal Amount of the Note (the “Deposit”) to secure your potential obligation under the Put Option, as described in the</w:t>
      </w:r>
    </w:p>
    <w:p>
      <w:pPr>
        <w:spacing w:after="0" w:line="238" w:lineRule="auto"/>
        <w:rPr>
          <w:sz w:val="20"/>
          <w:szCs w:val="20"/>
          <w:color w:val="auto"/>
        </w:rPr>
      </w:pPr>
      <w:r>
        <w:rPr>
          <w:rFonts w:ascii="Arial" w:cs="Arial" w:eastAsia="Arial" w:hAnsi="Arial"/>
          <w:sz w:val="14"/>
          <w:szCs w:val="14"/>
          <w:color w:val="auto"/>
        </w:rPr>
        <w:t>prospectus supplement under the heading "U.S. Federal Income Tax Considerations —U.S. Holders — Certain Notes Treated as a Put Option and a Deposit or an Executory</w:t>
      </w:r>
    </w:p>
    <w:p>
      <w:pPr>
        <w:spacing w:after="0" w:line="237" w:lineRule="auto"/>
        <w:rPr>
          <w:sz w:val="20"/>
          <w:szCs w:val="20"/>
          <w:color w:val="auto"/>
        </w:rPr>
      </w:pPr>
      <w:r>
        <w:rPr>
          <w:rFonts w:ascii="Arial" w:cs="Arial" w:eastAsia="Arial" w:hAnsi="Arial"/>
          <w:sz w:val="14"/>
          <w:szCs w:val="14"/>
          <w:color w:val="auto"/>
        </w:rPr>
        <w:t>Contract — Certain Notes Treated as a Put Option and a Deposit”, for U.S. federal income tax purposes. We intend to treat the Notes consistent with this approach, and we intend</w:t>
      </w:r>
    </w:p>
    <w:p>
      <w:pPr>
        <w:spacing w:after="0" w:line="238" w:lineRule="auto"/>
        <w:rPr>
          <w:sz w:val="20"/>
          <w:szCs w:val="20"/>
          <w:color w:val="auto"/>
        </w:rPr>
      </w:pPr>
      <w:r>
        <w:rPr>
          <w:rFonts w:ascii="Arial" w:cs="Arial" w:eastAsia="Arial" w:hAnsi="Arial"/>
          <w:sz w:val="14"/>
          <w:szCs w:val="14"/>
          <w:color w:val="auto"/>
        </w:rPr>
        <w:t>to treat the Deposits as non-contingent debt instruments for U.S. federal income tax purposes. Pursuant to the terms of the Notes, each holder agrees to such treatment for all U.S.</w:t>
      </w:r>
    </w:p>
    <w:p>
      <w:pPr>
        <w:spacing w:after="0" w:line="238" w:lineRule="auto"/>
        <w:rPr>
          <w:sz w:val="20"/>
          <w:szCs w:val="20"/>
          <w:color w:val="auto"/>
        </w:rPr>
      </w:pPr>
      <w:r>
        <w:rPr>
          <w:rFonts w:ascii="Arial" w:cs="Arial" w:eastAsia="Arial" w:hAnsi="Arial"/>
          <w:sz w:val="14"/>
          <w:szCs w:val="14"/>
          <w:color w:val="auto"/>
        </w:rPr>
        <w:t>federal income tax purposes. In the opinion of our counsel, Mayer Brown LLP, it would generally be reasonable to treat the Notes as Put Opinions and Deposits in respect of the</w:t>
      </w:r>
    </w:p>
    <w:p>
      <w:pPr>
        <w:spacing w:after="0" w:line="237" w:lineRule="auto"/>
        <w:rPr>
          <w:sz w:val="20"/>
          <w:szCs w:val="20"/>
          <w:color w:val="auto"/>
        </w:rPr>
      </w:pPr>
      <w:r>
        <w:rPr>
          <w:rFonts w:ascii="Arial" w:cs="Arial" w:eastAsia="Arial" w:hAnsi="Arial"/>
          <w:sz w:val="14"/>
          <w:szCs w:val="14"/>
          <w:color w:val="auto"/>
        </w:rPr>
        <w:t>Underlyings for U.S. federal income tax purposes.</w:t>
      </w:r>
    </w:p>
    <w:p>
      <w:pPr>
        <w:spacing w:after="0"/>
        <w:rPr>
          <w:sz w:val="20"/>
          <w:szCs w:val="20"/>
          <w:color w:val="auto"/>
        </w:rPr>
      </w:pPr>
      <w:r>
        <w:rPr>
          <w:rFonts w:ascii="Arial" w:cs="Arial" w:eastAsia="Arial" w:hAnsi="Arial"/>
          <w:sz w:val="14"/>
          <w:szCs w:val="14"/>
          <w:color w:val="auto"/>
        </w:rPr>
        <w:t> </w:t>
      </w:r>
    </w:p>
    <w:p>
      <w:pPr>
        <w:jc w:val="both"/>
        <w:spacing w:after="0" w:line="237" w:lineRule="auto"/>
        <w:rPr>
          <w:sz w:val="20"/>
          <w:szCs w:val="20"/>
          <w:color w:val="auto"/>
        </w:rPr>
      </w:pPr>
      <w:r>
        <w:rPr>
          <w:rFonts w:ascii="Arial" w:cs="Arial" w:eastAsia="Arial" w:hAnsi="Arial"/>
          <w:sz w:val="14"/>
          <w:szCs w:val="14"/>
          <w:color w:val="auto"/>
        </w:rPr>
        <w:t>The U.S. federal income tax consequences of a U.S. Holder’s investment in the Notes are uncertain and the Internal Revenue Service could assert that the Notes should be taxed in a manner that is different from that described above. Please see the discussion in the accompanying prospectus supplement under “U.S. Federal Income Tax Considerations” and in particular the discussion under "U.S. Federal Income Tax Considerations —U.S. Holders — Certain Notes Treated as a Put Option and a Deposit or an Executory Contract</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 Certain Notes Treated as a Put Option and a Deposit” and the discussion in the accompanying prospectus under “Material Tax Considerations — Material U.S. Federal Income Tax Considerations”. With respect to Interest Payments you receive, we intend to treat such payments as consisting of interest on the Deposit and a payment with respect to the Put Option as follows: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ectPr>
          <w:pgSz w:w="11900" w:h="16838" w:orient="portrait"/>
          <w:cols w:equalWidth="0" w:num="1">
            <w:col w:w="11280"/>
          </w:cols>
          <w:pgMar w:left="300" w:top="204" w:right="319" w:bottom="1440" w:gutter="0" w:footer="0" w:header="0"/>
        </w:sectPr>
      </w:pPr>
    </w:p>
    <w:p>
      <w:pPr>
        <w:spacing w:after="0" w:line="11"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Interest Rate per Annum</w:t>
      </w:r>
    </w:p>
    <w:p>
      <w:pPr>
        <w:spacing w:after="0" w:line="20" w:lineRule="exact"/>
        <w:rPr>
          <w:sz w:val="20"/>
          <w:szCs w:val="20"/>
          <w:color w:val="auto"/>
        </w:rPr>
      </w:pPr>
      <w:r>
        <w:rPr>
          <w:sz w:val="20"/>
          <w:szCs w:val="20"/>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Interest on Deposit per Annum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Put Option Component per Annum</w:t>
      </w:r>
    </w:p>
    <w:p>
      <w:pPr>
        <w:spacing w:after="0" w:line="57" w:lineRule="exact"/>
        <w:rPr>
          <w:sz w:val="20"/>
          <w:szCs w:val="20"/>
          <w:color w:val="auto"/>
        </w:rPr>
      </w:pPr>
    </w:p>
    <w:p>
      <w:pPr>
        <w:sectPr>
          <w:pgSz w:w="11900" w:h="16838" w:orient="portrait"/>
          <w:cols w:equalWidth="0" w:num="3">
            <w:col w:w="3500" w:space="720"/>
            <w:col w:w="3040" w:space="720"/>
            <w:col w:w="3300"/>
          </w:cols>
          <w:pgMar w:left="300" w:top="204" w:right="319" w:bottom="1440" w:gutter="0" w:footer="0" w:header="0"/>
          <w:type w:val="continuous"/>
        </w:sectPr>
      </w:pPr>
    </w:p>
    <w:p>
      <w:pPr>
        <w:ind w:left="1480"/>
        <w:spacing w:after="0"/>
        <w:rPr>
          <w:sz w:val="20"/>
          <w:szCs w:val="20"/>
          <w:color w:val="auto"/>
        </w:rPr>
      </w:pPr>
      <w:r>
        <w:rPr>
          <w:rFonts w:ascii="Arial" w:cs="Arial" w:eastAsia="Arial" w:hAnsi="Arial"/>
          <w:sz w:val="14"/>
          <w:szCs w:val="14"/>
          <w:color w:val="auto"/>
        </w:rPr>
        <w:t>13.752%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8.872%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4.88%</w:t>
      </w:r>
    </w:p>
    <w:p>
      <w:pPr>
        <w:spacing w:after="0" w:line="83" w:lineRule="exact"/>
        <w:rPr>
          <w:sz w:val="20"/>
          <w:szCs w:val="20"/>
          <w:color w:val="auto"/>
        </w:rPr>
      </w:pPr>
    </w:p>
    <w:p>
      <w:pPr>
        <w:sectPr>
          <w:pgSz w:w="11900" w:h="16838" w:orient="portrait"/>
          <w:cols w:equalWidth="0" w:num="3">
            <w:col w:w="4300" w:space="720"/>
            <w:col w:w="3200" w:space="720"/>
            <w:col w:w="2340"/>
          </w:cols>
          <w:pgMar w:left="300" w:top="204" w:right="319" w:bottom="1440" w:gutter="0" w:footer="0" w:header="0"/>
          <w:type w:val="continuous"/>
        </w:sectPr>
      </w:pPr>
    </w:p>
    <w:p>
      <w:pPr>
        <w:spacing w:after="0"/>
        <w:rPr>
          <w:sz w:val="20"/>
          <w:szCs w:val="20"/>
          <w:color w:val="auto"/>
        </w:rPr>
      </w:pPr>
      <w:r>
        <w:rPr>
          <w:rFonts w:ascii="Arial" w:cs="Arial" w:eastAsia="Arial" w:hAnsi="Arial"/>
          <w:sz w:val="14"/>
          <w:szCs w:val="14"/>
          <w:color w:val="auto"/>
        </w:rPr>
        <w:t> </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The Put Premium should not be taxable to a U.S. Holder upon its receipt. If the Put Option expires unexercised, the U.S. Holder should recognize the total Put Premium received as</w:t>
      </w:r>
    </w:p>
    <w:p>
      <w:pPr>
        <w:spacing w:after="0" w:line="237" w:lineRule="auto"/>
        <w:rPr>
          <w:sz w:val="20"/>
          <w:szCs w:val="20"/>
          <w:color w:val="auto"/>
        </w:rPr>
      </w:pPr>
      <w:r>
        <w:rPr>
          <w:rFonts w:ascii="Arial" w:cs="Arial" w:eastAsia="Arial" w:hAnsi="Arial"/>
          <w:sz w:val="14"/>
          <w:szCs w:val="14"/>
          <w:color w:val="auto"/>
        </w:rPr>
        <w:t>short-term capital gain at such time.</w:t>
      </w:r>
    </w:p>
    <w:p>
      <w:pPr>
        <w:spacing w:after="0" w:line="238"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color w:val="auto"/>
        </w:rPr>
        <w:t>Non-U.S. Holders should review the discussion in the accompanying prospectus supplement under “U.S. Federal Income Tax Considerations — Non-U.S. Holders” for a discussion</w:t>
      </w:r>
    </w:p>
    <w:p>
      <w:pPr>
        <w:spacing w:after="0" w:line="237" w:lineRule="auto"/>
        <w:rPr>
          <w:sz w:val="20"/>
          <w:szCs w:val="20"/>
          <w:color w:val="auto"/>
        </w:rPr>
      </w:pPr>
      <w:r>
        <w:rPr>
          <w:rFonts w:ascii="Arial" w:cs="Arial" w:eastAsia="Arial" w:hAnsi="Arial"/>
          <w:sz w:val="14"/>
          <w:szCs w:val="14"/>
          <w:color w:val="auto"/>
        </w:rPr>
        <w:t>of the U.S. federal income tax consequences applicable to Non-U.S. Holders.</w:t>
      </w:r>
    </w:p>
    <w:p>
      <w:pPr>
        <w:spacing w:after="0" w:line="238" w:lineRule="auto"/>
        <w:rPr>
          <w:sz w:val="20"/>
          <w:szCs w:val="20"/>
          <w:color w:val="auto"/>
        </w:rPr>
      </w:pPr>
      <w:r>
        <w:rPr>
          <w:rFonts w:ascii="Arial" w:cs="Arial" w:eastAsia="Arial" w:hAnsi="Arial"/>
          <w:sz w:val="14"/>
          <w:szCs w:val="14"/>
          <w:color w:val="auto"/>
        </w:rPr>
        <w:t> </w:t>
      </w:r>
    </w:p>
    <w:p>
      <w:pPr>
        <w:spacing w:after="0" w:line="241" w:lineRule="auto"/>
        <w:rPr>
          <w:sz w:val="20"/>
          <w:szCs w:val="20"/>
          <w:color w:val="auto"/>
        </w:rPr>
      </w:pPr>
      <w:r>
        <w:rPr>
          <w:rFonts w:ascii="Arial" w:cs="Arial" w:eastAsia="Arial" w:hAnsi="Arial"/>
          <w:sz w:val="14"/>
          <w:szCs w:val="14"/>
          <w:color w:val="auto"/>
        </w:rPr>
        <w:t>A “dividend equivalent” payment is treated as a dividend from sources within the United States and such payments generally would be subject to a 30% U.S. withholding tax if paid to a Non-U.S. Holder. Under Treasury Regulations, payments (including deemed payments) with respect to equity-linked instruments (“ELIs”) that are “specified ELIs” may be treated as dividend equivalents if such specified ELIs reference an interest in an “underlying security,” which is generally any interest in an entity taxable as a corporation for U.S. federal income tax purposes if a payment with respect to such interest could give rise to a U.S. source dividend. However, IRS guidance provides that withholding on dividend equivalent payments will not apply to specified ELIs that are not delta-one instruments and that are issued before  </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PS-14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 </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January 1, 2027. We expect that the delta of the Notes will not be one, and therefore, we expect that Non-U.S. Holders should not be subject to withholding on dividend equivalent payments, if any, under the Notes. However, it is possible that the Notes could be treated as deemed reissued for U.S. federal income tax purposes upon the occurrence of certain events affecting an Underlying or the Notes, and following such occurrence the Notes could be treated as subject to withholding on dividend equivalent payments. Non-U.S. Holders that enter, or have entered, into other transactions in respect of an Underlying or the Notes should consult their tax advisors as to the application of the dividend equivalent withholding tax in the context of the Notes and their other transactions. If any payments are treated as dividend equivalents subject to withholding, we (or an applicable withholding agent) would be entitled to withhold taxes without being required to pay any additional amounts with respect to amounts so withheld.  </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PROSPECTIVE PURCHASERS OF THE NOTES SHOULD CONSULT THEIR TAX ADVISORS AS TO THE TAX CONSEQUENCES OF THE ABOVE DESCRIBED</w:t>
      </w:r>
    </w:p>
    <w:p>
      <w:pPr>
        <w:spacing w:after="0" w:line="237" w:lineRule="auto"/>
        <w:rPr>
          <w:sz w:val="20"/>
          <w:szCs w:val="20"/>
          <w:color w:val="auto"/>
        </w:rPr>
      </w:pPr>
      <w:r>
        <w:rPr>
          <w:rFonts w:ascii="Arial" w:cs="Arial" w:eastAsia="Arial" w:hAnsi="Arial"/>
          <w:sz w:val="14"/>
          <w:szCs w:val="14"/>
          <w:color w:val="auto"/>
        </w:rPr>
        <w:t>CHARACTERIZATION OF THE NOTES AND ANY POSSIBLE ALTERNATIVE CHARACTERIZATIONS OF THE NOTES FOR U.S. FEDERAL INCOME TAX PURPOSES.</w:t>
      </w:r>
    </w:p>
    <w:p>
      <w:pPr>
        <w:spacing w:after="0" w:line="238" w:lineRule="auto"/>
        <w:rPr>
          <w:sz w:val="20"/>
          <w:szCs w:val="20"/>
          <w:color w:val="auto"/>
        </w:rPr>
      </w:pPr>
      <w:r>
        <w:rPr>
          <w:rFonts w:ascii="Arial" w:cs="Arial" w:eastAsia="Arial" w:hAnsi="Arial"/>
          <w:sz w:val="14"/>
          <w:szCs w:val="14"/>
          <w:color w:val="auto"/>
        </w:rPr>
        <w:t>PROSPECTIVE PURCHASERS OF NOTES SHOULD CONSULT THEIR TAX ADVISORS AS TO THE FEDERAL, STATE, LOCAL, AND OTHER TAX CONSEQUENCES TO</w:t>
      </w:r>
    </w:p>
    <w:p>
      <w:pPr>
        <w:spacing w:after="0" w:line="238" w:lineRule="auto"/>
        <w:rPr>
          <w:sz w:val="20"/>
          <w:szCs w:val="20"/>
          <w:color w:val="auto"/>
        </w:rPr>
      </w:pPr>
      <w:r>
        <w:rPr>
          <w:rFonts w:ascii="Arial" w:cs="Arial" w:eastAsia="Arial" w:hAnsi="Arial"/>
          <w:sz w:val="14"/>
          <w:szCs w:val="14"/>
          <w:color w:val="auto"/>
        </w:rPr>
        <w:t>THEM OF THE PURCHASE, OWNERSHIP AND DISPOSITION OF NOTES.</w:t>
      </w:r>
    </w:p>
    <w:p>
      <w:pPr>
        <w:spacing w:after="0" w:line="237" w:lineRule="auto"/>
        <w:rPr>
          <w:sz w:val="20"/>
          <w:szCs w:val="20"/>
          <w:color w:val="auto"/>
        </w:rPr>
      </w:pPr>
      <w:r>
        <w:rPr>
          <w:rFonts w:ascii="Arial" w:cs="Arial" w:eastAsia="Arial" w:hAnsi="Arial"/>
          <w:sz w:val="14"/>
          <w:szCs w:val="14"/>
          <w:color w:val="auto"/>
        </w:rPr>
        <w:t> </w:t>
      </w:r>
    </w:p>
    <w:p>
      <w:pPr>
        <w:spacing w:after="0" w:line="238" w:lineRule="auto"/>
        <w:rPr>
          <w:sz w:val="20"/>
          <w:szCs w:val="20"/>
          <w:color w:val="auto"/>
        </w:rPr>
      </w:pPr>
      <w:r>
        <w:rPr>
          <w:rFonts w:ascii="Arial" w:cs="Arial" w:eastAsia="Arial" w:hAnsi="Arial"/>
          <w:sz w:val="14"/>
          <w:szCs w:val="14"/>
          <w:b w:val="1"/>
          <w:bCs w:val="1"/>
          <w:color w:val="7030A0"/>
        </w:rPr>
        <w:t>Validity of the Notes</w:t>
      </w:r>
    </w:p>
    <w:p>
      <w:pPr>
        <w:spacing w:after="0" w:line="238" w:lineRule="auto"/>
        <w:rPr>
          <w:sz w:val="20"/>
          <w:szCs w:val="20"/>
          <w:color w:val="auto"/>
        </w:rPr>
      </w:pPr>
      <w:r>
        <w:rPr>
          <w:rFonts w:ascii="Arial" w:cs="Arial" w:eastAsia="Arial" w:hAnsi="Arial"/>
          <w:sz w:val="14"/>
          <w:szCs w:val="14"/>
          <w:color w:val="7030A0"/>
        </w:rPr>
        <w:t> </w:t>
      </w:r>
    </w:p>
    <w:p>
      <w:pPr>
        <w:spacing w:after="0" w:line="237" w:lineRule="auto"/>
        <w:rPr>
          <w:sz w:val="20"/>
          <w:szCs w:val="20"/>
          <w:color w:val="auto"/>
        </w:rPr>
      </w:pPr>
      <w:r>
        <w:rPr>
          <w:rFonts w:ascii="Arial" w:cs="Arial" w:eastAsia="Arial" w:hAnsi="Arial"/>
          <w:sz w:val="14"/>
          <w:szCs w:val="14"/>
          <w:color w:val="auto"/>
        </w:rPr>
        <w:t>In the opinion of Mayer Brown LLP, as counsel to the Issuer, when this pricing supplement has been attached to, and duly notated on, the master global note that represents the</w:t>
      </w:r>
    </w:p>
    <w:p>
      <w:pPr>
        <w:spacing w:after="0" w:line="238" w:lineRule="auto"/>
        <w:rPr>
          <w:sz w:val="20"/>
          <w:szCs w:val="20"/>
          <w:color w:val="auto"/>
        </w:rPr>
      </w:pPr>
      <w:r>
        <w:rPr>
          <w:rFonts w:ascii="Arial" w:cs="Arial" w:eastAsia="Arial" w:hAnsi="Arial"/>
          <w:sz w:val="14"/>
          <w:szCs w:val="14"/>
          <w:color w:val="auto"/>
        </w:rPr>
        <w:t>Notes pursuant to the Indenture referred to in the prospectus, and such Notes have been delivered against payment as contemplated herein, such Notes will be valid, binding and</w:t>
      </w:r>
    </w:p>
    <w:p>
      <w:pPr>
        <w:spacing w:after="0" w:line="238" w:lineRule="auto"/>
        <w:rPr>
          <w:sz w:val="20"/>
          <w:szCs w:val="20"/>
          <w:color w:val="auto"/>
        </w:rPr>
      </w:pPr>
      <w:r>
        <w:rPr>
          <w:rFonts w:ascii="Arial" w:cs="Arial" w:eastAsia="Arial" w:hAnsi="Arial"/>
          <w:sz w:val="14"/>
          <w:szCs w:val="14"/>
          <w:color w:val="auto"/>
        </w:rPr>
        <w:t>enforceable obligations of the Issuer, entitled to the benefits of the Indenture, subject to applicable bankruptcy, insolvency and similar laws affecting creditors’ rights generally,</w:t>
      </w:r>
    </w:p>
    <w:p>
      <w:pPr>
        <w:spacing w:after="0" w:line="237" w:lineRule="auto"/>
        <w:rPr>
          <w:sz w:val="20"/>
          <w:szCs w:val="20"/>
          <w:color w:val="auto"/>
        </w:rPr>
      </w:pPr>
      <w:r>
        <w:rPr>
          <w:rFonts w:ascii="Arial" w:cs="Arial" w:eastAsia="Arial" w:hAnsi="Arial"/>
          <w:sz w:val="14"/>
          <w:szCs w:val="14"/>
          <w:color w:val="auto"/>
        </w:rPr>
        <w:t>concepts of reasonableness and equitable principles of general applicability (including, without limitation, concepts of good faith, fair dealing and the lack of bad faith). This opinion</w:t>
      </w:r>
    </w:p>
    <w:p>
      <w:pPr>
        <w:spacing w:after="0"/>
        <w:rPr>
          <w:sz w:val="20"/>
          <w:szCs w:val="20"/>
          <w:color w:val="auto"/>
        </w:rPr>
      </w:pPr>
      <w:r>
        <w:rPr>
          <w:rFonts w:ascii="Arial" w:cs="Arial" w:eastAsia="Arial" w:hAnsi="Arial"/>
          <w:sz w:val="14"/>
          <w:szCs w:val="14"/>
          <w:color w:val="auto"/>
        </w:rPr>
        <w:t>is given as of the date hereof and is limited to the laws of the State of New York and the federal laws of the United States of America. Insofar as this opinion involves matters</w:t>
      </w:r>
    </w:p>
    <w:p>
      <w:pPr>
        <w:spacing w:after="0" w:line="237" w:lineRule="auto"/>
        <w:rPr>
          <w:sz w:val="20"/>
          <w:szCs w:val="20"/>
          <w:color w:val="auto"/>
        </w:rPr>
      </w:pPr>
      <w:r>
        <w:rPr>
          <w:rFonts w:ascii="Arial" w:cs="Arial" w:eastAsia="Arial" w:hAnsi="Arial"/>
          <w:sz w:val="14"/>
          <w:szCs w:val="14"/>
          <w:color w:val="auto"/>
        </w:rPr>
        <w:t>governed by English law, Mayer Brown LLP has relied, with the Issuer’s permission, on the opinion of Mayer Brown International LLP, dated as of August 4, 2025, filed as an exhibit</w:t>
      </w:r>
    </w:p>
    <w:p>
      <w:pPr>
        <w:spacing w:after="0" w:line="238" w:lineRule="auto"/>
        <w:rPr>
          <w:sz w:val="20"/>
          <w:szCs w:val="20"/>
          <w:color w:val="auto"/>
        </w:rPr>
      </w:pPr>
      <w:r>
        <w:rPr>
          <w:rFonts w:ascii="Arial" w:cs="Arial" w:eastAsia="Arial" w:hAnsi="Arial"/>
          <w:sz w:val="14"/>
          <w:szCs w:val="14"/>
          <w:color w:val="auto"/>
        </w:rPr>
        <w:t>to the Registration Statement by the Issuer on August 4, 2025, and this opinion is subject to the same assumptions, qualifications and limitations as set forth in such opinion of</w:t>
      </w:r>
    </w:p>
    <w:p>
      <w:pPr>
        <w:spacing w:after="0" w:line="238" w:lineRule="auto"/>
        <w:rPr>
          <w:sz w:val="20"/>
          <w:szCs w:val="20"/>
          <w:color w:val="auto"/>
        </w:rPr>
      </w:pPr>
      <w:r>
        <w:rPr>
          <w:rFonts w:ascii="Arial" w:cs="Arial" w:eastAsia="Arial" w:hAnsi="Arial"/>
          <w:sz w:val="14"/>
          <w:szCs w:val="14"/>
          <w:color w:val="auto"/>
        </w:rPr>
        <w:t>Mayer Brown International LLP. This opinion is subject to customary assumptions about the Trustee’s authorization, execution and delivery of the Indenture and the genuineness of</w:t>
      </w:r>
    </w:p>
    <w:p>
      <w:pPr>
        <w:spacing w:after="0" w:line="237" w:lineRule="auto"/>
        <w:rPr>
          <w:sz w:val="20"/>
          <w:szCs w:val="20"/>
          <w:color w:val="auto"/>
        </w:rPr>
      </w:pPr>
      <w:r>
        <w:rPr>
          <w:rFonts w:ascii="Arial" w:cs="Arial" w:eastAsia="Arial" w:hAnsi="Arial"/>
          <w:sz w:val="14"/>
          <w:szCs w:val="14"/>
          <w:color w:val="auto"/>
        </w:rPr>
        <w:t>signatures and to such counsel’s reliance on the Issuer and other sources as to certain factual matters, all as stated in the legal opinion dated August 4, 2025, which has been filed</w:t>
      </w:r>
    </w:p>
    <w:p>
      <w:pPr>
        <w:spacing w:after="0" w:line="238" w:lineRule="auto"/>
        <w:rPr>
          <w:sz w:val="20"/>
          <w:szCs w:val="20"/>
          <w:color w:val="auto"/>
        </w:rPr>
      </w:pPr>
      <w:r>
        <w:rPr>
          <w:rFonts w:ascii="Arial" w:cs="Arial" w:eastAsia="Arial" w:hAnsi="Arial"/>
          <w:sz w:val="14"/>
          <w:szCs w:val="14"/>
          <w:color w:val="auto"/>
        </w:rPr>
        <w:t>as Exhibit 5.2 to the Issuer’s Registration Statement on Form F-3 dated August 4, 2025.</w:t>
      </w:r>
    </w:p>
    <w:p>
      <w:pPr>
        <w:spacing w:after="0"/>
        <w:rPr>
          <w:sz w:val="20"/>
          <w:szCs w:val="20"/>
          <w:color w:val="auto"/>
        </w:rPr>
      </w:pPr>
      <w:r>
        <w:rPr>
          <w:rFonts w:ascii="Arial" w:cs="Arial" w:eastAsia="Arial" w:hAnsi="Arial"/>
          <w:sz w:val="14"/>
          <w:szCs w:val="14"/>
          <w:color w:val="auto"/>
        </w:rPr>
        <w:t> </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PS-15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ectPr>
          <w:pgSz w:w="11900" w:h="16838" w:orient="portrait"/>
          <w:cols w:equalWidth="0" w:num="1">
            <w:col w:w="11280"/>
          </w:cols>
          <w:pgMar w:left="300" w:top="204" w:right="319" w:bottom="1440" w:gutter="0" w:footer="0" w:header="0"/>
        </w:sectPr>
      </w:pPr>
    </w:p>
    <w:bookmarkStart w:id="15" w:name="page16"/>
    <w:bookmarkEnd w:id="15"/>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8"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F-3</w:t>
      </w:r>
    </w:p>
    <w:p>
      <w:pPr>
        <w:spacing w:after="0" w:line="103"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Marex Group plc</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vMerge w:val="restart"/>
            <w:shd w:val="clear" w:color="auto" w:fill="9ADAF6"/>
          </w:tcPr>
          <w:p>
            <w:pPr>
              <w:jc w:val="right"/>
              <w:ind w:right="55"/>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0"/>
                <w:szCs w:val="1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0"/>
                <w:szCs w:val="10"/>
                <w:color w:val="auto"/>
              </w:rPr>
            </w:pPr>
          </w:p>
        </w:tc>
        <w:tc>
          <w:tcPr>
            <w:tcW w:w="10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Aggregate</w:t>
            </w: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ind w:left="160"/>
              <w:spacing w:after="0" w:line="170"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right"/>
              <w:spacing w:after="0" w:line="170"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5"/>
          </w:tcPr>
          <w:p>
            <w:pPr>
              <w:jc w:val="center"/>
              <w:ind w:right="95"/>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Senior</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4"/>
                <w:szCs w:val="14"/>
                <w:color w:val="auto"/>
              </w:rPr>
            </w:pPr>
          </w:p>
        </w:tc>
        <w:tc>
          <w:tcPr>
            <w:tcW w:w="700" w:type="dxa"/>
            <w:vAlign w:val="bottom"/>
            <w:shd w:val="clear" w:color="auto" w:fill="E7E7E2"/>
          </w:tcPr>
          <w:p>
            <w:pPr>
              <w:ind w:left="20"/>
              <w:spacing w:after="0" w:line="170"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4"/>
                <w:szCs w:val="14"/>
                <w:color w:val="auto"/>
              </w:rPr>
            </w:pPr>
          </w:p>
        </w:tc>
        <w:tc>
          <w:tcPr>
            <w:tcW w:w="780" w:type="dxa"/>
            <w:vAlign w:val="bottom"/>
            <w:shd w:val="clear" w:color="auto" w:fill="E7E7E2"/>
          </w:tcPr>
          <w:p>
            <w:pPr>
              <w:ind w:left="20"/>
              <w:spacing w:after="0" w:line="170"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4"/>
                <w:szCs w:val="14"/>
                <w:color w:val="auto"/>
              </w:rPr>
            </w:pPr>
          </w:p>
        </w:tc>
        <w:tc>
          <w:tcPr>
            <w:tcW w:w="960" w:type="dxa"/>
            <w:vAlign w:val="bottom"/>
            <w:shd w:val="clear" w:color="auto" w:fill="E7E7E2"/>
          </w:tcPr>
          <w:p>
            <w:pPr>
              <w:jc w:val="center"/>
              <w:spacing w:after="0" w:line="170"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4"/>
                <w:szCs w:val="14"/>
                <w:color w:val="auto"/>
              </w:rPr>
            </w:pPr>
          </w:p>
        </w:tc>
        <w:tc>
          <w:tcPr>
            <w:tcW w:w="10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rPr>
              <w:t>$ 148.73</w:t>
            </w: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tcBorders>
              <w:bottom w:val="single" w:sz="8" w:color="E7E7E2"/>
            </w:tcBorders>
            <w:shd w:val="clear" w:color="auto" w:fill="E7E7E2"/>
          </w:tcPr>
          <w:p>
            <w:pPr>
              <w:spacing w:after="0" w:line="191"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9"/>
                <w:szCs w:val="19"/>
                <w:color w:val="auto"/>
              </w:rPr>
            </w:pPr>
          </w:p>
        </w:tc>
        <w:tc>
          <w:tcPr>
            <w:tcW w:w="12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bottom w:val="single" w:sz="8" w:color="E7E7E2"/>
            </w:tcBorders>
            <w:shd w:val="clear" w:color="auto" w:fill="E7E7E2"/>
          </w:tcPr>
          <w:p>
            <w:pPr>
              <w:jc w:val="center"/>
              <w:spacing w:after="0"/>
              <w:rPr>
                <w:sz w:val="20"/>
                <w:szCs w:val="20"/>
                <w:color w:val="auto"/>
              </w:rPr>
            </w:pPr>
            <w:r>
              <w:rPr>
                <w:rFonts w:ascii="Arial" w:cs="Arial" w:eastAsia="Arial" w:hAnsi="Arial"/>
                <w:sz w:val="17"/>
                <w:szCs w:val="17"/>
                <w:color w:val="auto"/>
                <w:w w:val="99"/>
              </w:rPr>
              <w:t>Securities</w:t>
            </w:r>
          </w:p>
        </w:tc>
        <w:tc>
          <w:tcPr>
            <w:tcW w:w="20" w:type="dxa"/>
            <w:vAlign w:val="bottom"/>
          </w:tcPr>
          <w:p>
            <w:pPr>
              <w:spacing w:after="0"/>
              <w:rPr>
                <w:sz w:val="19"/>
                <w:szCs w:val="19"/>
                <w:color w:val="auto"/>
              </w:rPr>
            </w:pPr>
          </w:p>
        </w:tc>
        <w:tc>
          <w:tcPr>
            <w:tcW w:w="96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E7E7E2"/>
            </w:tcBorders>
            <w:shd w:val="clear" w:color="auto" w:fill="E7E7E2"/>
          </w:tcPr>
          <w:p>
            <w:pPr>
              <w:jc w:val="right"/>
              <w:spacing w:after="0" w:line="191" w:lineRule="exact"/>
              <w:rPr>
                <w:sz w:val="20"/>
                <w:szCs w:val="20"/>
                <w:color w:val="auto"/>
              </w:rPr>
            </w:pPr>
            <w:r>
              <w:rPr>
                <w:rFonts w:ascii="Arial" w:cs="Arial" w:eastAsia="Arial" w:hAnsi="Arial"/>
                <w:sz w:val="17"/>
                <w:szCs w:val="17"/>
                <w:color w:val="auto"/>
              </w:rPr>
              <w:t>1,077,000.00</w:t>
            </w:r>
          </w:p>
        </w:tc>
        <w:tc>
          <w:tcPr>
            <w:tcW w:w="20" w:type="dxa"/>
            <w:vAlign w:val="bottom"/>
          </w:tcPr>
          <w:p>
            <w:pPr>
              <w:spacing w:after="0"/>
              <w:rPr>
                <w:sz w:val="19"/>
                <w:szCs w:val="19"/>
                <w:color w:val="auto"/>
              </w:rPr>
            </w:pPr>
          </w:p>
        </w:tc>
        <w:tc>
          <w:tcPr>
            <w:tcW w:w="84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bottom w:val="single" w:sz="8" w:color="E7E7E2"/>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5"/>
          </w:tcPr>
          <w:p>
            <w:pPr>
              <w:jc w:val="center"/>
              <w:ind w:right="75"/>
              <w:spacing w:after="0"/>
              <w:rPr>
                <w:sz w:val="20"/>
                <w:szCs w:val="20"/>
                <w:color w:val="auto"/>
              </w:rPr>
            </w:pPr>
            <w:r>
              <w:rPr>
                <w:rFonts w:ascii="Arial" w:cs="Arial" w:eastAsia="Arial" w:hAnsi="Arial"/>
                <w:sz w:val="17"/>
                <w:szCs w:val="17"/>
                <w:b w:val="1"/>
                <w:bCs w:val="1"/>
                <w:color w:val="auto"/>
                <w:w w:val="99"/>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$ 148.73</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1,077,000.00</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$ 148.73</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Calculated in accordance with Rule 457 (r)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79375</wp:posOffset>
            </wp:positionV>
            <wp:extent cx="714629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ind w:left="15"/>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5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Registrant or Filer</w:t>
            </w:r>
          </w:p>
        </w:tc>
        <w:tc>
          <w:tcPr>
            <w:tcW w:w="40" w:type="dxa"/>
            <w:vAlign w:val="bottom"/>
          </w:tcPr>
          <w:p>
            <w:pPr>
              <w:spacing w:after="0"/>
              <w:rPr>
                <w:sz w:val="14"/>
                <w:szCs w:val="14"/>
                <w:color w:val="auto"/>
              </w:rPr>
            </w:pPr>
          </w:p>
        </w:tc>
        <w:tc>
          <w:tcPr>
            <w:tcW w:w="6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4"/>
                <w:szCs w:val="14"/>
                <w:color w:val="auto"/>
              </w:rPr>
            </w:pPr>
          </w:p>
        </w:tc>
        <w:tc>
          <w:tcPr>
            <w:tcW w:w="54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500" w:type="dxa"/>
            <w:vAlign w:val="bottom"/>
            <w:gridSpan w:val="3"/>
            <w:vMerge w:val="continue"/>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4"/>
                <w:szCs w:val="14"/>
                <w:color w:val="auto"/>
              </w:rPr>
            </w:pPr>
          </w:p>
        </w:tc>
        <w:tc>
          <w:tcPr>
            <w:tcW w:w="9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4"/>
                <w:szCs w:val="14"/>
                <w:color w:val="auto"/>
              </w:rPr>
            </w:pPr>
          </w:p>
        </w:tc>
        <w:tc>
          <w:tcPr>
            <w:tcW w:w="9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98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jc w:val="center"/>
              <w:ind w:right="255"/>
              <w:spacing w:after="0" w:line="191" w:lineRule="exact"/>
              <w:rPr>
                <w:sz w:val="20"/>
                <w:szCs w:val="20"/>
                <w:color w:val="auto"/>
              </w:rPr>
            </w:pPr>
            <w:r>
              <w:rPr>
                <w:rFonts w:ascii="Arial" w:cs="Arial" w:eastAsia="Arial" w:hAnsi="Arial"/>
                <w:sz w:val="17"/>
                <w:szCs w:val="17"/>
                <w:b w:val="1"/>
                <w:bCs w:val="1"/>
                <w:color w:val="auto"/>
                <w:w w:val="99"/>
              </w:rPr>
              <w:t>Name</w:t>
            </w:r>
          </w:p>
        </w:tc>
        <w:tc>
          <w:tcPr>
            <w:tcW w:w="4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50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5"/>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360" w:type="dxa"/>
            <w:vAlign w:val="bottom"/>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36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vMerge w:val="continue"/>
            <w:shd w:val="clear" w:color="auto" w:fill="9ADAF6"/>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15"/>
          </w:tcPr>
          <w:p>
            <w:pPr>
              <w:jc w:val="center"/>
              <w:ind w:left="535"/>
              <w:spacing w:after="0"/>
              <w:rPr>
                <w:sz w:val="20"/>
                <w:szCs w:val="20"/>
                <w:color w:val="auto"/>
              </w:rPr>
            </w:pPr>
            <w:r>
              <w:rPr>
                <w:rFonts w:ascii="Arial" w:cs="Arial" w:eastAsia="Arial" w:hAnsi="Arial"/>
                <w:sz w:val="17"/>
                <w:szCs w:val="17"/>
                <w:b w:val="1"/>
                <w:bCs w:val="1"/>
                <w:color w:val="auto"/>
                <w:w w:val="99"/>
              </w:rPr>
              <w:t>Rules 457(b) and 0-11(a)(2)</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6"/>
          </w:tcPr>
          <w:p>
            <w:pPr>
              <w:jc w:val="center"/>
              <w:ind w:left="195"/>
              <w:spacing w:after="0"/>
              <w:rPr>
                <w:sz w:val="20"/>
                <w:szCs w:val="20"/>
                <w:color w:val="auto"/>
              </w:rPr>
            </w:pPr>
            <w:r>
              <w:rPr>
                <w:rFonts w:ascii="Arial" w:cs="Arial" w:eastAsia="Arial" w:hAnsi="Arial"/>
                <w:sz w:val="17"/>
                <w:szCs w:val="17"/>
                <w:b w:val="1"/>
                <w:bCs w:val="1"/>
                <w:color w:val="auto"/>
              </w:rPr>
              <w:t>Rule 457(p)</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6"/>
            <w:shd w:val="clear" w:color="auto" w:fill="9ADAF6"/>
          </w:tcPr>
          <w:p>
            <w:pPr>
              <w:jc w:val="center"/>
              <w:ind w:left="275"/>
              <w:spacing w:after="0"/>
              <w:rPr>
                <w:sz w:val="20"/>
                <w:szCs w:val="20"/>
                <w:color w:val="auto"/>
              </w:rPr>
            </w:pPr>
            <w:r>
              <w:rPr>
                <w:rFonts w:ascii="Arial" w:cs="Arial" w:eastAsia="Arial" w:hAnsi="Arial"/>
                <w:sz w:val="17"/>
                <w:szCs w:val="17"/>
                <w:b w:val="1"/>
                <w:bCs w:val="1"/>
                <w:color w:val="auto"/>
                <w:w w:val="98"/>
              </w:rPr>
              <w:t>Amount of</w:t>
            </w:r>
          </w:p>
        </w:tc>
        <w:tc>
          <w:tcPr>
            <w:tcW w:w="3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900" w:type="dxa"/>
            <w:vAlign w:val="bottom"/>
            <w:gridSpan w:val="5"/>
            <w:shd w:val="clear" w:color="auto" w:fill="9ADAF6"/>
          </w:tcPr>
          <w:p>
            <w:pPr>
              <w:jc w:val="center"/>
              <w:ind w:right="35"/>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840" w:type="dxa"/>
            <w:vAlign w:val="bottom"/>
            <w:gridSpan w:val="5"/>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Securities</w:t>
            </w: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55"/>
              <w:spacing w:after="0" w:line="191"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Form</w:t>
            </w: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2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840" w:type="dxa"/>
            <w:vAlign w:val="bottom"/>
            <w:gridSpan w:val="5"/>
            <w:vMerge w:val="continue"/>
            <w:shd w:val="clear" w:color="auto" w:fill="9ADAF6"/>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2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7"/>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restart"/>
            <w:shd w:val="clear" w:color="auto" w:fill="9ADAF6"/>
          </w:tcPr>
          <w:p>
            <w:pPr>
              <w:jc w:val="center"/>
              <w:ind w:right="55"/>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91"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7"/>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7"/>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75"/>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7"/>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o"/>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png"/><Relationship Id="rId24" Type="http://schemas.openxmlformats.org/officeDocument/2006/relationships/image" Target="media/image14.jpe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11" Type="http://schemas.openxmlformats.org/officeDocument/2006/relationships/hyperlink" Target="https://www.sec.gov/Archives/edgar/data/1997464/000119312525172164/d92960d424b2.htm" TargetMode="External"/><Relationship Id="rId12" Type="http://schemas.openxmlformats.org/officeDocument/2006/relationships/hyperlink" Target="https://www.sec.gov/Archives/edgar/data/1997464/000119312525172136/d87748d424b2.htm" TargetMode="External"/><Relationship Id="rId13" Type="http://schemas.openxmlformats.org/officeDocument/2006/relationships/hyperlink" Target="https://www.sec.gov/Archives/edgar/data/1997464/000119312525172120/d87748d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2026-06-22T11:39:20Z</dcterms:created>
  <dcterms:modified xsi:type="dcterms:W3CDTF">2026-06-22T11:39:20Z</dcterms:modified>
</cp:coreProperties>
</file>