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jc w:val="center"/>
        <w:spacing w:after="0" w:line="234" w:lineRule="auto"/>
        <w:rPr>
          <w:sz w:val="20"/>
          <w:szCs w:val="20"/>
          <w:color w:val="auto"/>
        </w:rPr>
      </w:pPr>
      <w:r>
        <w:rPr>
          <w:rFonts w:ascii="Times New Roman" w:cs="Times New Roman" w:eastAsia="Times New Roman" w:hAnsi="Times New Roman"/>
          <w:sz w:val="22"/>
          <w:szCs w:val="22"/>
          <w:b w:val="1"/>
          <w:bCs w:val="1"/>
          <w:color w:val="auto"/>
        </w:rPr>
        <w:t>PURSUANT TO SECTION 13A-16 OR 15D-16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August 2025</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001-42020</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MAREX GROUP PLC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155 Bishopsgate</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EC2M 3TQ</w:t>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19" w:lineRule="exact"/>
        <w:rPr>
          <w:sz w:val="24"/>
          <w:szCs w:val="24"/>
          <w:color w:val="auto"/>
        </w:rPr>
      </w:pPr>
    </w:p>
    <w:p>
      <w:pPr>
        <w:ind w:left="3500" w:right="1639" w:hanging="4611"/>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9019"/>
          </w:cols>
          <w:pgMar w:left="1440" w:top="1440" w:right="1440" w:bottom="1440" w:gutter="0" w:footer="0" w:header="0"/>
        </w:sectPr>
      </w:pPr>
    </w:p>
    <w:bookmarkStart w:id="1" w:name="page2"/>
    <w:bookmarkEnd w:id="1"/>
    <w:p>
      <w:pPr>
        <w:ind w:left="466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Results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13 August 2025, Marex Group plc (the “Company”) issued a press release titled “Marex Group plc Interim 2025 Results” and the Condensed Consolidated Financial Statements for Marex Group for the six months ended June 30, 2025. A copy of the press release is furnished as Exhibit 99.1 herewith and a copy of the Condensed Consolidated Financial Statements is furnished as Exhibit 99.2 herewith.</w:t>
      </w:r>
    </w:p>
    <w:p>
      <w:pPr>
        <w:sectPr>
          <w:pgSz w:w="11900" w:h="16838" w:orient="portrait"/>
          <w:cols w:equalWidth="0" w:num="1">
            <w:col w:w="10700"/>
          </w:cols>
          <w:pgMar w:left="320" w:top="1400" w:right="87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596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45"/>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exhibits are furnished as part of this Form 6-K:</w:t>
            </w:r>
          </w:p>
        </w:tc>
      </w:tr>
      <w:tr>
        <w:trPr>
          <w:trHeight w:val="513"/>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59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33"/>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9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Press release dated 13 August 2025 titled “Marex Group plc Interim 2025</w:t>
            </w:r>
          </w:p>
        </w:tc>
      </w:tr>
      <w:tr>
        <w:trPr>
          <w:trHeight w:val="234"/>
        </w:trPr>
        <w:tc>
          <w:tcPr>
            <w:tcW w:w="1480" w:type="dxa"/>
            <w:vAlign w:val="bottom"/>
          </w:tcPr>
          <w:p>
            <w:pPr>
              <w:spacing w:after="0"/>
              <w:rPr>
                <w:sz w:val="20"/>
                <w:szCs w:val="20"/>
                <w:color w:val="auto"/>
              </w:rPr>
            </w:pPr>
          </w:p>
        </w:tc>
        <w:tc>
          <w:tcPr>
            <w:tcW w:w="59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Results”</w:t>
            </w:r>
          </w:p>
        </w:tc>
      </w:tr>
      <w:tr>
        <w:trPr>
          <w:trHeight w:val="225"/>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59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Condensed Consolidated Financial Statements for Marex Group for the six</w:t>
            </w:r>
          </w:p>
        </w:tc>
      </w:tr>
      <w:tr>
        <w:trPr>
          <w:trHeight w:val="234"/>
        </w:trPr>
        <w:tc>
          <w:tcPr>
            <w:tcW w:w="1480" w:type="dxa"/>
            <w:vAlign w:val="bottom"/>
          </w:tcPr>
          <w:p>
            <w:pPr>
              <w:spacing w:after="0"/>
              <w:rPr>
                <w:sz w:val="20"/>
                <w:szCs w:val="20"/>
                <w:color w:val="auto"/>
              </w:rPr>
            </w:pPr>
          </w:p>
        </w:tc>
        <w:tc>
          <w:tcPr>
            <w:tcW w:w="59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months ended June 30, 2025</w:t>
            </w:r>
          </w:p>
        </w:tc>
      </w:tr>
    </w:tbl>
    <w:p>
      <w:pPr>
        <w:sectPr>
          <w:pgSz w:w="11900" w:h="16838" w:orient="portrait"/>
          <w:cols w:equalWidth="0" w:num="1">
            <w:col w:w="10139"/>
          </w:cols>
          <w:pgMar w:left="320" w:top="1440" w:right="1440"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p>
    <w:p>
      <w:pPr>
        <w:ind w:right="480"/>
        <w:spacing w:after="0" w:line="24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auto"/>
        </w:rPr>
        <w:t>Marex Group plc</w:t>
      </w:r>
    </w:p>
    <w:p>
      <w:pPr>
        <w:spacing w:after="0" w:line="270" w:lineRule="exact"/>
        <w:rPr>
          <w:sz w:val="20"/>
          <w:szCs w:val="20"/>
          <w:color w:val="auto"/>
        </w:rPr>
      </w:pPr>
    </w:p>
    <w:p>
      <w:pPr>
        <w:ind w:left="8040" w:hanging="9624"/>
        <w:spacing w:after="0" w:line="284" w:lineRule="auto"/>
        <w:tabs>
          <w:tab w:leader="none" w:pos="8020" w:val="left"/>
        </w:tabs>
        <w:rPr>
          <w:sz w:val="20"/>
          <w:szCs w:val="20"/>
          <w:color w:val="auto"/>
        </w:rPr>
      </w:pPr>
      <w:r>
        <w:rPr>
          <w:rFonts w:ascii="Times New Roman" w:cs="Times New Roman" w:eastAsia="Times New Roman" w:hAnsi="Times New Roman"/>
          <w:sz w:val="18"/>
          <w:szCs w:val="18"/>
          <w:color w:val="auto"/>
        </w:rPr>
        <w:t>Date: 13 August 2024</w:t>
      </w:r>
      <w:r>
        <w:rPr>
          <w:sz w:val="20"/>
          <w:szCs w:val="20"/>
          <w:color w:val="auto"/>
        </w:rPr>
        <w:tab/>
      </w:r>
      <w:r>
        <w:rPr>
          <w:rFonts w:ascii="Times New Roman" w:cs="Times New Roman" w:eastAsia="Times New Roman" w:hAnsi="Times New Roman"/>
          <w:sz w:val="18"/>
          <w:szCs w:val="18"/>
          <w:color w:val="auto"/>
        </w:rPr>
        <w:t>By: /s/ Robert Irvin Robert Irvin</w:t>
      </w:r>
    </w:p>
    <w:p>
      <w:pPr>
        <w:spacing w:after="0" w:line="268"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7"/>
          <w:szCs w:val="17"/>
          <w:color w:val="auto"/>
        </w:rPr>
        <w:t>Chief Financial</w:t>
      </w:r>
    </w:p>
    <w:p>
      <w:pPr>
        <w:spacing w:after="0" w:line="27"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0760"/>
          </w:cols>
          <w:pgMar w:left="320" w:top="1440" w:right="81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793690"/>
        </w:rPr>
        <w:t>Marex Group plc announces second quarter 2025 results</w:t>
      </w:r>
    </w:p>
    <w:p>
      <w:pPr>
        <w:spacing w:after="0" w:line="350" w:lineRule="exact"/>
        <w:rPr>
          <w:sz w:val="20"/>
          <w:szCs w:val="20"/>
          <w:color w:val="auto"/>
        </w:rPr>
      </w:pPr>
    </w:p>
    <w:p>
      <w:pPr>
        <w:ind w:right="120"/>
        <w:spacing w:after="0" w:line="274" w:lineRule="auto"/>
        <w:rPr>
          <w:sz w:val="20"/>
          <w:szCs w:val="20"/>
          <w:color w:val="auto"/>
        </w:rPr>
      </w:pPr>
      <w:r>
        <w:rPr>
          <w:rFonts w:ascii="Arial" w:cs="Arial" w:eastAsia="Arial" w:hAnsi="Arial"/>
          <w:sz w:val="15"/>
          <w:szCs w:val="15"/>
          <w:b w:val="1"/>
          <w:bCs w:val="1"/>
          <w:color w:val="auto"/>
        </w:rPr>
        <w:t xml:space="preserve">NEW YORK, 13 August 2025 (GLOBE NEWSWIRE) </w:t>
      </w:r>
      <w:r>
        <w:rPr>
          <w:rFonts w:ascii="Arial" w:cs="Arial" w:eastAsia="Arial" w:hAnsi="Arial"/>
          <w:sz w:val="15"/>
          <w:szCs w:val="15"/>
          <w:color w:val="auto"/>
        </w:rPr>
        <w:t>– Marex Group plc (‘Marex’ or the ‘Group’; Nasdaq: MRX) a diversified global financial services platform,</w:t>
      </w:r>
      <w:r>
        <w:rPr>
          <w:rFonts w:ascii="Arial" w:cs="Arial" w:eastAsia="Arial" w:hAnsi="Arial"/>
          <w:sz w:val="15"/>
          <w:szCs w:val="15"/>
          <w:b w:val="1"/>
          <w:bCs w:val="1"/>
          <w:color w:val="auto"/>
        </w:rPr>
        <w:t xml:space="preserve"> </w:t>
      </w:r>
      <w:r>
        <w:rPr>
          <w:rFonts w:ascii="Arial" w:cs="Arial" w:eastAsia="Arial" w:hAnsi="Arial"/>
          <w:sz w:val="15"/>
          <w:szCs w:val="15"/>
          <w:color w:val="auto"/>
        </w:rPr>
        <w:t>providing essential liquidity, market access and infrastructure services to clients in the energy, commodities and financial markets, today reported financial results for the second quarter ('Q2 2025').</w:t>
      </w:r>
    </w:p>
    <w:p>
      <w:pPr>
        <w:spacing w:after="0" w:line="71" w:lineRule="exact"/>
        <w:rPr>
          <w:sz w:val="20"/>
          <w:szCs w:val="20"/>
          <w:color w:val="auto"/>
        </w:rPr>
      </w:pPr>
    </w:p>
    <w:p>
      <w:pPr>
        <w:spacing w:after="0" w:line="248" w:lineRule="auto"/>
        <w:rPr>
          <w:sz w:val="20"/>
          <w:szCs w:val="20"/>
          <w:color w:val="auto"/>
        </w:rPr>
      </w:pPr>
      <w:r>
        <w:rPr>
          <w:rFonts w:ascii="Arial" w:cs="Arial" w:eastAsia="Arial" w:hAnsi="Arial"/>
          <w:sz w:val="15"/>
          <w:szCs w:val="15"/>
          <w:b w:val="1"/>
          <w:bCs w:val="1"/>
          <w:color w:val="auto"/>
        </w:rPr>
        <w:t xml:space="preserve">Ian Lowitt, Group Chief Executive Officer, stated, </w:t>
      </w:r>
      <w:r>
        <w:rPr>
          <w:rFonts w:ascii="Arial" w:cs="Arial" w:eastAsia="Arial" w:hAnsi="Arial"/>
          <w:sz w:val="15"/>
          <w:szCs w:val="15"/>
          <w:color w:val="auto"/>
        </w:rPr>
        <w:t>“I am delighted with our very strong performance. In the first half we generated almost $1 billion of revenue and a</w:t>
      </w:r>
      <w:r>
        <w:rPr>
          <w:rFonts w:ascii="Arial" w:cs="Arial" w:eastAsia="Arial" w:hAnsi="Arial"/>
          <w:sz w:val="15"/>
          <w:szCs w:val="15"/>
          <w:b w:val="1"/>
          <w:bCs w:val="1"/>
          <w:color w:val="auto"/>
        </w:rPr>
        <w:t xml:space="preserve"> </w:t>
      </w:r>
      <w:r>
        <w:rPr>
          <w:rFonts w:ascii="Arial" w:cs="Arial" w:eastAsia="Arial" w:hAnsi="Arial"/>
          <w:sz w:val="15"/>
          <w:szCs w:val="15"/>
          <w:color w:val="auto"/>
        </w:rPr>
        <w:t>record $203 million of Adjusted Profit Before Tax</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(PBT), up 27% on last year. The second quarter, at $106 million of Adjusted PBT</w:t>
      </w:r>
      <w:r>
        <w:rPr>
          <w:rFonts w:ascii="Arial" w:cs="Arial" w:eastAsia="Arial" w:hAnsi="Arial"/>
          <w:sz w:val="19"/>
          <w:szCs w:val="19"/>
          <w:color w:val="auto"/>
          <w:vertAlign w:val="superscript"/>
        </w:rPr>
        <w:t>1</w:t>
      </w:r>
      <w:r>
        <w:rPr>
          <w:rFonts w:ascii="Arial" w:cs="Arial" w:eastAsia="Arial" w:hAnsi="Arial"/>
          <w:sz w:val="15"/>
          <w:szCs w:val="15"/>
          <w:color w:val="auto"/>
        </w:rPr>
        <w:t>, was up 16% on Q2 of last year, which was a tough comparator as we benefited from unusually positive market making opportunities. We continue to generate a high Return on Equity at 28% for the second quarter with a robust Reported Profit Before Tax margin of almost 21% for the same period.</w:t>
      </w:r>
    </w:p>
    <w:p>
      <w:pPr>
        <w:spacing w:after="0" w:line="79" w:lineRule="exact"/>
        <w:rPr>
          <w:sz w:val="20"/>
          <w:szCs w:val="20"/>
          <w:color w:val="auto"/>
        </w:rPr>
      </w:pPr>
    </w:p>
    <w:p>
      <w:pPr>
        <w:jc w:val="both"/>
        <w:ind w:right="200"/>
        <w:spacing w:after="0" w:line="273" w:lineRule="auto"/>
        <w:rPr>
          <w:sz w:val="20"/>
          <w:szCs w:val="20"/>
          <w:color w:val="auto"/>
        </w:rPr>
      </w:pPr>
      <w:r>
        <w:rPr>
          <w:rFonts w:ascii="Arial" w:cs="Arial" w:eastAsia="Arial" w:hAnsi="Arial"/>
          <w:sz w:val="15"/>
          <w:szCs w:val="15"/>
          <w:color w:val="auto"/>
        </w:rPr>
        <w:t>This strong performance validates our strategy and our execution of that strategy. The acquisition of the Prime Services business from TD Cowen in late 2023 has been a particular success and has increased our earnings power, but it is the combination of all our acquisitions and organic growth initiatives which have delivered these great results. We remain very excited about our prospects going forward."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Financial and Operational Highlights:</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H1 25 Performance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60" w:type="dxa"/>
            <w:vAlign w:val="bottom"/>
            <w:tcBorders>
              <w:bottom w:val="single" w:sz="8" w:color="793690"/>
            </w:tcBorders>
          </w:tcPr>
          <w:p>
            <w:pPr>
              <w:ind w:left="1140"/>
              <w:spacing w:after="0"/>
              <w:rPr>
                <w:sz w:val="20"/>
                <w:szCs w:val="20"/>
                <w:color w:val="auto"/>
              </w:rPr>
            </w:pPr>
            <w:r>
              <w:rPr>
                <w:rFonts w:ascii="Arial" w:cs="Arial" w:eastAsia="Arial" w:hAnsi="Arial"/>
                <w:sz w:val="13"/>
                <w:szCs w:val="13"/>
                <w:b w:val="1"/>
                <w:bCs w:val="1"/>
                <w:color w:val="auto"/>
              </w:rPr>
              <w:t>Revenue</w:t>
            </w:r>
          </w:p>
        </w:tc>
        <w:tc>
          <w:tcPr>
            <w:tcW w:w="3060" w:type="dxa"/>
            <w:vAlign w:val="bottom"/>
            <w:tcBorders>
              <w:bottom w:val="single" w:sz="8" w:color="793690"/>
            </w:tcBorders>
          </w:tcPr>
          <w:p>
            <w:pPr>
              <w:ind w:left="720"/>
              <w:spacing w:after="0"/>
              <w:rPr>
                <w:sz w:val="20"/>
                <w:szCs w:val="20"/>
                <w:color w:val="auto"/>
              </w:rPr>
            </w:pPr>
            <w:r>
              <w:rPr>
                <w:rFonts w:ascii="Arial" w:cs="Arial" w:eastAsia="Arial" w:hAnsi="Arial"/>
                <w:sz w:val="13"/>
                <w:szCs w:val="13"/>
                <w:b w:val="1"/>
                <w:bCs w:val="1"/>
                <w:color w:val="auto"/>
              </w:rPr>
              <w:t>Adjusted Profit Before Tax</w:t>
            </w:r>
            <w:r>
              <w:rPr>
                <w:rFonts w:ascii="Arial" w:cs="Arial" w:eastAsia="Arial" w:hAnsi="Arial"/>
                <w:sz w:val="16"/>
                <w:szCs w:val="16"/>
                <w:b w:val="1"/>
                <w:bCs w:val="1"/>
                <w:color w:val="auto"/>
                <w:vertAlign w:val="superscript"/>
              </w:rPr>
              <w:t>1</w:t>
            </w:r>
          </w:p>
        </w:tc>
        <w:tc>
          <w:tcPr>
            <w:tcW w:w="2640" w:type="dxa"/>
            <w:vAlign w:val="bottom"/>
            <w:tcBorders>
              <w:bottom w:val="single" w:sz="8" w:color="793690"/>
            </w:tcBorders>
          </w:tcPr>
          <w:p>
            <w:pPr>
              <w:ind w:left="760"/>
              <w:spacing w:after="0"/>
              <w:rPr>
                <w:sz w:val="20"/>
                <w:szCs w:val="20"/>
                <w:color w:val="auto"/>
              </w:rPr>
            </w:pPr>
            <w:r>
              <w:rPr>
                <w:rFonts w:ascii="Arial" w:cs="Arial" w:eastAsia="Arial" w:hAnsi="Arial"/>
                <w:sz w:val="13"/>
                <w:szCs w:val="13"/>
                <w:b w:val="1"/>
                <w:bCs w:val="1"/>
                <w:color w:val="auto"/>
              </w:rPr>
              <w:t>Profit Before Tax</w:t>
            </w:r>
          </w:p>
        </w:tc>
        <w:tc>
          <w:tcPr>
            <w:tcW w:w="2840" w:type="dxa"/>
            <w:vAlign w:val="bottom"/>
            <w:tcBorders>
              <w:bottom w:val="single" w:sz="8" w:color="793690"/>
            </w:tcBorders>
          </w:tcPr>
          <w:p>
            <w:pPr>
              <w:ind w:left="840"/>
              <w:spacing w:after="0"/>
              <w:rPr>
                <w:sz w:val="20"/>
                <w:szCs w:val="20"/>
                <w:color w:val="auto"/>
              </w:rPr>
            </w:pPr>
            <w:r>
              <w:rPr>
                <w:rFonts w:ascii="Arial" w:cs="Arial" w:eastAsia="Arial" w:hAnsi="Arial"/>
                <w:sz w:val="13"/>
                <w:szCs w:val="13"/>
                <w:b w:val="1"/>
                <w:bCs w:val="1"/>
                <w:color w:val="auto"/>
              </w:rPr>
              <w:t>Reported Basic EPS</w:t>
            </w:r>
          </w:p>
        </w:tc>
      </w:tr>
      <w:tr>
        <w:trPr>
          <w:trHeight w:val="216"/>
        </w:trPr>
        <w:tc>
          <w:tcPr>
            <w:tcW w:w="2660" w:type="dxa"/>
            <w:vAlign w:val="bottom"/>
            <w:tcBorders>
              <w:bottom w:val="single" w:sz="8" w:color="F4EFF6"/>
            </w:tcBorders>
            <w:shd w:val="clear" w:color="auto" w:fill="F4EFF6"/>
          </w:tcPr>
          <w:p>
            <w:pPr>
              <w:jc w:val="center"/>
              <w:ind w:left="67"/>
              <w:spacing w:after="0"/>
              <w:rPr>
                <w:sz w:val="20"/>
                <w:szCs w:val="20"/>
                <w:color w:val="auto"/>
              </w:rPr>
            </w:pPr>
            <w:r>
              <w:rPr>
                <w:rFonts w:ascii="Arial" w:cs="Arial" w:eastAsia="Arial" w:hAnsi="Arial"/>
                <w:sz w:val="15"/>
                <w:szCs w:val="15"/>
                <w:b w:val="1"/>
                <w:bCs w:val="1"/>
                <w:color w:val="auto"/>
              </w:rPr>
              <w:t>$967.4m</w:t>
            </w:r>
          </w:p>
        </w:tc>
        <w:tc>
          <w:tcPr>
            <w:tcW w:w="3060" w:type="dxa"/>
            <w:vAlign w:val="bottom"/>
            <w:tcBorders>
              <w:bottom w:val="single" w:sz="8" w:color="F4EFF6"/>
            </w:tcBorders>
            <w:shd w:val="clear" w:color="auto" w:fill="F4EFF6"/>
          </w:tcPr>
          <w:p>
            <w:pPr>
              <w:jc w:val="center"/>
              <w:spacing w:after="0"/>
              <w:rPr>
                <w:sz w:val="20"/>
                <w:szCs w:val="20"/>
                <w:color w:val="auto"/>
              </w:rPr>
            </w:pPr>
            <w:r>
              <w:rPr>
                <w:rFonts w:ascii="Arial" w:cs="Arial" w:eastAsia="Arial" w:hAnsi="Arial"/>
                <w:sz w:val="15"/>
                <w:szCs w:val="15"/>
                <w:b w:val="1"/>
                <w:bCs w:val="1"/>
                <w:color w:val="auto"/>
              </w:rPr>
              <w:t>$202.7m</w:t>
            </w:r>
          </w:p>
        </w:tc>
        <w:tc>
          <w:tcPr>
            <w:tcW w:w="2640" w:type="dxa"/>
            <w:vAlign w:val="bottom"/>
            <w:tcBorders>
              <w:bottom w:val="single" w:sz="8" w:color="F4EFF6"/>
            </w:tcBorders>
            <w:shd w:val="clear" w:color="auto" w:fill="F4EFF6"/>
          </w:tcPr>
          <w:p>
            <w:pPr>
              <w:jc w:val="center"/>
              <w:ind w:right="47"/>
              <w:spacing w:after="0"/>
              <w:rPr>
                <w:sz w:val="20"/>
                <w:szCs w:val="20"/>
                <w:color w:val="auto"/>
              </w:rPr>
            </w:pPr>
            <w:r>
              <w:rPr>
                <w:rFonts w:ascii="Arial" w:cs="Arial" w:eastAsia="Arial" w:hAnsi="Arial"/>
                <w:sz w:val="15"/>
                <w:szCs w:val="15"/>
                <w:b w:val="1"/>
                <w:bCs w:val="1"/>
                <w:color w:val="auto"/>
              </w:rPr>
              <w:t>$201.6m</w:t>
            </w:r>
          </w:p>
        </w:tc>
        <w:tc>
          <w:tcPr>
            <w:tcW w:w="2840" w:type="dxa"/>
            <w:vAlign w:val="bottom"/>
            <w:tcBorders>
              <w:bottom w:val="single" w:sz="8" w:color="F4EFF6"/>
            </w:tcBorders>
            <w:shd w:val="clear" w:color="auto" w:fill="F4EFF6"/>
          </w:tcPr>
          <w:p>
            <w:pPr>
              <w:jc w:val="center"/>
              <w:spacing w:after="0"/>
              <w:rPr>
                <w:sz w:val="20"/>
                <w:szCs w:val="20"/>
                <w:color w:val="auto"/>
              </w:rPr>
            </w:pPr>
            <w:r>
              <w:rPr>
                <w:rFonts w:ascii="Arial" w:cs="Arial" w:eastAsia="Arial" w:hAnsi="Arial"/>
                <w:sz w:val="15"/>
                <w:szCs w:val="15"/>
                <w:b w:val="1"/>
                <w:bCs w:val="1"/>
                <w:color w:val="auto"/>
              </w:rPr>
              <w:t>$2.01</w:t>
            </w:r>
          </w:p>
        </w:tc>
      </w:tr>
      <w:tr>
        <w:trPr>
          <w:trHeight w:val="210"/>
        </w:trPr>
        <w:tc>
          <w:tcPr>
            <w:tcW w:w="2660" w:type="dxa"/>
            <w:vAlign w:val="bottom"/>
          </w:tcPr>
          <w:p>
            <w:pPr>
              <w:jc w:val="center"/>
              <w:ind w:left="67"/>
              <w:spacing w:after="0"/>
              <w:rPr>
                <w:sz w:val="20"/>
                <w:szCs w:val="20"/>
                <w:color w:val="auto"/>
              </w:rPr>
            </w:pPr>
            <w:r>
              <w:rPr>
                <w:rFonts w:ascii="Arial" w:cs="Arial" w:eastAsia="Arial" w:hAnsi="Arial"/>
                <w:sz w:val="15"/>
                <w:szCs w:val="15"/>
                <w:color w:val="auto"/>
              </w:rPr>
              <w:t>+23%</w:t>
            </w:r>
          </w:p>
        </w:tc>
        <w:tc>
          <w:tcPr>
            <w:tcW w:w="3060" w:type="dxa"/>
            <w:vAlign w:val="bottom"/>
          </w:tcPr>
          <w:p>
            <w:pPr>
              <w:jc w:val="center"/>
              <w:spacing w:after="0"/>
              <w:rPr>
                <w:sz w:val="20"/>
                <w:szCs w:val="20"/>
                <w:color w:val="auto"/>
              </w:rPr>
            </w:pPr>
            <w:r>
              <w:rPr>
                <w:rFonts w:ascii="Arial" w:cs="Arial" w:eastAsia="Arial" w:hAnsi="Arial"/>
                <w:sz w:val="15"/>
                <w:szCs w:val="15"/>
                <w:color w:val="auto"/>
              </w:rPr>
              <w:t>+27%</w:t>
            </w:r>
          </w:p>
        </w:tc>
        <w:tc>
          <w:tcPr>
            <w:tcW w:w="2640" w:type="dxa"/>
            <w:vAlign w:val="bottom"/>
          </w:tcPr>
          <w:p>
            <w:pPr>
              <w:jc w:val="center"/>
              <w:ind w:right="47"/>
              <w:spacing w:after="0"/>
              <w:rPr>
                <w:sz w:val="20"/>
                <w:szCs w:val="20"/>
                <w:color w:val="auto"/>
              </w:rPr>
            </w:pPr>
            <w:r>
              <w:rPr>
                <w:rFonts w:ascii="Arial" w:cs="Arial" w:eastAsia="Arial" w:hAnsi="Arial"/>
                <w:sz w:val="15"/>
                <w:szCs w:val="15"/>
                <w:color w:val="auto"/>
              </w:rPr>
              <w:t>+45%</w:t>
            </w:r>
          </w:p>
        </w:tc>
        <w:tc>
          <w:tcPr>
            <w:tcW w:w="2840" w:type="dxa"/>
            <w:vAlign w:val="bottom"/>
          </w:tcPr>
          <w:p>
            <w:pPr>
              <w:jc w:val="center"/>
              <w:spacing w:after="0"/>
              <w:rPr>
                <w:sz w:val="20"/>
                <w:szCs w:val="20"/>
                <w:color w:val="auto"/>
              </w:rPr>
            </w:pPr>
            <w:r>
              <w:rPr>
                <w:rFonts w:ascii="Arial" w:cs="Arial" w:eastAsia="Arial" w:hAnsi="Arial"/>
                <w:sz w:val="15"/>
                <w:szCs w:val="15"/>
                <w:color w:val="auto"/>
              </w:rPr>
              <w:t>+43%</w:t>
            </w:r>
          </w:p>
        </w:tc>
      </w:tr>
      <w:tr>
        <w:trPr>
          <w:trHeight w:val="33"/>
        </w:trPr>
        <w:tc>
          <w:tcPr>
            <w:tcW w:w="2660" w:type="dxa"/>
            <w:vAlign w:val="bottom"/>
            <w:tcBorders>
              <w:bottom w:val="single" w:sz="8" w:color="DADAE7"/>
            </w:tcBorders>
          </w:tcPr>
          <w:p>
            <w:pPr>
              <w:spacing w:after="0"/>
              <w:rPr>
                <w:sz w:val="2"/>
                <w:szCs w:val="2"/>
                <w:color w:val="auto"/>
              </w:rPr>
            </w:pPr>
          </w:p>
        </w:tc>
        <w:tc>
          <w:tcPr>
            <w:tcW w:w="3060" w:type="dxa"/>
            <w:vAlign w:val="bottom"/>
            <w:tcBorders>
              <w:bottom w:val="single" w:sz="8" w:color="DADAE7"/>
            </w:tcBorders>
          </w:tcPr>
          <w:p>
            <w:pPr>
              <w:spacing w:after="0"/>
              <w:rPr>
                <w:sz w:val="2"/>
                <w:szCs w:val="2"/>
                <w:color w:val="auto"/>
              </w:rPr>
            </w:pPr>
          </w:p>
        </w:tc>
        <w:tc>
          <w:tcPr>
            <w:tcW w:w="2640" w:type="dxa"/>
            <w:vAlign w:val="bottom"/>
            <w:tcBorders>
              <w:bottom w:val="single" w:sz="8" w:color="DADAE7"/>
            </w:tcBorders>
          </w:tcPr>
          <w:p>
            <w:pPr>
              <w:spacing w:after="0"/>
              <w:rPr>
                <w:sz w:val="2"/>
                <w:szCs w:val="2"/>
                <w:color w:val="auto"/>
              </w:rPr>
            </w:pPr>
          </w:p>
        </w:tc>
        <w:tc>
          <w:tcPr>
            <w:tcW w:w="2840" w:type="dxa"/>
            <w:vAlign w:val="bottom"/>
            <w:tcBorders>
              <w:bottom w:val="single" w:sz="8" w:color="DADAE7"/>
            </w:tcBorders>
          </w:tcPr>
          <w:p>
            <w:pPr>
              <w:spacing w:after="0"/>
              <w:rPr>
                <w:sz w:val="2"/>
                <w:szCs w:val="2"/>
                <w:color w:val="auto"/>
              </w:rPr>
            </w:pPr>
          </w:p>
        </w:tc>
      </w:tr>
      <w:tr>
        <w:trPr>
          <w:trHeight w:val="204"/>
        </w:trPr>
        <w:tc>
          <w:tcPr>
            <w:tcW w:w="2660" w:type="dxa"/>
            <w:vAlign w:val="bottom"/>
          </w:tcPr>
          <w:p>
            <w:pPr>
              <w:jc w:val="center"/>
              <w:ind w:left="67"/>
              <w:spacing w:after="0"/>
              <w:rPr>
                <w:sz w:val="20"/>
                <w:szCs w:val="20"/>
                <w:color w:val="auto"/>
              </w:rPr>
            </w:pPr>
            <w:r>
              <w:rPr>
                <w:rFonts w:ascii="Arial" w:cs="Arial" w:eastAsia="Arial" w:hAnsi="Arial"/>
                <w:sz w:val="15"/>
                <w:szCs w:val="15"/>
                <w:color w:val="auto"/>
              </w:rPr>
              <w:t>H1 24: $787.9m</w:t>
            </w:r>
          </w:p>
        </w:tc>
        <w:tc>
          <w:tcPr>
            <w:tcW w:w="3060" w:type="dxa"/>
            <w:vAlign w:val="bottom"/>
          </w:tcPr>
          <w:p>
            <w:pPr>
              <w:jc w:val="center"/>
              <w:spacing w:after="0"/>
              <w:rPr>
                <w:sz w:val="20"/>
                <w:szCs w:val="20"/>
                <w:color w:val="auto"/>
              </w:rPr>
            </w:pPr>
            <w:r>
              <w:rPr>
                <w:rFonts w:ascii="Arial" w:cs="Arial" w:eastAsia="Arial" w:hAnsi="Arial"/>
                <w:sz w:val="15"/>
                <w:szCs w:val="15"/>
                <w:color w:val="auto"/>
              </w:rPr>
              <w:t>H1 24: $159.2m</w:t>
            </w:r>
          </w:p>
        </w:tc>
        <w:tc>
          <w:tcPr>
            <w:tcW w:w="2640" w:type="dxa"/>
            <w:vAlign w:val="bottom"/>
          </w:tcPr>
          <w:p>
            <w:pPr>
              <w:jc w:val="center"/>
              <w:ind w:right="27"/>
              <w:spacing w:after="0"/>
              <w:rPr>
                <w:sz w:val="20"/>
                <w:szCs w:val="20"/>
                <w:color w:val="auto"/>
              </w:rPr>
            </w:pPr>
            <w:r>
              <w:rPr>
                <w:rFonts w:ascii="Arial" w:cs="Arial" w:eastAsia="Arial" w:hAnsi="Arial"/>
                <w:sz w:val="15"/>
                <w:szCs w:val="15"/>
                <w:color w:val="auto"/>
              </w:rPr>
              <w:t>H1 24: $139.0m</w:t>
            </w:r>
          </w:p>
        </w:tc>
        <w:tc>
          <w:tcPr>
            <w:tcW w:w="2840" w:type="dxa"/>
            <w:vAlign w:val="bottom"/>
          </w:tcPr>
          <w:p>
            <w:pPr>
              <w:jc w:val="center"/>
              <w:spacing w:after="0"/>
              <w:rPr>
                <w:sz w:val="20"/>
                <w:szCs w:val="20"/>
                <w:color w:val="auto"/>
              </w:rPr>
            </w:pPr>
            <w:r>
              <w:rPr>
                <w:rFonts w:ascii="Arial" w:cs="Arial" w:eastAsia="Arial" w:hAnsi="Arial"/>
                <w:sz w:val="15"/>
                <w:szCs w:val="15"/>
                <w:color w:val="auto"/>
              </w:rPr>
              <w:t>H1 24: $1.41</w:t>
            </w:r>
          </w:p>
        </w:tc>
      </w:tr>
      <w:tr>
        <w:trPr>
          <w:trHeight w:val="33"/>
        </w:trPr>
        <w:tc>
          <w:tcPr>
            <w:tcW w:w="2660" w:type="dxa"/>
            <w:vAlign w:val="bottom"/>
            <w:tcBorders>
              <w:bottom w:val="single" w:sz="8" w:color="793690"/>
            </w:tcBorders>
          </w:tcPr>
          <w:p>
            <w:pPr>
              <w:spacing w:after="0"/>
              <w:rPr>
                <w:sz w:val="2"/>
                <w:szCs w:val="2"/>
                <w:color w:val="auto"/>
              </w:rPr>
            </w:pPr>
          </w:p>
        </w:tc>
        <w:tc>
          <w:tcPr>
            <w:tcW w:w="3060" w:type="dxa"/>
            <w:vAlign w:val="bottom"/>
            <w:tcBorders>
              <w:bottom w:val="single" w:sz="8" w:color="793690"/>
            </w:tcBorders>
          </w:tcPr>
          <w:p>
            <w:pPr>
              <w:spacing w:after="0"/>
              <w:rPr>
                <w:sz w:val="2"/>
                <w:szCs w:val="2"/>
                <w:color w:val="auto"/>
              </w:rPr>
            </w:pPr>
          </w:p>
        </w:tc>
        <w:tc>
          <w:tcPr>
            <w:tcW w:w="2640" w:type="dxa"/>
            <w:vAlign w:val="bottom"/>
            <w:tcBorders>
              <w:bottom w:val="single" w:sz="8" w:color="793690"/>
            </w:tcBorders>
          </w:tcPr>
          <w:p>
            <w:pPr>
              <w:spacing w:after="0"/>
              <w:rPr>
                <w:sz w:val="2"/>
                <w:szCs w:val="2"/>
                <w:color w:val="auto"/>
              </w:rPr>
            </w:pPr>
          </w:p>
        </w:tc>
        <w:tc>
          <w:tcPr>
            <w:tcW w:w="2840" w:type="dxa"/>
            <w:vAlign w:val="bottom"/>
            <w:tcBorders>
              <w:bottom w:val="single" w:sz="8" w:color="793690"/>
            </w:tcBorders>
          </w:tcPr>
          <w:p>
            <w:pPr>
              <w:spacing w:after="0"/>
              <w:rPr>
                <w:sz w:val="2"/>
                <w:szCs w:val="2"/>
                <w:color w:val="auto"/>
              </w:rPr>
            </w:pPr>
          </w:p>
        </w:tc>
      </w:tr>
    </w:tbl>
    <w:p>
      <w:pPr>
        <w:spacing w:after="0" w:line="284" w:lineRule="exact"/>
        <w:rPr>
          <w:sz w:val="20"/>
          <w:szCs w:val="20"/>
          <w:color w:val="auto"/>
        </w:rPr>
      </w:pPr>
    </w:p>
    <w:p>
      <w:pPr>
        <w:ind w:left="160" w:right="560" w:hanging="152"/>
        <w:spacing w:after="0" w:line="285" w:lineRule="auto"/>
        <w:tabs>
          <w:tab w:leader="none" w:pos="226" w:val="left"/>
        </w:tabs>
        <w:numPr>
          <w:ilvl w:val="0"/>
          <w:numId w:val="1"/>
        </w:numPr>
        <w:rPr>
          <w:rFonts w:ascii="Arial" w:cs="Arial" w:eastAsia="Arial" w:hAnsi="Arial"/>
          <w:sz w:val="11"/>
          <w:szCs w:val="11"/>
          <w:color w:val="auto"/>
        </w:rPr>
      </w:pPr>
      <w:r>
        <w:rPr>
          <w:rFonts w:ascii="Arial" w:cs="Arial" w:eastAsia="Arial" w:hAnsi="Arial"/>
          <w:sz w:val="11"/>
          <w:szCs w:val="11"/>
          <w:color w:val="auto"/>
        </w:rPr>
        <w:t>These are non-IFRS financial measures. See Appendix 1 “Non-IFRS Financial Measures and Key Performance Indicators” for additional information and for a reconciliation of each such IFRS measure to its most directly comparable IFRS measure.</w:t>
      </w:r>
    </w:p>
    <w:p>
      <w:pPr>
        <w:spacing w:after="0" w:line="166" w:lineRule="exact"/>
        <w:rPr>
          <w:sz w:val="20"/>
          <w:szCs w:val="20"/>
          <w:color w:val="auto"/>
        </w:rPr>
      </w:pPr>
    </w:p>
    <w:p>
      <w:pPr>
        <w:ind w:left="160" w:hanging="152"/>
        <w:spacing w:after="0"/>
        <w:tabs>
          <w:tab w:leader="none" w:pos="160" w:val="left"/>
        </w:tabs>
        <w:numPr>
          <w:ilvl w:val="0"/>
          <w:numId w:val="2"/>
        </w:numPr>
        <w:rPr>
          <w:rFonts w:ascii="Arial" w:cs="Arial" w:eastAsia="Arial" w:hAnsi="Arial"/>
          <w:sz w:val="15"/>
          <w:szCs w:val="15"/>
          <w:b w:val="1"/>
          <w:bCs w:val="1"/>
          <w:color w:val="505068"/>
        </w:rPr>
      </w:pPr>
      <w:r>
        <w:rPr>
          <w:rFonts w:ascii="Arial" w:cs="Arial" w:eastAsia="Arial" w:hAnsi="Arial"/>
          <w:sz w:val="15"/>
          <w:szCs w:val="15"/>
          <w:b w:val="1"/>
          <w:bCs w:val="1"/>
          <w:color w:val="auto"/>
        </w:rPr>
        <w:t>Record Adjusted Profit Before Tax</w:t>
      </w:r>
      <w:r>
        <w:rPr>
          <w:rFonts w:ascii="Arial" w:cs="Arial" w:eastAsia="Arial" w:hAnsi="Arial"/>
          <w:sz w:val="19"/>
          <w:szCs w:val="19"/>
          <w:b w:val="1"/>
          <w:bCs w:val="1"/>
          <w:color w:val="auto"/>
          <w:vertAlign w:val="superscript"/>
        </w:rPr>
        <w:t>1</w:t>
      </w:r>
      <w:r>
        <w:rPr>
          <w:rFonts w:ascii="Arial" w:cs="Arial" w:eastAsia="Arial" w:hAnsi="Arial"/>
          <w:sz w:val="15"/>
          <w:szCs w:val="15"/>
          <w:b w:val="1"/>
          <w:bCs w:val="1"/>
          <w:color w:val="auto"/>
        </w:rPr>
        <w:t xml:space="preserve"> of $202.7m, up 27% year on year:</w:t>
      </w:r>
    </w:p>
    <w:p>
      <w:pPr>
        <w:spacing w:after="0" w:line="80" w:lineRule="exact"/>
        <w:rPr>
          <w:rFonts w:ascii="Arial" w:cs="Arial" w:eastAsia="Arial" w:hAnsi="Arial"/>
          <w:sz w:val="15"/>
          <w:szCs w:val="15"/>
          <w:b w:val="1"/>
          <w:bCs w:val="1"/>
          <w:color w:val="505068"/>
        </w:rPr>
      </w:pPr>
    </w:p>
    <w:p>
      <w:pPr>
        <w:ind w:left="160"/>
        <w:spacing w:after="0"/>
        <w:rPr>
          <w:rFonts w:ascii="Arial" w:cs="Arial" w:eastAsia="Arial" w:hAnsi="Arial"/>
          <w:sz w:val="15"/>
          <w:szCs w:val="15"/>
          <w:b w:val="1"/>
          <w:bCs w:val="1"/>
          <w:color w:val="505068"/>
        </w:rPr>
      </w:pPr>
      <w:r>
        <w:rPr>
          <w:rFonts w:ascii="Arial" w:cs="Arial" w:eastAsia="Arial" w:hAnsi="Arial"/>
          <w:sz w:val="15"/>
          <w:szCs w:val="15"/>
          <w:color w:val="505068"/>
        </w:rPr>
        <w:t xml:space="preserve">– </w:t>
      </w:r>
      <w:r>
        <w:rPr>
          <w:rFonts w:ascii="Arial" w:cs="Arial" w:eastAsia="Arial" w:hAnsi="Arial"/>
          <w:sz w:val="15"/>
          <w:szCs w:val="15"/>
          <w:color w:val="000000"/>
        </w:rPr>
        <w:t>Revenue increased by 23% to $967.4m (H1 2024: $787.9m), driven by growth in both Agency and Execution and Clearing</w:t>
      </w:r>
    </w:p>
    <w:p>
      <w:pPr>
        <w:spacing w:after="0" w:line="123" w:lineRule="exact"/>
        <w:rPr>
          <w:rFonts w:ascii="Arial" w:cs="Arial" w:eastAsia="Arial" w:hAnsi="Arial"/>
          <w:sz w:val="15"/>
          <w:szCs w:val="15"/>
          <w:b w:val="1"/>
          <w:bCs w:val="1"/>
          <w:color w:val="505068"/>
        </w:rPr>
      </w:pPr>
    </w:p>
    <w:p>
      <w:pPr>
        <w:ind w:left="320" w:right="460" w:hanging="153"/>
        <w:spacing w:after="0" w:line="231" w:lineRule="auto"/>
        <w:rPr>
          <w:rFonts w:ascii="Arial" w:cs="Arial" w:eastAsia="Arial" w:hAnsi="Arial"/>
          <w:sz w:val="15"/>
          <w:szCs w:val="15"/>
          <w:b w:val="1"/>
          <w:bCs w:val="1"/>
          <w:color w:val="505068"/>
        </w:rPr>
      </w:pPr>
      <w:r>
        <w:rPr>
          <w:rFonts w:ascii="Arial" w:cs="Arial" w:eastAsia="Arial" w:hAnsi="Arial"/>
          <w:sz w:val="15"/>
          <w:szCs w:val="15"/>
          <w:color w:val="505068"/>
        </w:rPr>
        <w:t xml:space="preserve">– </w:t>
      </w:r>
      <w:r>
        <w:rPr>
          <w:rFonts w:ascii="Arial" w:cs="Arial" w:eastAsia="Arial" w:hAnsi="Arial"/>
          <w:sz w:val="15"/>
          <w:szCs w:val="15"/>
          <w:color w:val="000000"/>
        </w:rPr>
        <w:t>Adjusted Profit Before Tax</w:t>
      </w:r>
      <w:r>
        <w:rPr>
          <w:rFonts w:ascii="Arial" w:cs="Arial" w:eastAsia="Arial" w:hAnsi="Arial"/>
          <w:sz w:val="19"/>
          <w:szCs w:val="19"/>
          <w:b w:val="1"/>
          <w:bCs w:val="1"/>
          <w:color w:val="000000"/>
          <w:vertAlign w:val="superscript"/>
        </w:rPr>
        <w:t>1</w:t>
      </w:r>
      <w:r>
        <w:rPr>
          <w:rFonts w:ascii="Arial" w:cs="Arial" w:eastAsia="Arial" w:hAnsi="Arial"/>
          <w:sz w:val="15"/>
          <w:szCs w:val="15"/>
          <w:color w:val="505068"/>
        </w:rPr>
        <w:t xml:space="preserve"> </w:t>
      </w:r>
      <w:r>
        <w:rPr>
          <w:rFonts w:ascii="Arial" w:cs="Arial" w:eastAsia="Arial" w:hAnsi="Arial"/>
          <w:sz w:val="15"/>
          <w:szCs w:val="15"/>
          <w:color w:val="000000"/>
        </w:rPr>
        <w:t>margin increased to 21.0% (H1 2024: 20.2%), driven by margin expansion in Agency and Execution, reflecting growth in higher</w:t>
      </w:r>
      <w:r>
        <w:rPr>
          <w:rFonts w:ascii="Arial" w:cs="Arial" w:eastAsia="Arial" w:hAnsi="Arial"/>
          <w:sz w:val="15"/>
          <w:szCs w:val="15"/>
          <w:color w:val="505068"/>
        </w:rPr>
        <w:t xml:space="preserve"> </w:t>
      </w:r>
      <w:r>
        <w:rPr>
          <w:rFonts w:ascii="Arial" w:cs="Arial" w:eastAsia="Arial" w:hAnsi="Arial"/>
          <w:sz w:val="15"/>
          <w:szCs w:val="15"/>
          <w:color w:val="000000"/>
        </w:rPr>
        <w:t>margin products and the benefits of restructuring</w:t>
      </w: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Q2 25 Performance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60" w:type="dxa"/>
            <w:vAlign w:val="bottom"/>
            <w:tcBorders>
              <w:bottom w:val="single" w:sz="8" w:color="793690"/>
            </w:tcBorders>
          </w:tcPr>
          <w:p>
            <w:pPr>
              <w:ind w:left="1140"/>
              <w:spacing w:after="0"/>
              <w:rPr>
                <w:sz w:val="20"/>
                <w:szCs w:val="20"/>
                <w:color w:val="auto"/>
              </w:rPr>
            </w:pPr>
            <w:r>
              <w:rPr>
                <w:rFonts w:ascii="Arial" w:cs="Arial" w:eastAsia="Arial" w:hAnsi="Arial"/>
                <w:sz w:val="13"/>
                <w:szCs w:val="13"/>
                <w:b w:val="1"/>
                <w:bCs w:val="1"/>
                <w:color w:val="auto"/>
              </w:rPr>
              <w:t>Revenue</w:t>
            </w:r>
          </w:p>
        </w:tc>
        <w:tc>
          <w:tcPr>
            <w:tcW w:w="3080" w:type="dxa"/>
            <w:vAlign w:val="bottom"/>
            <w:tcBorders>
              <w:bottom w:val="single" w:sz="8" w:color="793690"/>
            </w:tcBorders>
          </w:tcPr>
          <w:p>
            <w:pPr>
              <w:ind w:left="720"/>
              <w:spacing w:after="0"/>
              <w:rPr>
                <w:sz w:val="20"/>
                <w:szCs w:val="20"/>
                <w:color w:val="auto"/>
              </w:rPr>
            </w:pPr>
            <w:r>
              <w:rPr>
                <w:rFonts w:ascii="Arial" w:cs="Arial" w:eastAsia="Arial" w:hAnsi="Arial"/>
                <w:sz w:val="13"/>
                <w:szCs w:val="13"/>
                <w:b w:val="1"/>
                <w:bCs w:val="1"/>
                <w:color w:val="auto"/>
              </w:rPr>
              <w:t>Adjusted Profit Before Tax</w:t>
            </w:r>
            <w:r>
              <w:rPr>
                <w:rFonts w:ascii="Arial" w:cs="Arial" w:eastAsia="Arial" w:hAnsi="Arial"/>
                <w:sz w:val="16"/>
                <w:szCs w:val="16"/>
                <w:b w:val="1"/>
                <w:bCs w:val="1"/>
                <w:color w:val="auto"/>
                <w:vertAlign w:val="superscript"/>
              </w:rPr>
              <w:t>1</w:t>
            </w:r>
          </w:p>
        </w:tc>
        <w:tc>
          <w:tcPr>
            <w:tcW w:w="2600" w:type="dxa"/>
            <w:vAlign w:val="bottom"/>
            <w:tcBorders>
              <w:bottom w:val="single" w:sz="8" w:color="793690"/>
            </w:tcBorders>
          </w:tcPr>
          <w:p>
            <w:pPr>
              <w:ind w:left="740"/>
              <w:spacing w:after="0"/>
              <w:rPr>
                <w:sz w:val="20"/>
                <w:szCs w:val="20"/>
                <w:color w:val="auto"/>
              </w:rPr>
            </w:pPr>
            <w:r>
              <w:rPr>
                <w:rFonts w:ascii="Arial" w:cs="Arial" w:eastAsia="Arial" w:hAnsi="Arial"/>
                <w:sz w:val="13"/>
                <w:szCs w:val="13"/>
                <w:b w:val="1"/>
                <w:bCs w:val="1"/>
                <w:color w:val="auto"/>
              </w:rPr>
              <w:t>Profit Before Tax</w:t>
            </w:r>
          </w:p>
        </w:tc>
        <w:tc>
          <w:tcPr>
            <w:tcW w:w="2860" w:type="dxa"/>
            <w:vAlign w:val="bottom"/>
            <w:tcBorders>
              <w:bottom w:val="single" w:sz="8" w:color="793690"/>
            </w:tcBorders>
          </w:tcPr>
          <w:p>
            <w:pPr>
              <w:ind w:left="860"/>
              <w:spacing w:after="0"/>
              <w:rPr>
                <w:sz w:val="20"/>
                <w:szCs w:val="20"/>
                <w:color w:val="auto"/>
              </w:rPr>
            </w:pPr>
            <w:r>
              <w:rPr>
                <w:rFonts w:ascii="Arial" w:cs="Arial" w:eastAsia="Arial" w:hAnsi="Arial"/>
                <w:sz w:val="13"/>
                <w:szCs w:val="13"/>
                <w:b w:val="1"/>
                <w:bCs w:val="1"/>
                <w:color w:val="auto"/>
              </w:rPr>
              <w:t>Reported Basic EPS</w:t>
            </w:r>
          </w:p>
        </w:tc>
      </w:tr>
      <w:tr>
        <w:trPr>
          <w:trHeight w:val="216"/>
        </w:trPr>
        <w:tc>
          <w:tcPr>
            <w:tcW w:w="2660" w:type="dxa"/>
            <w:vAlign w:val="bottom"/>
            <w:tcBorders>
              <w:bottom w:val="single" w:sz="8" w:color="F4EFF6"/>
            </w:tcBorders>
            <w:shd w:val="clear" w:color="auto" w:fill="F4EFF6"/>
          </w:tcPr>
          <w:p>
            <w:pPr>
              <w:jc w:val="center"/>
              <w:ind w:left="67"/>
              <w:spacing w:after="0"/>
              <w:rPr>
                <w:sz w:val="20"/>
                <w:szCs w:val="20"/>
                <w:color w:val="auto"/>
              </w:rPr>
            </w:pPr>
            <w:r>
              <w:rPr>
                <w:rFonts w:ascii="Arial" w:cs="Arial" w:eastAsia="Arial" w:hAnsi="Arial"/>
                <w:sz w:val="15"/>
                <w:szCs w:val="15"/>
                <w:b w:val="1"/>
                <w:bCs w:val="1"/>
                <w:color w:val="auto"/>
              </w:rPr>
              <w:t>$500.1m</w:t>
            </w:r>
          </w:p>
        </w:tc>
        <w:tc>
          <w:tcPr>
            <w:tcW w:w="3080" w:type="dxa"/>
            <w:vAlign w:val="bottom"/>
            <w:tcBorders>
              <w:bottom w:val="single" w:sz="8" w:color="F4EFF6"/>
            </w:tcBorders>
            <w:shd w:val="clear" w:color="auto" w:fill="F4EFF6"/>
          </w:tcPr>
          <w:p>
            <w:pPr>
              <w:jc w:val="center"/>
              <w:spacing w:after="0"/>
              <w:rPr>
                <w:sz w:val="20"/>
                <w:szCs w:val="20"/>
                <w:color w:val="auto"/>
              </w:rPr>
            </w:pPr>
            <w:r>
              <w:rPr>
                <w:rFonts w:ascii="Arial" w:cs="Arial" w:eastAsia="Arial" w:hAnsi="Arial"/>
                <w:sz w:val="15"/>
                <w:szCs w:val="15"/>
                <w:b w:val="1"/>
                <w:bCs w:val="1"/>
                <w:color w:val="auto"/>
              </w:rPr>
              <w:t>$106.4m</w:t>
            </w:r>
          </w:p>
        </w:tc>
        <w:tc>
          <w:tcPr>
            <w:tcW w:w="2600" w:type="dxa"/>
            <w:vAlign w:val="bottom"/>
            <w:tcBorders>
              <w:bottom w:val="single" w:sz="8" w:color="F4EFF6"/>
            </w:tcBorders>
            <w:shd w:val="clear" w:color="auto" w:fill="F4EFF6"/>
          </w:tcPr>
          <w:p>
            <w:pPr>
              <w:jc w:val="center"/>
              <w:ind w:right="47"/>
              <w:spacing w:after="0"/>
              <w:rPr>
                <w:sz w:val="20"/>
                <w:szCs w:val="20"/>
                <w:color w:val="auto"/>
              </w:rPr>
            </w:pPr>
            <w:r>
              <w:rPr>
                <w:rFonts w:ascii="Arial" w:cs="Arial" w:eastAsia="Arial" w:hAnsi="Arial"/>
                <w:sz w:val="15"/>
                <w:szCs w:val="15"/>
                <w:b w:val="1"/>
                <w:bCs w:val="1"/>
                <w:color w:val="auto"/>
              </w:rPr>
              <w:t>$103.6m</w:t>
            </w:r>
          </w:p>
        </w:tc>
        <w:tc>
          <w:tcPr>
            <w:tcW w:w="2860" w:type="dxa"/>
            <w:vAlign w:val="bottom"/>
            <w:tcBorders>
              <w:bottom w:val="single" w:sz="8" w:color="F4EFF6"/>
            </w:tcBorders>
            <w:shd w:val="clear" w:color="auto" w:fill="F4EFF6"/>
          </w:tcPr>
          <w:p>
            <w:pPr>
              <w:jc w:val="center"/>
              <w:spacing w:after="0"/>
              <w:rPr>
                <w:sz w:val="20"/>
                <w:szCs w:val="20"/>
                <w:color w:val="auto"/>
              </w:rPr>
            </w:pPr>
            <w:r>
              <w:rPr>
                <w:rFonts w:ascii="Arial" w:cs="Arial" w:eastAsia="Arial" w:hAnsi="Arial"/>
                <w:sz w:val="15"/>
                <w:szCs w:val="15"/>
                <w:b w:val="1"/>
                <w:bCs w:val="1"/>
                <w:color w:val="auto"/>
              </w:rPr>
              <w:t>$1.03</w:t>
            </w:r>
          </w:p>
        </w:tc>
      </w:tr>
      <w:tr>
        <w:trPr>
          <w:trHeight w:val="210"/>
        </w:trPr>
        <w:tc>
          <w:tcPr>
            <w:tcW w:w="2660" w:type="dxa"/>
            <w:vAlign w:val="bottom"/>
          </w:tcPr>
          <w:p>
            <w:pPr>
              <w:jc w:val="center"/>
              <w:ind w:left="67"/>
              <w:spacing w:after="0"/>
              <w:rPr>
                <w:sz w:val="20"/>
                <w:szCs w:val="20"/>
                <w:color w:val="auto"/>
              </w:rPr>
            </w:pPr>
            <w:r>
              <w:rPr>
                <w:rFonts w:ascii="Arial" w:cs="Arial" w:eastAsia="Arial" w:hAnsi="Arial"/>
                <w:sz w:val="15"/>
                <w:szCs w:val="15"/>
                <w:color w:val="auto"/>
              </w:rPr>
              <w:t>+18%</w:t>
            </w:r>
          </w:p>
        </w:tc>
        <w:tc>
          <w:tcPr>
            <w:tcW w:w="3080" w:type="dxa"/>
            <w:vAlign w:val="bottom"/>
          </w:tcPr>
          <w:p>
            <w:pPr>
              <w:jc w:val="center"/>
              <w:spacing w:after="0"/>
              <w:rPr>
                <w:sz w:val="20"/>
                <w:szCs w:val="20"/>
                <w:color w:val="auto"/>
              </w:rPr>
            </w:pPr>
            <w:r>
              <w:rPr>
                <w:rFonts w:ascii="Arial" w:cs="Arial" w:eastAsia="Arial" w:hAnsi="Arial"/>
                <w:sz w:val="15"/>
                <w:szCs w:val="15"/>
                <w:color w:val="auto"/>
              </w:rPr>
              <w:t>+16%</w:t>
            </w:r>
          </w:p>
        </w:tc>
        <w:tc>
          <w:tcPr>
            <w:tcW w:w="2600" w:type="dxa"/>
            <w:vAlign w:val="bottom"/>
          </w:tcPr>
          <w:p>
            <w:pPr>
              <w:jc w:val="center"/>
              <w:ind w:right="47"/>
              <w:spacing w:after="0"/>
              <w:rPr>
                <w:sz w:val="20"/>
                <w:szCs w:val="20"/>
                <w:color w:val="auto"/>
              </w:rPr>
            </w:pPr>
            <w:r>
              <w:rPr>
                <w:rFonts w:ascii="Arial" w:cs="Arial" w:eastAsia="Arial" w:hAnsi="Arial"/>
                <w:sz w:val="15"/>
                <w:szCs w:val="15"/>
                <w:color w:val="auto"/>
              </w:rPr>
              <w:t>+29%</w:t>
            </w:r>
          </w:p>
        </w:tc>
        <w:tc>
          <w:tcPr>
            <w:tcW w:w="2860" w:type="dxa"/>
            <w:vAlign w:val="bottom"/>
          </w:tcPr>
          <w:p>
            <w:pPr>
              <w:jc w:val="center"/>
              <w:spacing w:after="0"/>
              <w:rPr>
                <w:sz w:val="20"/>
                <w:szCs w:val="20"/>
                <w:color w:val="auto"/>
              </w:rPr>
            </w:pPr>
            <w:r>
              <w:rPr>
                <w:rFonts w:ascii="Arial" w:cs="Arial" w:eastAsia="Arial" w:hAnsi="Arial"/>
                <w:sz w:val="15"/>
                <w:szCs w:val="15"/>
                <w:color w:val="auto"/>
              </w:rPr>
              <w:t>+27%</w:t>
            </w:r>
          </w:p>
        </w:tc>
      </w:tr>
      <w:tr>
        <w:trPr>
          <w:trHeight w:val="33"/>
        </w:trPr>
        <w:tc>
          <w:tcPr>
            <w:tcW w:w="2660" w:type="dxa"/>
            <w:vAlign w:val="bottom"/>
            <w:tcBorders>
              <w:bottom w:val="single" w:sz="8" w:color="DADAE7"/>
            </w:tcBorders>
          </w:tcPr>
          <w:p>
            <w:pPr>
              <w:spacing w:after="0"/>
              <w:rPr>
                <w:sz w:val="2"/>
                <w:szCs w:val="2"/>
                <w:color w:val="auto"/>
              </w:rPr>
            </w:pPr>
          </w:p>
        </w:tc>
        <w:tc>
          <w:tcPr>
            <w:tcW w:w="3080" w:type="dxa"/>
            <w:vAlign w:val="bottom"/>
            <w:tcBorders>
              <w:bottom w:val="single" w:sz="8" w:color="DADAE7"/>
            </w:tcBorders>
          </w:tcPr>
          <w:p>
            <w:pPr>
              <w:spacing w:after="0"/>
              <w:rPr>
                <w:sz w:val="2"/>
                <w:szCs w:val="2"/>
                <w:color w:val="auto"/>
              </w:rPr>
            </w:pPr>
          </w:p>
        </w:tc>
        <w:tc>
          <w:tcPr>
            <w:tcW w:w="2600" w:type="dxa"/>
            <w:vAlign w:val="bottom"/>
            <w:tcBorders>
              <w:bottom w:val="single" w:sz="8" w:color="DADAE7"/>
            </w:tcBorders>
          </w:tcPr>
          <w:p>
            <w:pPr>
              <w:spacing w:after="0"/>
              <w:rPr>
                <w:sz w:val="2"/>
                <w:szCs w:val="2"/>
                <w:color w:val="auto"/>
              </w:rPr>
            </w:pPr>
          </w:p>
        </w:tc>
        <w:tc>
          <w:tcPr>
            <w:tcW w:w="2860" w:type="dxa"/>
            <w:vAlign w:val="bottom"/>
            <w:tcBorders>
              <w:bottom w:val="single" w:sz="8" w:color="DADAE7"/>
            </w:tcBorders>
          </w:tcPr>
          <w:p>
            <w:pPr>
              <w:spacing w:after="0"/>
              <w:rPr>
                <w:sz w:val="2"/>
                <w:szCs w:val="2"/>
                <w:color w:val="auto"/>
              </w:rPr>
            </w:pPr>
          </w:p>
        </w:tc>
      </w:tr>
      <w:tr>
        <w:trPr>
          <w:trHeight w:val="203"/>
        </w:trPr>
        <w:tc>
          <w:tcPr>
            <w:tcW w:w="2660" w:type="dxa"/>
            <w:vAlign w:val="bottom"/>
          </w:tcPr>
          <w:p>
            <w:pPr>
              <w:jc w:val="center"/>
              <w:ind w:left="67"/>
              <w:spacing w:after="0"/>
              <w:rPr>
                <w:sz w:val="20"/>
                <w:szCs w:val="20"/>
                <w:color w:val="auto"/>
              </w:rPr>
            </w:pPr>
            <w:r>
              <w:rPr>
                <w:rFonts w:ascii="Arial" w:cs="Arial" w:eastAsia="Arial" w:hAnsi="Arial"/>
                <w:sz w:val="15"/>
                <w:szCs w:val="15"/>
                <w:color w:val="auto"/>
              </w:rPr>
              <w:t>Q2 24: $422.1m</w:t>
            </w:r>
          </w:p>
        </w:tc>
        <w:tc>
          <w:tcPr>
            <w:tcW w:w="3080" w:type="dxa"/>
            <w:vAlign w:val="bottom"/>
          </w:tcPr>
          <w:p>
            <w:pPr>
              <w:jc w:val="center"/>
              <w:spacing w:after="0"/>
              <w:rPr>
                <w:sz w:val="20"/>
                <w:szCs w:val="20"/>
                <w:color w:val="auto"/>
              </w:rPr>
            </w:pPr>
            <w:r>
              <w:rPr>
                <w:rFonts w:ascii="Arial" w:cs="Arial" w:eastAsia="Arial" w:hAnsi="Arial"/>
                <w:sz w:val="15"/>
                <w:szCs w:val="15"/>
                <w:color w:val="auto"/>
              </w:rPr>
              <w:t>Q2 24: $91.5m</w:t>
            </w:r>
          </w:p>
        </w:tc>
        <w:tc>
          <w:tcPr>
            <w:tcW w:w="2600" w:type="dxa"/>
            <w:vAlign w:val="bottom"/>
          </w:tcPr>
          <w:p>
            <w:pPr>
              <w:jc w:val="center"/>
              <w:ind w:right="27"/>
              <w:spacing w:after="0"/>
              <w:rPr>
                <w:sz w:val="20"/>
                <w:szCs w:val="20"/>
                <w:color w:val="auto"/>
              </w:rPr>
            </w:pPr>
            <w:r>
              <w:rPr>
                <w:rFonts w:ascii="Arial" w:cs="Arial" w:eastAsia="Arial" w:hAnsi="Arial"/>
                <w:sz w:val="15"/>
                <w:szCs w:val="15"/>
                <w:color w:val="auto"/>
              </w:rPr>
              <w:t>Q2 24: $80.1m</w:t>
            </w:r>
          </w:p>
        </w:tc>
        <w:tc>
          <w:tcPr>
            <w:tcW w:w="2860" w:type="dxa"/>
            <w:vAlign w:val="bottom"/>
          </w:tcPr>
          <w:p>
            <w:pPr>
              <w:jc w:val="center"/>
              <w:spacing w:after="0"/>
              <w:rPr>
                <w:sz w:val="20"/>
                <w:szCs w:val="20"/>
                <w:color w:val="auto"/>
              </w:rPr>
            </w:pPr>
            <w:r>
              <w:rPr>
                <w:rFonts w:ascii="Arial" w:cs="Arial" w:eastAsia="Arial" w:hAnsi="Arial"/>
                <w:sz w:val="15"/>
                <w:szCs w:val="15"/>
                <w:color w:val="auto"/>
              </w:rPr>
              <w:t>Q2 24: $0.81</w:t>
            </w:r>
          </w:p>
        </w:tc>
      </w:tr>
      <w:tr>
        <w:trPr>
          <w:trHeight w:val="33"/>
        </w:trPr>
        <w:tc>
          <w:tcPr>
            <w:tcW w:w="2660" w:type="dxa"/>
            <w:vAlign w:val="bottom"/>
            <w:tcBorders>
              <w:bottom w:val="single" w:sz="8" w:color="793690"/>
            </w:tcBorders>
          </w:tcPr>
          <w:p>
            <w:pPr>
              <w:spacing w:after="0"/>
              <w:rPr>
                <w:sz w:val="2"/>
                <w:szCs w:val="2"/>
                <w:color w:val="auto"/>
              </w:rPr>
            </w:pPr>
          </w:p>
        </w:tc>
        <w:tc>
          <w:tcPr>
            <w:tcW w:w="3080" w:type="dxa"/>
            <w:vAlign w:val="bottom"/>
            <w:tcBorders>
              <w:bottom w:val="single" w:sz="8" w:color="793690"/>
            </w:tcBorders>
          </w:tcPr>
          <w:p>
            <w:pPr>
              <w:spacing w:after="0"/>
              <w:rPr>
                <w:sz w:val="2"/>
                <w:szCs w:val="2"/>
                <w:color w:val="auto"/>
              </w:rPr>
            </w:pPr>
          </w:p>
        </w:tc>
        <w:tc>
          <w:tcPr>
            <w:tcW w:w="2600" w:type="dxa"/>
            <w:vAlign w:val="bottom"/>
            <w:tcBorders>
              <w:bottom w:val="single" w:sz="8" w:color="793690"/>
            </w:tcBorders>
          </w:tcPr>
          <w:p>
            <w:pPr>
              <w:spacing w:after="0"/>
              <w:rPr>
                <w:sz w:val="2"/>
                <w:szCs w:val="2"/>
                <w:color w:val="auto"/>
              </w:rPr>
            </w:pPr>
          </w:p>
        </w:tc>
        <w:tc>
          <w:tcPr>
            <w:tcW w:w="2860" w:type="dxa"/>
            <w:vAlign w:val="bottom"/>
            <w:tcBorders>
              <w:bottom w:val="single" w:sz="8" w:color="793690"/>
            </w:tcBorders>
          </w:tcPr>
          <w:p>
            <w:pPr>
              <w:spacing w:after="0"/>
              <w:rPr>
                <w:sz w:val="2"/>
                <w:szCs w:val="2"/>
                <w:color w:val="auto"/>
              </w:rPr>
            </w:pPr>
          </w:p>
        </w:tc>
      </w:tr>
    </w:tbl>
    <w:p>
      <w:pPr>
        <w:spacing w:after="0" w:line="291"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5"/>
          <w:szCs w:val="15"/>
          <w:b w:val="1"/>
          <w:bCs w:val="1"/>
          <w:color w:val="505068"/>
        </w:rPr>
      </w:pPr>
      <w:r>
        <w:rPr>
          <w:rFonts w:ascii="Arial" w:cs="Arial" w:eastAsia="Arial" w:hAnsi="Arial"/>
          <w:sz w:val="15"/>
          <w:szCs w:val="15"/>
          <w:b w:val="1"/>
          <w:bCs w:val="1"/>
          <w:color w:val="auto"/>
        </w:rPr>
        <w:t>Record Adjusted Profit Before Tax</w:t>
      </w:r>
      <w:r>
        <w:rPr>
          <w:rFonts w:ascii="Arial" w:cs="Arial" w:eastAsia="Arial" w:hAnsi="Arial"/>
          <w:sz w:val="19"/>
          <w:szCs w:val="19"/>
          <w:b w:val="1"/>
          <w:bCs w:val="1"/>
          <w:color w:val="auto"/>
          <w:vertAlign w:val="superscript"/>
        </w:rPr>
        <w:t>1</w:t>
      </w:r>
      <w:r>
        <w:rPr>
          <w:rFonts w:ascii="Arial" w:cs="Arial" w:eastAsia="Arial" w:hAnsi="Arial"/>
          <w:sz w:val="15"/>
          <w:szCs w:val="15"/>
          <w:b w:val="1"/>
          <w:bCs w:val="1"/>
          <w:color w:val="auto"/>
        </w:rPr>
        <w:t xml:space="preserve"> of $106.4m, up 16% year on year:</w:t>
      </w:r>
    </w:p>
    <w:p>
      <w:pPr>
        <w:spacing w:after="0" w:line="79" w:lineRule="exact"/>
        <w:rPr>
          <w:rFonts w:ascii="Arial" w:cs="Arial" w:eastAsia="Arial" w:hAnsi="Arial"/>
          <w:sz w:val="15"/>
          <w:szCs w:val="15"/>
          <w:b w:val="1"/>
          <w:bCs w:val="1"/>
          <w:color w:val="505068"/>
        </w:rPr>
      </w:pPr>
    </w:p>
    <w:p>
      <w:pPr>
        <w:ind w:left="160"/>
        <w:spacing w:after="0"/>
        <w:rPr>
          <w:rFonts w:ascii="Arial" w:cs="Arial" w:eastAsia="Arial" w:hAnsi="Arial"/>
          <w:sz w:val="15"/>
          <w:szCs w:val="15"/>
          <w:b w:val="1"/>
          <w:bCs w:val="1"/>
          <w:color w:val="505068"/>
        </w:rPr>
      </w:pPr>
      <w:r>
        <w:rPr>
          <w:rFonts w:ascii="Arial" w:cs="Arial" w:eastAsia="Arial" w:hAnsi="Arial"/>
          <w:sz w:val="15"/>
          <w:szCs w:val="15"/>
          <w:color w:val="505068"/>
        </w:rPr>
        <w:t xml:space="preserve">– </w:t>
      </w:r>
      <w:r>
        <w:rPr>
          <w:rFonts w:ascii="Arial" w:cs="Arial" w:eastAsia="Arial" w:hAnsi="Arial"/>
          <w:sz w:val="15"/>
          <w:szCs w:val="15"/>
          <w:color w:val="000000"/>
        </w:rPr>
        <w:t>Adjusted Profit Before Tax</w:t>
      </w:r>
      <w:r>
        <w:rPr>
          <w:rFonts w:ascii="Arial" w:cs="Arial" w:eastAsia="Arial" w:hAnsi="Arial"/>
          <w:sz w:val="19"/>
          <w:szCs w:val="19"/>
          <w:b w:val="1"/>
          <w:bCs w:val="1"/>
          <w:color w:val="000000"/>
          <w:vertAlign w:val="superscript"/>
        </w:rPr>
        <w:t>1</w:t>
      </w:r>
      <w:r>
        <w:rPr>
          <w:rFonts w:ascii="Arial" w:cs="Arial" w:eastAsia="Arial" w:hAnsi="Arial"/>
          <w:sz w:val="15"/>
          <w:szCs w:val="15"/>
          <w:color w:val="505068"/>
        </w:rPr>
        <w:t xml:space="preserve"> </w:t>
      </w:r>
      <w:r>
        <w:rPr>
          <w:rFonts w:ascii="Arial" w:cs="Arial" w:eastAsia="Arial" w:hAnsi="Arial"/>
          <w:sz w:val="15"/>
          <w:szCs w:val="15"/>
          <w:color w:val="000000"/>
        </w:rPr>
        <w:t>margin was broadly stable at 21.3% (Q2 2024: 21.7%)</w:t>
      </w:r>
    </w:p>
    <w:p>
      <w:pPr>
        <w:spacing w:after="0" w:line="64" w:lineRule="exact"/>
        <w:rPr>
          <w:rFonts w:ascii="Arial" w:cs="Arial" w:eastAsia="Arial" w:hAnsi="Arial"/>
          <w:sz w:val="15"/>
          <w:szCs w:val="15"/>
          <w:b w:val="1"/>
          <w:bCs w:val="1"/>
          <w:color w:val="505068"/>
        </w:rPr>
      </w:pPr>
    </w:p>
    <w:p>
      <w:pPr>
        <w:ind w:left="160" w:hanging="152"/>
        <w:spacing w:after="0"/>
        <w:tabs>
          <w:tab w:leader="none" w:pos="160" w:val="left"/>
        </w:tabs>
        <w:numPr>
          <w:ilvl w:val="0"/>
          <w:numId w:val="3"/>
        </w:numPr>
        <w:rPr>
          <w:rFonts w:ascii="Arial" w:cs="Arial" w:eastAsia="Arial" w:hAnsi="Arial"/>
          <w:sz w:val="15"/>
          <w:szCs w:val="15"/>
          <w:b w:val="1"/>
          <w:bCs w:val="1"/>
          <w:color w:val="505068"/>
        </w:rPr>
      </w:pPr>
      <w:r>
        <w:rPr>
          <w:rFonts w:ascii="Arial" w:cs="Arial" w:eastAsia="Arial" w:hAnsi="Arial"/>
          <w:sz w:val="15"/>
          <w:szCs w:val="15"/>
          <w:b w:val="1"/>
          <w:bCs w:val="1"/>
          <w:color w:val="auto"/>
        </w:rPr>
        <w:t>Revenue increased by 18% to $500.1m, demonstrating the value in our diversified platform:</w:t>
      </w:r>
    </w:p>
    <w:p>
      <w:pPr>
        <w:spacing w:after="0" w:line="126" w:lineRule="exact"/>
        <w:rPr>
          <w:rFonts w:ascii="Arial" w:cs="Arial" w:eastAsia="Arial" w:hAnsi="Arial"/>
          <w:sz w:val="15"/>
          <w:szCs w:val="15"/>
          <w:b w:val="1"/>
          <w:bCs w:val="1"/>
          <w:color w:val="505068"/>
        </w:rPr>
      </w:pPr>
    </w:p>
    <w:p>
      <w:pPr>
        <w:ind w:left="320" w:right="140" w:hanging="153"/>
        <w:spacing w:after="0" w:line="283" w:lineRule="auto"/>
        <w:rPr>
          <w:rFonts w:ascii="Arial" w:cs="Arial" w:eastAsia="Arial" w:hAnsi="Arial"/>
          <w:sz w:val="15"/>
          <w:szCs w:val="15"/>
          <w:b w:val="1"/>
          <w:bCs w:val="1"/>
          <w:color w:val="505068"/>
        </w:rPr>
      </w:pPr>
      <w:r>
        <w:rPr>
          <w:rFonts w:ascii="Arial" w:cs="Arial" w:eastAsia="Arial" w:hAnsi="Arial"/>
          <w:sz w:val="15"/>
          <w:szCs w:val="15"/>
          <w:color w:val="505068"/>
        </w:rPr>
        <w:t xml:space="preserve">– </w:t>
      </w:r>
      <w:r>
        <w:rPr>
          <w:rFonts w:ascii="Arial" w:cs="Arial" w:eastAsia="Arial" w:hAnsi="Arial"/>
          <w:sz w:val="15"/>
          <w:szCs w:val="15"/>
          <w:color w:val="000000"/>
        </w:rPr>
        <w:t>Agency and Execution revenue increased by 59% to $260.8m, driven by strong growth in Securities revenues and the ongoing expansion of Prime Services, as</w:t>
      </w:r>
      <w:r>
        <w:rPr>
          <w:rFonts w:ascii="Arial" w:cs="Arial" w:eastAsia="Arial" w:hAnsi="Arial"/>
          <w:sz w:val="15"/>
          <w:szCs w:val="15"/>
          <w:color w:val="505068"/>
        </w:rPr>
        <w:t xml:space="preserve"> </w:t>
      </w:r>
      <w:r>
        <w:rPr>
          <w:rFonts w:ascii="Arial" w:cs="Arial" w:eastAsia="Arial" w:hAnsi="Arial"/>
          <w:sz w:val="15"/>
          <w:szCs w:val="15"/>
          <w:color w:val="000000"/>
        </w:rPr>
        <w:t>well as continued strong performance in Energy</w:t>
      </w:r>
    </w:p>
    <w:p>
      <w:pPr>
        <w:spacing w:after="0" w:line="65" w:lineRule="exact"/>
        <w:rPr>
          <w:rFonts w:ascii="Arial" w:cs="Arial" w:eastAsia="Arial" w:hAnsi="Arial"/>
          <w:sz w:val="15"/>
          <w:szCs w:val="15"/>
          <w:b w:val="1"/>
          <w:bCs w:val="1"/>
          <w:color w:val="505068"/>
        </w:rPr>
      </w:pPr>
    </w:p>
    <w:p>
      <w:pPr>
        <w:ind w:left="320" w:right="440" w:hanging="153"/>
        <w:spacing w:after="0" w:line="301" w:lineRule="auto"/>
        <w:rPr>
          <w:rFonts w:ascii="Arial" w:cs="Arial" w:eastAsia="Arial" w:hAnsi="Arial"/>
          <w:sz w:val="15"/>
          <w:szCs w:val="15"/>
          <w:b w:val="1"/>
          <w:bCs w:val="1"/>
          <w:color w:val="505068"/>
        </w:rPr>
      </w:pPr>
      <w:r>
        <w:rPr>
          <w:rFonts w:ascii="Arial" w:cs="Arial" w:eastAsia="Arial" w:hAnsi="Arial"/>
          <w:sz w:val="15"/>
          <w:szCs w:val="15"/>
          <w:color w:val="505068"/>
        </w:rPr>
        <w:t xml:space="preserve">– </w:t>
      </w:r>
      <w:r>
        <w:rPr>
          <w:rFonts w:ascii="Arial" w:cs="Arial" w:eastAsia="Arial" w:hAnsi="Arial"/>
          <w:sz w:val="15"/>
          <w:szCs w:val="15"/>
          <w:color w:val="000000"/>
        </w:rPr>
        <w:t>Clearing revenue increased by 12% to $138.8m, as market volatility and new clients drove an increase in contracts cleared, and with the inclusion of Aarna</w:t>
      </w:r>
      <w:r>
        <w:rPr>
          <w:rFonts w:ascii="Arial" w:cs="Arial" w:eastAsia="Arial" w:hAnsi="Arial"/>
          <w:sz w:val="15"/>
          <w:szCs w:val="15"/>
          <w:color w:val="505068"/>
        </w:rPr>
        <w:t xml:space="preserve"> </w:t>
      </w:r>
      <w:r>
        <w:rPr>
          <w:rFonts w:ascii="Arial" w:cs="Arial" w:eastAsia="Arial" w:hAnsi="Arial"/>
          <w:sz w:val="15"/>
          <w:szCs w:val="15"/>
          <w:color w:val="000000"/>
        </w:rPr>
        <w:t>Capital Limited which completed on 27 March 2025</w:t>
      </w:r>
    </w:p>
    <w:p>
      <w:pPr>
        <w:spacing w:after="0" w:line="39" w:lineRule="exact"/>
        <w:rPr>
          <w:rFonts w:ascii="Arial" w:cs="Arial" w:eastAsia="Arial" w:hAnsi="Arial"/>
          <w:sz w:val="15"/>
          <w:szCs w:val="15"/>
          <w:b w:val="1"/>
          <w:bCs w:val="1"/>
          <w:color w:val="505068"/>
        </w:rPr>
      </w:pPr>
    </w:p>
    <w:p>
      <w:pPr>
        <w:ind w:left="320" w:right="660" w:hanging="153"/>
        <w:spacing w:after="0" w:line="301" w:lineRule="auto"/>
        <w:rPr>
          <w:rFonts w:ascii="Arial" w:cs="Arial" w:eastAsia="Arial" w:hAnsi="Arial"/>
          <w:sz w:val="15"/>
          <w:szCs w:val="15"/>
          <w:b w:val="1"/>
          <w:bCs w:val="1"/>
          <w:color w:val="505068"/>
        </w:rPr>
      </w:pPr>
      <w:r>
        <w:rPr>
          <w:rFonts w:ascii="Arial" w:cs="Arial" w:eastAsia="Arial" w:hAnsi="Arial"/>
          <w:sz w:val="15"/>
          <w:szCs w:val="15"/>
          <w:color w:val="505068"/>
        </w:rPr>
        <w:t xml:space="preserve">– </w:t>
      </w:r>
      <w:r>
        <w:rPr>
          <w:rFonts w:ascii="Arial" w:cs="Arial" w:eastAsia="Arial" w:hAnsi="Arial"/>
          <w:sz w:val="15"/>
          <w:szCs w:val="15"/>
          <w:color w:val="000000"/>
        </w:rPr>
        <w:t>Market Making revenue decreased by 17% to $57.4m. Lower revenues in metals compared to a record second quarter last year more than offset strong</w:t>
      </w:r>
      <w:r>
        <w:rPr>
          <w:rFonts w:ascii="Arial" w:cs="Arial" w:eastAsia="Arial" w:hAnsi="Arial"/>
          <w:sz w:val="15"/>
          <w:szCs w:val="15"/>
          <w:color w:val="505068"/>
        </w:rPr>
        <w:t xml:space="preserve"> </w:t>
      </w:r>
      <w:r>
        <w:rPr>
          <w:rFonts w:ascii="Arial" w:cs="Arial" w:eastAsia="Arial" w:hAnsi="Arial"/>
          <w:sz w:val="15"/>
          <w:szCs w:val="15"/>
          <w:color w:val="000000"/>
        </w:rPr>
        <w:t>performance in energy</w:t>
      </w:r>
    </w:p>
    <w:p>
      <w:pPr>
        <w:spacing w:after="0" w:line="39" w:lineRule="exact"/>
        <w:rPr>
          <w:rFonts w:ascii="Arial" w:cs="Arial" w:eastAsia="Arial" w:hAnsi="Arial"/>
          <w:sz w:val="15"/>
          <w:szCs w:val="15"/>
          <w:b w:val="1"/>
          <w:bCs w:val="1"/>
          <w:color w:val="505068"/>
        </w:rPr>
      </w:pPr>
    </w:p>
    <w:p>
      <w:pPr>
        <w:ind w:left="320" w:right="320" w:hanging="153"/>
        <w:spacing w:after="0" w:line="301" w:lineRule="auto"/>
        <w:rPr>
          <w:rFonts w:ascii="Arial" w:cs="Arial" w:eastAsia="Arial" w:hAnsi="Arial"/>
          <w:sz w:val="15"/>
          <w:szCs w:val="15"/>
          <w:b w:val="1"/>
          <w:bCs w:val="1"/>
          <w:color w:val="505068"/>
        </w:rPr>
      </w:pPr>
      <w:r>
        <w:rPr>
          <w:rFonts w:ascii="Arial" w:cs="Arial" w:eastAsia="Arial" w:hAnsi="Arial"/>
          <w:sz w:val="15"/>
          <w:szCs w:val="15"/>
          <w:color w:val="505068"/>
        </w:rPr>
        <w:t xml:space="preserve">– </w:t>
      </w:r>
      <w:r>
        <w:rPr>
          <w:rFonts w:ascii="Arial" w:cs="Arial" w:eastAsia="Arial" w:hAnsi="Arial"/>
          <w:sz w:val="15"/>
          <w:szCs w:val="15"/>
          <w:color w:val="000000"/>
        </w:rPr>
        <w:t>Hedging and Investment Solutions revenue decreased by 9% to $40.7m, as elevated market volatility at the start of April led to a reduction, and shortening in</w:t>
      </w:r>
      <w:r>
        <w:rPr>
          <w:rFonts w:ascii="Arial" w:cs="Arial" w:eastAsia="Arial" w:hAnsi="Arial"/>
          <w:sz w:val="15"/>
          <w:szCs w:val="15"/>
          <w:color w:val="505068"/>
        </w:rPr>
        <w:t xml:space="preserve"> </w:t>
      </w:r>
      <w:r>
        <w:rPr>
          <w:rFonts w:ascii="Arial" w:cs="Arial" w:eastAsia="Arial" w:hAnsi="Arial"/>
          <w:sz w:val="15"/>
          <w:szCs w:val="15"/>
          <w:color w:val="000000"/>
        </w:rPr>
        <w:t>duration, of client hedging activity, before improving later in the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1</w:t>
      </w:r>
    </w:p>
    <w:p>
      <w:pPr>
        <w:sectPr>
          <w:pgSz w:w="11900" w:h="16838" w:orient="portrait"/>
          <w:cols w:equalWidth="0" w:num="1">
            <w:col w:w="11220"/>
          </w:cols>
          <w:pgMar w:left="320" w:top="1353" w:right="359" w:bottom="1440" w:gutter="0" w:footer="0" w:header="0"/>
        </w:sectPr>
      </w:pPr>
    </w:p>
    <w:bookmarkStart w:id="5" w:name="page6"/>
    <w:bookmarkEnd w:id="5"/>
    <w:p>
      <w:pPr>
        <w:spacing w:after="0"/>
        <w:rPr>
          <w:sz w:val="20"/>
          <w:szCs w:val="20"/>
          <w:color w:val="auto"/>
        </w:rPr>
      </w:pPr>
      <w:r>
        <w:rPr>
          <w:rFonts w:ascii="Arial" w:cs="Arial" w:eastAsia="Arial" w:hAnsi="Arial"/>
          <w:sz w:val="15"/>
          <w:szCs w:val="15"/>
          <w:b w:val="1"/>
          <w:bCs w:val="1"/>
          <w:color w:val="auto"/>
        </w:rPr>
        <w:t>Strategic Execution</w:t>
      </w:r>
    </w:p>
    <w:p>
      <w:pPr>
        <w:spacing w:after="0" w:line="19"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5"/>
          <w:szCs w:val="15"/>
          <w:b w:val="1"/>
          <w:bCs w:val="1"/>
          <w:color w:val="505068"/>
        </w:rPr>
      </w:pPr>
      <w:r>
        <w:rPr>
          <w:rFonts w:ascii="Arial" w:cs="Arial" w:eastAsia="Arial" w:hAnsi="Arial"/>
          <w:sz w:val="15"/>
          <w:szCs w:val="15"/>
          <w:b w:val="1"/>
          <w:bCs w:val="1"/>
          <w:color w:val="auto"/>
        </w:rPr>
        <w:t>Executed growth strategy to add geographies, product capabilities and new clients to our platform:</w:t>
      </w:r>
    </w:p>
    <w:p>
      <w:pPr>
        <w:spacing w:after="0" w:line="110" w:lineRule="exact"/>
        <w:rPr>
          <w:rFonts w:ascii="Arial" w:cs="Arial" w:eastAsia="Arial" w:hAnsi="Arial"/>
          <w:sz w:val="15"/>
          <w:szCs w:val="15"/>
          <w:b w:val="1"/>
          <w:bCs w:val="1"/>
          <w:color w:val="505068"/>
        </w:rPr>
      </w:pPr>
    </w:p>
    <w:p>
      <w:pPr>
        <w:ind w:left="160"/>
        <w:spacing w:after="0"/>
        <w:rPr>
          <w:rFonts w:ascii="Arial" w:cs="Arial" w:eastAsia="Arial" w:hAnsi="Arial"/>
          <w:sz w:val="15"/>
          <w:szCs w:val="15"/>
          <w:b w:val="1"/>
          <w:bCs w:val="1"/>
          <w:color w:val="505068"/>
        </w:rPr>
      </w:pPr>
      <w:r>
        <w:rPr>
          <w:rFonts w:ascii="Arial" w:cs="Arial" w:eastAsia="Arial" w:hAnsi="Arial"/>
          <w:sz w:val="15"/>
          <w:szCs w:val="15"/>
          <w:color w:val="505068"/>
        </w:rPr>
        <w:t xml:space="preserve">– </w:t>
      </w:r>
      <w:r>
        <w:rPr>
          <w:rFonts w:ascii="Arial" w:cs="Arial" w:eastAsia="Arial" w:hAnsi="Arial"/>
          <w:sz w:val="15"/>
          <w:szCs w:val="15"/>
          <w:color w:val="000000"/>
        </w:rPr>
        <w:t>Completed the acquisition of Agrinvest, a Brazilian agricultural commodities business, on 1 July 2025, expanding our footprint in South America</w:t>
      </w:r>
    </w:p>
    <w:p>
      <w:pPr>
        <w:spacing w:after="0" w:line="124" w:lineRule="exact"/>
        <w:rPr>
          <w:rFonts w:ascii="Arial" w:cs="Arial" w:eastAsia="Arial" w:hAnsi="Arial"/>
          <w:sz w:val="15"/>
          <w:szCs w:val="15"/>
          <w:b w:val="1"/>
          <w:bCs w:val="1"/>
          <w:color w:val="505068"/>
        </w:rPr>
      </w:pPr>
    </w:p>
    <w:p>
      <w:pPr>
        <w:ind w:left="160"/>
        <w:spacing w:after="0"/>
        <w:rPr>
          <w:rFonts w:ascii="Arial" w:cs="Arial" w:eastAsia="Arial" w:hAnsi="Arial"/>
          <w:sz w:val="15"/>
          <w:szCs w:val="15"/>
          <w:b w:val="1"/>
          <w:bCs w:val="1"/>
          <w:color w:val="505068"/>
        </w:rPr>
      </w:pPr>
      <w:r>
        <w:rPr>
          <w:rFonts w:ascii="Arial" w:cs="Arial" w:eastAsia="Arial" w:hAnsi="Arial"/>
          <w:sz w:val="15"/>
          <w:szCs w:val="15"/>
          <w:color w:val="505068"/>
        </w:rPr>
        <w:t xml:space="preserve">– </w:t>
      </w:r>
      <w:r>
        <w:rPr>
          <w:rFonts w:ascii="Arial" w:cs="Arial" w:eastAsia="Arial" w:hAnsi="Arial"/>
          <w:sz w:val="15"/>
          <w:szCs w:val="15"/>
          <w:color w:val="000000"/>
        </w:rPr>
        <w:t>Hamilton Court Group acquisition completed on 1 July 2025, expanding our FX capabilities in EMEA</w:t>
      </w:r>
    </w:p>
    <w:p>
      <w:pPr>
        <w:spacing w:after="0" w:line="111" w:lineRule="exact"/>
        <w:rPr>
          <w:rFonts w:ascii="Arial" w:cs="Arial" w:eastAsia="Arial" w:hAnsi="Arial"/>
          <w:sz w:val="15"/>
          <w:szCs w:val="15"/>
          <w:b w:val="1"/>
          <w:bCs w:val="1"/>
          <w:color w:val="505068"/>
        </w:rPr>
      </w:pPr>
    </w:p>
    <w:p>
      <w:pPr>
        <w:ind w:left="320" w:right="60" w:hanging="153"/>
        <w:spacing w:after="0" w:line="301" w:lineRule="auto"/>
        <w:rPr>
          <w:rFonts w:ascii="Arial" w:cs="Arial" w:eastAsia="Arial" w:hAnsi="Arial"/>
          <w:sz w:val="15"/>
          <w:szCs w:val="15"/>
          <w:b w:val="1"/>
          <w:bCs w:val="1"/>
          <w:color w:val="505068"/>
        </w:rPr>
      </w:pPr>
      <w:r>
        <w:rPr>
          <w:rFonts w:ascii="Arial" w:cs="Arial" w:eastAsia="Arial" w:hAnsi="Arial"/>
          <w:sz w:val="15"/>
          <w:szCs w:val="15"/>
          <w:color w:val="505068"/>
        </w:rPr>
        <w:t xml:space="preserve">– </w:t>
      </w:r>
      <w:r>
        <w:rPr>
          <w:rFonts w:ascii="Arial" w:cs="Arial" w:eastAsia="Arial" w:hAnsi="Arial"/>
          <w:sz w:val="15"/>
          <w:szCs w:val="15"/>
          <w:color w:val="000000"/>
        </w:rPr>
        <w:t>Announced the acquisition of Winterflood Securities on 25 July 2025, a leading UK equity market maker, enhancing Marex’s existing UK cash equities business,</w:t>
      </w:r>
      <w:r>
        <w:rPr>
          <w:rFonts w:ascii="Arial" w:cs="Arial" w:eastAsia="Arial" w:hAnsi="Arial"/>
          <w:sz w:val="15"/>
          <w:szCs w:val="15"/>
          <w:color w:val="505068"/>
        </w:rPr>
        <w:t xml:space="preserve"> </w:t>
      </w:r>
      <w:r>
        <w:rPr>
          <w:rFonts w:ascii="Arial" w:cs="Arial" w:eastAsia="Arial" w:hAnsi="Arial"/>
          <w:sz w:val="15"/>
          <w:szCs w:val="15"/>
          <w:color w:val="000000"/>
        </w:rPr>
        <w:t>adding new clients and a proprietary trading technology platform to Marex</w:t>
      </w:r>
    </w:p>
    <w:p>
      <w:pPr>
        <w:spacing w:after="0" w:line="37" w:lineRule="exact"/>
        <w:rPr>
          <w:rFonts w:ascii="Arial" w:cs="Arial" w:eastAsia="Arial" w:hAnsi="Arial"/>
          <w:sz w:val="15"/>
          <w:szCs w:val="15"/>
          <w:b w:val="1"/>
          <w:bCs w:val="1"/>
          <w:color w:val="505068"/>
        </w:rPr>
      </w:pPr>
    </w:p>
    <w:p>
      <w:pPr>
        <w:ind w:left="160" w:hanging="152"/>
        <w:spacing w:after="0" w:line="304" w:lineRule="auto"/>
        <w:tabs>
          <w:tab w:leader="none" w:pos="155" w:val="left"/>
        </w:tabs>
        <w:numPr>
          <w:ilvl w:val="0"/>
          <w:numId w:val="4"/>
        </w:numPr>
        <w:rPr>
          <w:rFonts w:ascii="Arial" w:cs="Arial" w:eastAsia="Arial" w:hAnsi="Arial"/>
          <w:sz w:val="15"/>
          <w:szCs w:val="15"/>
          <w:color w:val="505068"/>
        </w:rPr>
      </w:pPr>
      <w:r>
        <w:rPr>
          <w:rFonts w:ascii="Arial" w:cs="Arial" w:eastAsia="Arial" w:hAnsi="Arial"/>
          <w:sz w:val="15"/>
          <w:szCs w:val="15"/>
          <w:b w:val="1"/>
          <w:bCs w:val="1"/>
          <w:color w:val="auto"/>
        </w:rPr>
        <w:t xml:space="preserve">Prudent approach to capital and funding: </w:t>
      </w:r>
      <w:r>
        <w:rPr>
          <w:rFonts w:ascii="Arial" w:cs="Arial" w:eastAsia="Arial" w:hAnsi="Arial"/>
          <w:sz w:val="15"/>
          <w:szCs w:val="15"/>
          <w:color w:val="auto"/>
        </w:rPr>
        <w:t>continued to hold significant levels of surplus liquidity following issuance of $500 million 3-year senior unsecured notes</w:t>
      </w:r>
      <w:r>
        <w:rPr>
          <w:rFonts w:ascii="Arial" w:cs="Arial" w:eastAsia="Arial" w:hAnsi="Arial"/>
          <w:sz w:val="15"/>
          <w:szCs w:val="15"/>
          <w:b w:val="1"/>
          <w:bCs w:val="1"/>
          <w:color w:val="auto"/>
        </w:rPr>
        <w:t xml:space="preserve"> </w:t>
      </w:r>
      <w:r>
        <w:rPr>
          <w:rFonts w:ascii="Arial" w:cs="Arial" w:eastAsia="Arial" w:hAnsi="Arial"/>
          <w:sz w:val="15"/>
          <w:szCs w:val="15"/>
          <w:color w:val="auto"/>
        </w:rPr>
        <w:t>in May, further diversifying our sources of funding</w:t>
      </w:r>
    </w:p>
    <w:p>
      <w:pPr>
        <w:spacing w:after="0" w:line="49" w:lineRule="exact"/>
        <w:rPr>
          <w:rFonts w:ascii="Arial" w:cs="Arial" w:eastAsia="Arial" w:hAnsi="Arial"/>
          <w:sz w:val="15"/>
          <w:szCs w:val="15"/>
          <w:color w:val="505068"/>
        </w:rPr>
      </w:pPr>
    </w:p>
    <w:p>
      <w:pPr>
        <w:ind w:left="160" w:hanging="152"/>
        <w:spacing w:after="0"/>
        <w:tabs>
          <w:tab w:leader="none" w:pos="160" w:val="left"/>
        </w:tabs>
        <w:numPr>
          <w:ilvl w:val="0"/>
          <w:numId w:val="4"/>
        </w:numPr>
        <w:rPr>
          <w:rFonts w:ascii="Arial" w:cs="Arial" w:eastAsia="Arial" w:hAnsi="Arial"/>
          <w:sz w:val="15"/>
          <w:szCs w:val="15"/>
          <w:color w:val="505068"/>
        </w:rPr>
      </w:pPr>
      <w:r>
        <w:rPr>
          <w:rFonts w:ascii="Arial" w:cs="Arial" w:eastAsia="Arial" w:hAnsi="Arial"/>
          <w:sz w:val="15"/>
          <w:szCs w:val="15"/>
          <w:b w:val="1"/>
          <w:bCs w:val="1"/>
          <w:color w:val="auto"/>
        </w:rPr>
        <w:t xml:space="preserve">Risk management discipline: </w:t>
      </w:r>
      <w:r>
        <w:rPr>
          <w:rFonts w:ascii="Arial" w:cs="Arial" w:eastAsia="Arial" w:hAnsi="Arial"/>
          <w:sz w:val="15"/>
          <w:szCs w:val="15"/>
          <w:color w:val="auto"/>
        </w:rPr>
        <w:t>robust approach to managing risk while supporting our clients ensured low credit provisions through periods of market volatility</w:t>
      </w:r>
    </w:p>
    <w:p>
      <w:pPr>
        <w:spacing w:after="0" w:line="111" w:lineRule="exact"/>
        <w:rPr>
          <w:rFonts w:ascii="Arial" w:cs="Arial" w:eastAsia="Arial" w:hAnsi="Arial"/>
          <w:sz w:val="15"/>
          <w:szCs w:val="15"/>
          <w:color w:val="505068"/>
        </w:rPr>
      </w:pPr>
    </w:p>
    <w:p>
      <w:pPr>
        <w:ind w:left="160" w:hanging="152"/>
        <w:spacing w:after="0"/>
        <w:tabs>
          <w:tab w:leader="none" w:pos="160" w:val="left"/>
        </w:tabs>
        <w:numPr>
          <w:ilvl w:val="0"/>
          <w:numId w:val="4"/>
        </w:numPr>
        <w:rPr>
          <w:rFonts w:ascii="Arial" w:cs="Arial" w:eastAsia="Arial" w:hAnsi="Arial"/>
          <w:sz w:val="15"/>
          <w:szCs w:val="15"/>
          <w:color w:val="505068"/>
        </w:rPr>
      </w:pPr>
      <w:r>
        <w:rPr>
          <w:rFonts w:ascii="Arial" w:cs="Arial" w:eastAsia="Arial" w:hAnsi="Arial"/>
          <w:sz w:val="15"/>
          <w:szCs w:val="15"/>
          <w:b w:val="1"/>
          <w:bCs w:val="1"/>
          <w:color w:val="auto"/>
        </w:rPr>
        <w:t xml:space="preserve">Dividend: </w:t>
      </w:r>
      <w:r>
        <w:rPr>
          <w:rFonts w:ascii="Arial" w:cs="Arial" w:eastAsia="Arial" w:hAnsi="Arial"/>
          <w:sz w:val="15"/>
          <w:szCs w:val="15"/>
          <w:color w:val="auto"/>
        </w:rPr>
        <w:t>Q2 2025 dividend of $0.15 per share, to be paid in the third quarter of 2025</w:t>
      </w:r>
    </w:p>
    <w:p>
      <w:pPr>
        <w:spacing w:after="0" w:line="124" w:lineRule="exact"/>
        <w:rPr>
          <w:rFonts w:ascii="Arial" w:cs="Arial" w:eastAsia="Arial" w:hAnsi="Arial"/>
          <w:sz w:val="15"/>
          <w:szCs w:val="15"/>
          <w:color w:val="505068"/>
        </w:rPr>
      </w:pPr>
    </w:p>
    <w:p>
      <w:pPr>
        <w:ind w:left="160" w:right="200" w:hanging="152"/>
        <w:spacing w:after="0" w:line="285" w:lineRule="auto"/>
        <w:tabs>
          <w:tab w:leader="none" w:pos="155" w:val="left"/>
        </w:tabs>
        <w:numPr>
          <w:ilvl w:val="0"/>
          <w:numId w:val="4"/>
        </w:numPr>
        <w:rPr>
          <w:rFonts w:ascii="Arial" w:cs="Arial" w:eastAsia="Arial" w:hAnsi="Arial"/>
          <w:sz w:val="15"/>
          <w:szCs w:val="15"/>
          <w:color w:val="505068"/>
        </w:rPr>
      </w:pPr>
      <w:r>
        <w:rPr>
          <w:rFonts w:ascii="Arial" w:cs="Arial" w:eastAsia="Arial" w:hAnsi="Arial"/>
          <w:sz w:val="15"/>
          <w:szCs w:val="15"/>
          <w:b w:val="1"/>
          <w:bCs w:val="1"/>
          <w:color w:val="auto"/>
        </w:rPr>
        <w:t xml:space="preserve">Further reduction in private equity shareholding: </w:t>
      </w:r>
      <w:r>
        <w:rPr>
          <w:rFonts w:ascii="Arial" w:cs="Arial" w:eastAsia="Arial" w:hAnsi="Arial"/>
          <w:sz w:val="15"/>
          <w:szCs w:val="15"/>
          <w:color w:val="auto"/>
        </w:rPr>
        <w:t>a significantly oversubscribed secondary offering in April and subsequent sell-downs by the pre-IPO private</w:t>
      </w:r>
      <w:r>
        <w:rPr>
          <w:rFonts w:ascii="Arial" w:cs="Arial" w:eastAsia="Arial" w:hAnsi="Arial"/>
          <w:sz w:val="15"/>
          <w:szCs w:val="15"/>
          <w:b w:val="1"/>
          <w:bCs w:val="1"/>
          <w:color w:val="auto"/>
        </w:rPr>
        <w:t xml:space="preserve"> </w:t>
      </w:r>
      <w:r>
        <w:rPr>
          <w:rFonts w:ascii="Arial" w:cs="Arial" w:eastAsia="Arial" w:hAnsi="Arial"/>
          <w:sz w:val="15"/>
          <w:szCs w:val="15"/>
          <w:color w:val="auto"/>
        </w:rPr>
        <w:t>equity shareholders, resulted in their residual ownership reducing to 17%</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2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 months ended</w:t>
            </w:r>
          </w:p>
        </w:tc>
        <w:tc>
          <w:tcPr>
            <w:tcW w:w="1660" w:type="dxa"/>
            <w:vAlign w:val="bottom"/>
          </w:tcPr>
          <w:p>
            <w:pPr>
              <w:jc w:val="right"/>
              <w:ind w:right="285"/>
              <w:spacing w:after="0"/>
              <w:rPr>
                <w:sz w:val="20"/>
                <w:szCs w:val="20"/>
                <w:color w:val="auto"/>
              </w:rPr>
            </w:pPr>
            <w:r>
              <w:rPr>
                <w:rFonts w:ascii="Arial" w:cs="Arial" w:eastAsia="Arial" w:hAnsi="Arial"/>
                <w:sz w:val="13"/>
                <w:szCs w:val="13"/>
                <w:b w:val="1"/>
                <w:bCs w:val="1"/>
                <w:color w:val="auto"/>
              </w:rPr>
              <w:t>3 months ended</w:t>
            </w:r>
          </w:p>
        </w:tc>
        <w:tc>
          <w:tcPr>
            <w:tcW w:w="1120" w:type="dxa"/>
            <w:vAlign w:val="bottom"/>
          </w:tcPr>
          <w:p>
            <w:pPr>
              <w:spacing w:after="0"/>
              <w:rPr>
                <w:sz w:val="16"/>
                <w:szCs w:val="16"/>
                <w:color w:val="auto"/>
              </w:rPr>
            </w:pPr>
          </w:p>
        </w:tc>
        <w:tc>
          <w:tcPr>
            <w:tcW w:w="120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6 months ended</w:t>
            </w:r>
          </w:p>
        </w:tc>
        <w:tc>
          <w:tcPr>
            <w:tcW w:w="1680" w:type="dxa"/>
            <w:vAlign w:val="bottom"/>
          </w:tcPr>
          <w:p>
            <w:pPr>
              <w:jc w:val="right"/>
              <w:ind w:right="305"/>
              <w:spacing w:after="0"/>
              <w:rPr>
                <w:sz w:val="20"/>
                <w:szCs w:val="20"/>
                <w:color w:val="auto"/>
              </w:rPr>
            </w:pPr>
            <w:r>
              <w:rPr>
                <w:rFonts w:ascii="Arial" w:cs="Arial" w:eastAsia="Arial" w:hAnsi="Arial"/>
                <w:sz w:val="13"/>
                <w:szCs w:val="13"/>
                <w:b w:val="1"/>
                <w:bCs w:val="1"/>
                <w:color w:val="auto"/>
              </w:rPr>
              <w:t>6 months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Financial Highlights: ($m)</w:t>
            </w:r>
          </w:p>
        </w:tc>
        <w:tc>
          <w:tcPr>
            <w:tcW w:w="12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660" w:type="dxa"/>
            <w:vAlign w:val="bottom"/>
          </w:tcPr>
          <w:p>
            <w:pPr>
              <w:jc w:val="right"/>
              <w:ind w:right="285"/>
              <w:spacing w:after="0"/>
              <w:rPr>
                <w:sz w:val="20"/>
                <w:szCs w:val="20"/>
                <w:color w:val="auto"/>
              </w:rPr>
            </w:pPr>
            <w:r>
              <w:rPr>
                <w:rFonts w:ascii="Arial" w:cs="Arial" w:eastAsia="Arial" w:hAnsi="Arial"/>
                <w:sz w:val="13"/>
                <w:szCs w:val="13"/>
                <w:b w:val="1"/>
                <w:bCs w:val="1"/>
                <w:color w:val="auto"/>
              </w:rPr>
              <w:t>30 June 2024</w:t>
            </w:r>
          </w:p>
        </w:tc>
        <w:tc>
          <w:tcPr>
            <w:tcW w:w="1120" w:type="dxa"/>
            <w:vAlign w:val="bottom"/>
          </w:tcPr>
          <w:p>
            <w:pPr>
              <w:jc w:val="right"/>
              <w:ind w:right="44"/>
              <w:spacing w:after="0"/>
              <w:rPr>
                <w:sz w:val="20"/>
                <w:szCs w:val="20"/>
                <w:color w:val="auto"/>
              </w:rPr>
            </w:pPr>
            <w:r>
              <w:rPr>
                <w:rFonts w:ascii="Arial" w:cs="Arial" w:eastAsia="Arial" w:hAnsi="Arial"/>
                <w:sz w:val="13"/>
                <w:szCs w:val="13"/>
                <w:b w:val="1"/>
                <w:bCs w:val="1"/>
                <w:color w:val="auto"/>
              </w:rPr>
              <w:t>Change</w:t>
            </w:r>
          </w:p>
        </w:tc>
        <w:tc>
          <w:tcPr>
            <w:tcW w:w="120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680" w:type="dxa"/>
            <w:vAlign w:val="bottom"/>
          </w:tcPr>
          <w:p>
            <w:pPr>
              <w:jc w:val="right"/>
              <w:ind w:right="305"/>
              <w:spacing w:after="0"/>
              <w:rPr>
                <w:sz w:val="20"/>
                <w:szCs w:val="20"/>
                <w:color w:val="auto"/>
              </w:rPr>
            </w:pPr>
            <w:r>
              <w:rPr>
                <w:rFonts w:ascii="Arial" w:cs="Arial" w:eastAsia="Arial" w:hAnsi="Arial"/>
                <w:sz w:val="13"/>
                <w:szCs w:val="13"/>
                <w:b w:val="1"/>
                <w:bCs w:val="1"/>
                <w:color w:val="auto"/>
              </w:rPr>
              <w:t>30 June 2024</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36"/>
        </w:trPr>
        <w:tc>
          <w:tcPr>
            <w:tcW w:w="332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Revenue</w:t>
            </w:r>
          </w:p>
        </w:tc>
        <w:tc>
          <w:tcPr>
            <w:tcW w:w="122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500.1</w:t>
            </w:r>
          </w:p>
        </w:tc>
        <w:tc>
          <w:tcPr>
            <w:tcW w:w="1660" w:type="dxa"/>
            <w:vAlign w:val="bottom"/>
            <w:tcBorders>
              <w:top w:val="single" w:sz="8" w:color="793690"/>
            </w:tcBorders>
          </w:tcPr>
          <w:p>
            <w:pPr>
              <w:jc w:val="right"/>
              <w:ind w:right="285"/>
              <w:spacing w:after="0"/>
              <w:rPr>
                <w:sz w:val="20"/>
                <w:szCs w:val="20"/>
                <w:color w:val="auto"/>
              </w:rPr>
            </w:pPr>
            <w:r>
              <w:rPr>
                <w:rFonts w:ascii="Arial" w:cs="Arial" w:eastAsia="Arial" w:hAnsi="Arial"/>
                <w:sz w:val="15"/>
                <w:szCs w:val="15"/>
                <w:color w:val="auto"/>
              </w:rPr>
              <w:t>422.1</w:t>
            </w:r>
          </w:p>
        </w:tc>
        <w:tc>
          <w:tcPr>
            <w:tcW w:w="1120" w:type="dxa"/>
            <w:vAlign w:val="bottom"/>
            <w:tcBorders>
              <w:top w:val="single" w:sz="8" w:color="793690"/>
            </w:tcBorders>
          </w:tcPr>
          <w:p>
            <w:pPr>
              <w:jc w:val="right"/>
              <w:ind w:right="44"/>
              <w:spacing w:after="0"/>
              <w:rPr>
                <w:sz w:val="20"/>
                <w:szCs w:val="20"/>
                <w:color w:val="auto"/>
              </w:rPr>
            </w:pPr>
            <w:r>
              <w:rPr>
                <w:rFonts w:ascii="Arial" w:cs="Arial" w:eastAsia="Arial" w:hAnsi="Arial"/>
                <w:sz w:val="15"/>
                <w:szCs w:val="15"/>
                <w:color w:val="auto"/>
              </w:rPr>
              <w:t>18%</w:t>
            </w:r>
          </w:p>
        </w:tc>
        <w:tc>
          <w:tcPr>
            <w:tcW w:w="120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967.4</w:t>
            </w:r>
          </w:p>
        </w:tc>
        <w:tc>
          <w:tcPr>
            <w:tcW w:w="1680" w:type="dxa"/>
            <w:vAlign w:val="bottom"/>
            <w:tcBorders>
              <w:top w:val="single" w:sz="8" w:color="793690"/>
            </w:tcBorders>
          </w:tcPr>
          <w:p>
            <w:pPr>
              <w:jc w:val="right"/>
              <w:ind w:right="305"/>
              <w:spacing w:after="0"/>
              <w:rPr>
                <w:sz w:val="20"/>
                <w:szCs w:val="20"/>
                <w:color w:val="auto"/>
              </w:rPr>
            </w:pPr>
            <w:r>
              <w:rPr>
                <w:rFonts w:ascii="Arial" w:cs="Arial" w:eastAsia="Arial" w:hAnsi="Arial"/>
                <w:sz w:val="15"/>
                <w:szCs w:val="15"/>
                <w:color w:val="auto"/>
              </w:rPr>
              <w:t>787.9</w:t>
            </w:r>
          </w:p>
        </w:tc>
        <w:tc>
          <w:tcPr>
            <w:tcW w:w="96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37"/>
        </w:trPr>
        <w:tc>
          <w:tcPr>
            <w:tcW w:w="33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Profit Before Tax</w:t>
            </w:r>
          </w:p>
        </w:tc>
        <w:tc>
          <w:tcPr>
            <w:tcW w:w="12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103.6</w:t>
            </w:r>
          </w:p>
        </w:tc>
        <w:tc>
          <w:tcPr>
            <w:tcW w:w="1660" w:type="dxa"/>
            <w:vAlign w:val="bottom"/>
            <w:tcBorders>
              <w:top w:val="single" w:sz="8" w:color="DADAE7"/>
            </w:tcBorders>
          </w:tcPr>
          <w:p>
            <w:pPr>
              <w:jc w:val="right"/>
              <w:ind w:right="285"/>
              <w:spacing w:after="0"/>
              <w:rPr>
                <w:sz w:val="20"/>
                <w:szCs w:val="20"/>
                <w:color w:val="auto"/>
              </w:rPr>
            </w:pPr>
            <w:r>
              <w:rPr>
                <w:rFonts w:ascii="Arial" w:cs="Arial" w:eastAsia="Arial" w:hAnsi="Arial"/>
                <w:sz w:val="15"/>
                <w:szCs w:val="15"/>
                <w:color w:val="auto"/>
              </w:rPr>
              <w:t>80.1</w:t>
            </w:r>
          </w:p>
        </w:tc>
        <w:tc>
          <w:tcPr>
            <w:tcW w:w="1120" w:type="dxa"/>
            <w:vAlign w:val="bottom"/>
            <w:tcBorders>
              <w:top w:val="single" w:sz="8" w:color="DADAE7"/>
            </w:tcBorders>
          </w:tcPr>
          <w:p>
            <w:pPr>
              <w:jc w:val="right"/>
              <w:ind w:right="44"/>
              <w:spacing w:after="0"/>
              <w:rPr>
                <w:sz w:val="20"/>
                <w:szCs w:val="20"/>
                <w:color w:val="auto"/>
              </w:rPr>
            </w:pPr>
            <w:r>
              <w:rPr>
                <w:rFonts w:ascii="Arial" w:cs="Arial" w:eastAsia="Arial" w:hAnsi="Arial"/>
                <w:sz w:val="15"/>
                <w:szCs w:val="15"/>
                <w:color w:val="auto"/>
              </w:rPr>
              <w:t>29%</w:t>
            </w:r>
          </w:p>
        </w:tc>
        <w:tc>
          <w:tcPr>
            <w:tcW w:w="12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201.6</w:t>
            </w:r>
          </w:p>
        </w:tc>
        <w:tc>
          <w:tcPr>
            <w:tcW w:w="1680" w:type="dxa"/>
            <w:vAlign w:val="bottom"/>
            <w:tcBorders>
              <w:top w:val="single" w:sz="8" w:color="DADAE7"/>
            </w:tcBorders>
          </w:tcPr>
          <w:p>
            <w:pPr>
              <w:jc w:val="right"/>
              <w:ind w:right="305"/>
              <w:spacing w:after="0"/>
              <w:rPr>
                <w:sz w:val="20"/>
                <w:szCs w:val="20"/>
                <w:color w:val="auto"/>
              </w:rPr>
            </w:pPr>
            <w:r>
              <w:rPr>
                <w:rFonts w:ascii="Arial" w:cs="Arial" w:eastAsia="Arial" w:hAnsi="Arial"/>
                <w:sz w:val="15"/>
                <w:szCs w:val="15"/>
                <w:color w:val="auto"/>
              </w:rPr>
              <w:t>139.0</w:t>
            </w:r>
          </w:p>
        </w:tc>
        <w:tc>
          <w:tcPr>
            <w:tcW w:w="9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37"/>
        </w:trPr>
        <w:tc>
          <w:tcPr>
            <w:tcW w:w="33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Profit Before Tax Margin (%)</w:t>
            </w:r>
          </w:p>
        </w:tc>
        <w:tc>
          <w:tcPr>
            <w:tcW w:w="12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20.7%</w:t>
            </w:r>
          </w:p>
        </w:tc>
        <w:tc>
          <w:tcPr>
            <w:tcW w:w="1660" w:type="dxa"/>
            <w:vAlign w:val="bottom"/>
            <w:tcBorders>
              <w:top w:val="single" w:sz="8" w:color="DADAE7"/>
            </w:tcBorders>
          </w:tcPr>
          <w:p>
            <w:pPr>
              <w:jc w:val="right"/>
              <w:ind w:right="305"/>
              <w:spacing w:after="0"/>
              <w:rPr>
                <w:sz w:val="20"/>
                <w:szCs w:val="20"/>
                <w:color w:val="auto"/>
              </w:rPr>
            </w:pPr>
            <w:r>
              <w:rPr>
                <w:rFonts w:ascii="Arial" w:cs="Arial" w:eastAsia="Arial" w:hAnsi="Arial"/>
                <w:sz w:val="15"/>
                <w:szCs w:val="15"/>
                <w:color w:val="auto"/>
              </w:rPr>
              <w:t>19.0%</w:t>
            </w:r>
          </w:p>
        </w:tc>
        <w:tc>
          <w:tcPr>
            <w:tcW w:w="1120" w:type="dxa"/>
            <w:vAlign w:val="bottom"/>
            <w:tcBorders>
              <w:top w:val="single" w:sz="8" w:color="DADAE7"/>
            </w:tcBorders>
          </w:tcPr>
          <w:p>
            <w:pPr>
              <w:jc w:val="right"/>
              <w:ind w:right="44"/>
              <w:spacing w:after="0"/>
              <w:rPr>
                <w:sz w:val="20"/>
                <w:szCs w:val="20"/>
                <w:color w:val="auto"/>
              </w:rPr>
            </w:pPr>
            <w:r>
              <w:rPr>
                <w:rFonts w:ascii="Arial" w:cs="Arial" w:eastAsia="Arial" w:hAnsi="Arial"/>
                <w:sz w:val="15"/>
                <w:szCs w:val="15"/>
                <w:color w:val="auto"/>
              </w:rPr>
              <w:t>170 bps</w:t>
            </w:r>
          </w:p>
        </w:tc>
        <w:tc>
          <w:tcPr>
            <w:tcW w:w="12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20.8%</w:t>
            </w:r>
          </w:p>
        </w:tc>
        <w:tc>
          <w:tcPr>
            <w:tcW w:w="1680" w:type="dxa"/>
            <w:vAlign w:val="bottom"/>
            <w:tcBorders>
              <w:top w:val="single" w:sz="8" w:color="DADAE7"/>
            </w:tcBorders>
          </w:tcPr>
          <w:p>
            <w:pPr>
              <w:jc w:val="right"/>
              <w:ind w:right="305"/>
              <w:spacing w:after="0"/>
              <w:rPr>
                <w:sz w:val="20"/>
                <w:szCs w:val="20"/>
                <w:color w:val="auto"/>
              </w:rPr>
            </w:pPr>
            <w:r>
              <w:rPr>
                <w:rFonts w:ascii="Arial" w:cs="Arial" w:eastAsia="Arial" w:hAnsi="Arial"/>
                <w:sz w:val="15"/>
                <w:szCs w:val="15"/>
                <w:color w:val="auto"/>
              </w:rPr>
              <w:t>17.6%</w:t>
            </w:r>
          </w:p>
        </w:tc>
        <w:tc>
          <w:tcPr>
            <w:tcW w:w="9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320 bps</w:t>
            </w:r>
          </w:p>
        </w:tc>
        <w:tc>
          <w:tcPr>
            <w:tcW w:w="0" w:type="dxa"/>
            <w:vAlign w:val="bottom"/>
          </w:tcPr>
          <w:p>
            <w:pPr>
              <w:spacing w:after="0"/>
              <w:rPr>
                <w:sz w:val="1"/>
                <w:szCs w:val="1"/>
                <w:color w:val="auto"/>
              </w:rPr>
            </w:pPr>
          </w:p>
        </w:tc>
      </w:tr>
      <w:tr>
        <w:trPr>
          <w:trHeight w:val="237"/>
        </w:trPr>
        <w:tc>
          <w:tcPr>
            <w:tcW w:w="33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Profit After Tax</w:t>
            </w:r>
          </w:p>
        </w:tc>
        <w:tc>
          <w:tcPr>
            <w:tcW w:w="12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76.7</w:t>
            </w:r>
          </w:p>
        </w:tc>
        <w:tc>
          <w:tcPr>
            <w:tcW w:w="1660" w:type="dxa"/>
            <w:vAlign w:val="bottom"/>
            <w:tcBorders>
              <w:top w:val="single" w:sz="8" w:color="DADAE7"/>
            </w:tcBorders>
          </w:tcPr>
          <w:p>
            <w:pPr>
              <w:jc w:val="right"/>
              <w:ind w:right="285"/>
              <w:spacing w:after="0"/>
              <w:rPr>
                <w:sz w:val="20"/>
                <w:szCs w:val="20"/>
                <w:color w:val="auto"/>
              </w:rPr>
            </w:pPr>
            <w:r>
              <w:rPr>
                <w:rFonts w:ascii="Arial" w:cs="Arial" w:eastAsia="Arial" w:hAnsi="Arial"/>
                <w:sz w:val="15"/>
                <w:szCs w:val="15"/>
                <w:color w:val="auto"/>
              </w:rPr>
              <w:t>59.3</w:t>
            </w:r>
          </w:p>
        </w:tc>
        <w:tc>
          <w:tcPr>
            <w:tcW w:w="1120" w:type="dxa"/>
            <w:vAlign w:val="bottom"/>
            <w:tcBorders>
              <w:top w:val="single" w:sz="8" w:color="DADAE7"/>
            </w:tcBorders>
          </w:tcPr>
          <w:p>
            <w:pPr>
              <w:jc w:val="right"/>
              <w:ind w:right="44"/>
              <w:spacing w:after="0"/>
              <w:rPr>
                <w:sz w:val="20"/>
                <w:szCs w:val="20"/>
                <w:color w:val="auto"/>
              </w:rPr>
            </w:pPr>
            <w:r>
              <w:rPr>
                <w:rFonts w:ascii="Arial" w:cs="Arial" w:eastAsia="Arial" w:hAnsi="Arial"/>
                <w:sz w:val="15"/>
                <w:szCs w:val="15"/>
                <w:color w:val="auto"/>
              </w:rPr>
              <w:t>29%</w:t>
            </w:r>
          </w:p>
        </w:tc>
        <w:tc>
          <w:tcPr>
            <w:tcW w:w="12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149.2</w:t>
            </w:r>
          </w:p>
        </w:tc>
        <w:tc>
          <w:tcPr>
            <w:tcW w:w="1680" w:type="dxa"/>
            <w:vAlign w:val="bottom"/>
            <w:tcBorders>
              <w:top w:val="single" w:sz="8" w:color="DADAE7"/>
            </w:tcBorders>
          </w:tcPr>
          <w:p>
            <w:pPr>
              <w:jc w:val="right"/>
              <w:ind w:right="305"/>
              <w:spacing w:after="0"/>
              <w:rPr>
                <w:sz w:val="20"/>
                <w:szCs w:val="20"/>
                <w:color w:val="auto"/>
              </w:rPr>
            </w:pPr>
            <w:r>
              <w:rPr>
                <w:rFonts w:ascii="Arial" w:cs="Arial" w:eastAsia="Arial" w:hAnsi="Arial"/>
                <w:sz w:val="15"/>
                <w:szCs w:val="15"/>
                <w:color w:val="auto"/>
              </w:rPr>
              <w:t>102.9</w:t>
            </w:r>
          </w:p>
        </w:tc>
        <w:tc>
          <w:tcPr>
            <w:tcW w:w="9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36"/>
        </w:trPr>
        <w:tc>
          <w:tcPr>
            <w:tcW w:w="33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Profit After Tax Margin (%)</w:t>
            </w:r>
          </w:p>
        </w:tc>
        <w:tc>
          <w:tcPr>
            <w:tcW w:w="12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15.3%</w:t>
            </w:r>
          </w:p>
        </w:tc>
        <w:tc>
          <w:tcPr>
            <w:tcW w:w="1660" w:type="dxa"/>
            <w:vAlign w:val="bottom"/>
            <w:tcBorders>
              <w:top w:val="single" w:sz="8" w:color="DADAE7"/>
            </w:tcBorders>
          </w:tcPr>
          <w:p>
            <w:pPr>
              <w:jc w:val="right"/>
              <w:ind w:right="305"/>
              <w:spacing w:after="0"/>
              <w:rPr>
                <w:sz w:val="20"/>
                <w:szCs w:val="20"/>
                <w:color w:val="auto"/>
              </w:rPr>
            </w:pPr>
            <w:r>
              <w:rPr>
                <w:rFonts w:ascii="Arial" w:cs="Arial" w:eastAsia="Arial" w:hAnsi="Arial"/>
                <w:sz w:val="15"/>
                <w:szCs w:val="15"/>
                <w:color w:val="auto"/>
              </w:rPr>
              <w:t>14.0%</w:t>
            </w:r>
          </w:p>
        </w:tc>
        <w:tc>
          <w:tcPr>
            <w:tcW w:w="1120" w:type="dxa"/>
            <w:vAlign w:val="bottom"/>
            <w:tcBorders>
              <w:top w:val="single" w:sz="8" w:color="DADAE7"/>
            </w:tcBorders>
          </w:tcPr>
          <w:p>
            <w:pPr>
              <w:jc w:val="right"/>
              <w:ind w:right="44"/>
              <w:spacing w:after="0"/>
              <w:rPr>
                <w:sz w:val="20"/>
                <w:szCs w:val="20"/>
                <w:color w:val="auto"/>
              </w:rPr>
            </w:pPr>
            <w:r>
              <w:rPr>
                <w:rFonts w:ascii="Arial" w:cs="Arial" w:eastAsia="Arial" w:hAnsi="Arial"/>
                <w:sz w:val="15"/>
                <w:szCs w:val="15"/>
                <w:color w:val="auto"/>
              </w:rPr>
              <w:t>130 bps</w:t>
            </w:r>
          </w:p>
        </w:tc>
        <w:tc>
          <w:tcPr>
            <w:tcW w:w="12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15.4%</w:t>
            </w:r>
          </w:p>
        </w:tc>
        <w:tc>
          <w:tcPr>
            <w:tcW w:w="1680" w:type="dxa"/>
            <w:vAlign w:val="bottom"/>
            <w:tcBorders>
              <w:top w:val="single" w:sz="8" w:color="DADAE7"/>
            </w:tcBorders>
          </w:tcPr>
          <w:p>
            <w:pPr>
              <w:jc w:val="right"/>
              <w:ind w:right="305"/>
              <w:spacing w:after="0"/>
              <w:rPr>
                <w:sz w:val="20"/>
                <w:szCs w:val="20"/>
                <w:color w:val="auto"/>
              </w:rPr>
            </w:pPr>
            <w:r>
              <w:rPr>
                <w:rFonts w:ascii="Arial" w:cs="Arial" w:eastAsia="Arial" w:hAnsi="Arial"/>
                <w:sz w:val="15"/>
                <w:szCs w:val="15"/>
                <w:color w:val="auto"/>
              </w:rPr>
              <w:t>13.1%</w:t>
            </w:r>
          </w:p>
        </w:tc>
        <w:tc>
          <w:tcPr>
            <w:tcW w:w="9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230 bps</w:t>
            </w:r>
          </w:p>
        </w:tc>
        <w:tc>
          <w:tcPr>
            <w:tcW w:w="0" w:type="dxa"/>
            <w:vAlign w:val="bottom"/>
          </w:tcPr>
          <w:p>
            <w:pPr>
              <w:spacing w:after="0"/>
              <w:rPr>
                <w:sz w:val="1"/>
                <w:szCs w:val="1"/>
                <w:color w:val="auto"/>
              </w:rPr>
            </w:pPr>
          </w:p>
        </w:tc>
      </w:tr>
      <w:tr>
        <w:trPr>
          <w:trHeight w:val="212"/>
        </w:trPr>
        <w:tc>
          <w:tcPr>
            <w:tcW w:w="33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Return on Equity (%)</w:t>
            </w:r>
          </w:p>
        </w:tc>
        <w:tc>
          <w:tcPr>
            <w:tcW w:w="1220" w:type="dxa"/>
            <w:vAlign w:val="bottom"/>
            <w:tcBorders>
              <w:top w:val="single" w:sz="8" w:color="DADAE7"/>
            </w:tcBorders>
          </w:tcPr>
          <w:p>
            <w:pPr>
              <w:jc w:val="right"/>
              <w:spacing w:after="0"/>
              <w:rPr>
                <w:sz w:val="20"/>
                <w:szCs w:val="20"/>
                <w:color w:val="auto"/>
              </w:rPr>
            </w:pPr>
            <w:r>
              <w:rPr>
                <w:rFonts w:ascii="Arial" w:cs="Arial" w:eastAsia="Arial" w:hAnsi="Arial"/>
                <w:sz w:val="15"/>
                <w:szCs w:val="15"/>
                <w:b w:val="1"/>
                <w:bCs w:val="1"/>
                <w:color w:val="auto"/>
              </w:rPr>
              <w:t>28.4%</w:t>
            </w:r>
          </w:p>
        </w:tc>
        <w:tc>
          <w:tcPr>
            <w:tcW w:w="1660" w:type="dxa"/>
            <w:vAlign w:val="bottom"/>
            <w:tcBorders>
              <w:top w:val="single" w:sz="8" w:color="DADAE7"/>
            </w:tcBorders>
          </w:tcPr>
          <w:p>
            <w:pPr>
              <w:jc w:val="right"/>
              <w:ind w:right="305"/>
              <w:spacing w:after="0"/>
              <w:rPr>
                <w:sz w:val="20"/>
                <w:szCs w:val="20"/>
                <w:color w:val="auto"/>
              </w:rPr>
            </w:pPr>
            <w:r>
              <w:rPr>
                <w:rFonts w:ascii="Arial" w:cs="Arial" w:eastAsia="Arial" w:hAnsi="Arial"/>
                <w:sz w:val="15"/>
                <w:szCs w:val="15"/>
                <w:color w:val="auto"/>
              </w:rPr>
              <w:t>28.7%</w:t>
            </w:r>
          </w:p>
        </w:tc>
        <w:tc>
          <w:tcPr>
            <w:tcW w:w="1120" w:type="dxa"/>
            <w:vAlign w:val="bottom"/>
            <w:tcBorders>
              <w:top w:val="single" w:sz="8" w:color="DADAE7"/>
            </w:tcBorders>
          </w:tcPr>
          <w:p>
            <w:pPr>
              <w:jc w:val="right"/>
              <w:ind w:right="44"/>
              <w:spacing w:after="0"/>
              <w:rPr>
                <w:sz w:val="20"/>
                <w:szCs w:val="20"/>
                <w:color w:val="auto"/>
              </w:rPr>
            </w:pPr>
            <w:r>
              <w:rPr>
                <w:rFonts w:ascii="Arial" w:cs="Arial" w:eastAsia="Arial" w:hAnsi="Arial"/>
                <w:sz w:val="15"/>
                <w:szCs w:val="15"/>
                <w:color w:val="auto"/>
              </w:rPr>
              <w:t>(30) bps</w:t>
            </w:r>
          </w:p>
        </w:tc>
        <w:tc>
          <w:tcPr>
            <w:tcW w:w="1200" w:type="dxa"/>
            <w:vAlign w:val="bottom"/>
            <w:tcBorders>
              <w:top w:val="single" w:sz="8" w:color="DADAE7"/>
            </w:tcBorders>
          </w:tcPr>
          <w:p>
            <w:pPr>
              <w:jc w:val="right"/>
              <w:spacing w:after="0"/>
              <w:rPr>
                <w:sz w:val="20"/>
                <w:szCs w:val="20"/>
                <w:color w:val="auto"/>
              </w:rPr>
            </w:pPr>
            <w:r>
              <w:rPr>
                <w:rFonts w:ascii="Arial" w:cs="Arial" w:eastAsia="Arial" w:hAnsi="Arial"/>
                <w:sz w:val="15"/>
                <w:szCs w:val="15"/>
                <w:b w:val="1"/>
                <w:bCs w:val="1"/>
                <w:color w:val="auto"/>
              </w:rPr>
              <w:t>28.6%</w:t>
            </w:r>
          </w:p>
        </w:tc>
        <w:tc>
          <w:tcPr>
            <w:tcW w:w="1680" w:type="dxa"/>
            <w:vAlign w:val="bottom"/>
            <w:tcBorders>
              <w:top w:val="single" w:sz="8" w:color="DADAE7"/>
            </w:tcBorders>
          </w:tcPr>
          <w:p>
            <w:pPr>
              <w:jc w:val="right"/>
              <w:ind w:right="305"/>
              <w:spacing w:after="0"/>
              <w:rPr>
                <w:sz w:val="20"/>
                <w:szCs w:val="20"/>
                <w:color w:val="auto"/>
              </w:rPr>
            </w:pPr>
            <w:r>
              <w:rPr>
                <w:rFonts w:ascii="Arial" w:cs="Arial" w:eastAsia="Arial" w:hAnsi="Arial"/>
                <w:sz w:val="15"/>
                <w:szCs w:val="15"/>
                <w:color w:val="auto"/>
              </w:rPr>
              <w:t>25.4%</w:t>
            </w:r>
          </w:p>
        </w:tc>
        <w:tc>
          <w:tcPr>
            <w:tcW w:w="9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320 bps</w:t>
            </w:r>
          </w:p>
        </w:tc>
        <w:tc>
          <w:tcPr>
            <w:tcW w:w="0" w:type="dxa"/>
            <w:vAlign w:val="bottom"/>
          </w:tcPr>
          <w:p>
            <w:pPr>
              <w:spacing w:after="0"/>
              <w:rPr>
                <w:sz w:val="1"/>
                <w:szCs w:val="1"/>
                <w:color w:val="auto"/>
              </w:rPr>
            </w:pPr>
          </w:p>
        </w:tc>
      </w:tr>
      <w:tr>
        <w:trPr>
          <w:trHeight w:val="25"/>
        </w:trPr>
        <w:tc>
          <w:tcPr>
            <w:tcW w:w="3320" w:type="dxa"/>
            <w:vAlign w:val="bottom"/>
            <w:tcBorders>
              <w:bottom w:val="single" w:sz="8" w:color="DADAE7"/>
            </w:tcBorders>
          </w:tcPr>
          <w:p>
            <w:pPr>
              <w:spacing w:after="0"/>
              <w:rPr>
                <w:sz w:val="2"/>
                <w:szCs w:val="2"/>
                <w:color w:val="auto"/>
              </w:rPr>
            </w:pPr>
          </w:p>
        </w:tc>
        <w:tc>
          <w:tcPr>
            <w:tcW w:w="1220" w:type="dxa"/>
            <w:vAlign w:val="bottom"/>
            <w:tcBorders>
              <w:bottom w:val="single" w:sz="8" w:color="DADAE7"/>
            </w:tcBorders>
          </w:tcPr>
          <w:p>
            <w:pPr>
              <w:spacing w:after="0"/>
              <w:rPr>
                <w:sz w:val="2"/>
                <w:szCs w:val="2"/>
                <w:color w:val="auto"/>
              </w:rPr>
            </w:pPr>
          </w:p>
        </w:tc>
        <w:tc>
          <w:tcPr>
            <w:tcW w:w="1660" w:type="dxa"/>
            <w:vAlign w:val="bottom"/>
            <w:tcBorders>
              <w:bottom w:val="single" w:sz="8" w:color="DADAE7"/>
            </w:tcBorders>
          </w:tcPr>
          <w:p>
            <w:pPr>
              <w:spacing w:after="0"/>
              <w:rPr>
                <w:sz w:val="2"/>
                <w:szCs w:val="2"/>
                <w:color w:val="auto"/>
              </w:rPr>
            </w:pPr>
          </w:p>
        </w:tc>
        <w:tc>
          <w:tcPr>
            <w:tcW w:w="1120" w:type="dxa"/>
            <w:vAlign w:val="bottom"/>
            <w:tcBorders>
              <w:bottom w:val="single" w:sz="8" w:color="DADAE7"/>
            </w:tcBorders>
          </w:tcPr>
          <w:p>
            <w:pPr>
              <w:spacing w:after="0"/>
              <w:rPr>
                <w:sz w:val="2"/>
                <w:szCs w:val="2"/>
                <w:color w:val="auto"/>
              </w:rPr>
            </w:pPr>
          </w:p>
        </w:tc>
        <w:tc>
          <w:tcPr>
            <w:tcW w:w="1200" w:type="dxa"/>
            <w:vAlign w:val="bottom"/>
            <w:tcBorders>
              <w:bottom w:val="single" w:sz="8" w:color="DADAE7"/>
            </w:tcBorders>
          </w:tcPr>
          <w:p>
            <w:pPr>
              <w:spacing w:after="0"/>
              <w:rPr>
                <w:sz w:val="2"/>
                <w:szCs w:val="2"/>
                <w:color w:val="auto"/>
              </w:rPr>
            </w:pPr>
          </w:p>
        </w:tc>
        <w:tc>
          <w:tcPr>
            <w:tcW w:w="1680" w:type="dxa"/>
            <w:vAlign w:val="bottom"/>
            <w:tcBorders>
              <w:bottom w:val="single" w:sz="8" w:color="DADAE7"/>
            </w:tcBorders>
          </w:tcPr>
          <w:p>
            <w:pPr>
              <w:spacing w:after="0"/>
              <w:rPr>
                <w:sz w:val="2"/>
                <w:szCs w:val="2"/>
                <w:color w:val="auto"/>
              </w:rPr>
            </w:pPr>
          </w:p>
        </w:tc>
        <w:tc>
          <w:tcPr>
            <w:tcW w:w="960" w:type="dxa"/>
            <w:vAlign w:val="bottom"/>
            <w:tcBorders>
              <w:bottom w:val="single" w:sz="8" w:color="DADAE7"/>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32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Basic Earnings per Share ($)</w:t>
            </w:r>
            <w:r>
              <w:rPr>
                <w:rFonts w:ascii="Arial" w:cs="Arial" w:eastAsia="Arial" w:hAnsi="Arial"/>
                <w:sz w:val="19"/>
                <w:szCs w:val="19"/>
                <w:color w:val="auto"/>
                <w:vertAlign w:val="superscript"/>
              </w:rPr>
              <w:t>2</w:t>
            </w:r>
          </w:p>
        </w:tc>
        <w:tc>
          <w:tcPr>
            <w:tcW w:w="122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1.03</w:t>
            </w:r>
          </w:p>
        </w:tc>
        <w:tc>
          <w:tcPr>
            <w:tcW w:w="1660" w:type="dxa"/>
            <w:vAlign w:val="bottom"/>
            <w:tcBorders>
              <w:bottom w:val="single" w:sz="8" w:color="DADAE7"/>
            </w:tcBorders>
          </w:tcPr>
          <w:p>
            <w:pPr>
              <w:jc w:val="right"/>
              <w:ind w:right="285"/>
              <w:spacing w:after="0"/>
              <w:rPr>
                <w:sz w:val="20"/>
                <w:szCs w:val="20"/>
                <w:color w:val="auto"/>
              </w:rPr>
            </w:pPr>
            <w:r>
              <w:rPr>
                <w:rFonts w:ascii="Arial" w:cs="Arial" w:eastAsia="Arial" w:hAnsi="Arial"/>
                <w:sz w:val="15"/>
                <w:szCs w:val="15"/>
                <w:color w:val="auto"/>
              </w:rPr>
              <w:t>0.81</w:t>
            </w:r>
          </w:p>
        </w:tc>
        <w:tc>
          <w:tcPr>
            <w:tcW w:w="1120" w:type="dxa"/>
            <w:vAlign w:val="bottom"/>
            <w:tcBorders>
              <w:bottom w:val="single" w:sz="8" w:color="DADAE7"/>
            </w:tcBorders>
          </w:tcPr>
          <w:p>
            <w:pPr>
              <w:jc w:val="right"/>
              <w:ind w:right="44"/>
              <w:spacing w:after="0"/>
              <w:rPr>
                <w:sz w:val="20"/>
                <w:szCs w:val="20"/>
                <w:color w:val="auto"/>
              </w:rPr>
            </w:pPr>
            <w:r>
              <w:rPr>
                <w:rFonts w:ascii="Arial" w:cs="Arial" w:eastAsia="Arial" w:hAnsi="Arial"/>
                <w:sz w:val="15"/>
                <w:szCs w:val="15"/>
                <w:color w:val="auto"/>
              </w:rPr>
              <w:t>27%</w:t>
            </w:r>
          </w:p>
        </w:tc>
        <w:tc>
          <w:tcPr>
            <w:tcW w:w="120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2.01</w:t>
            </w:r>
          </w:p>
        </w:tc>
        <w:tc>
          <w:tcPr>
            <w:tcW w:w="1680" w:type="dxa"/>
            <w:vAlign w:val="bottom"/>
            <w:tcBorders>
              <w:bottom w:val="single" w:sz="8" w:color="DADAE7"/>
            </w:tcBorders>
          </w:tcPr>
          <w:p>
            <w:pPr>
              <w:jc w:val="right"/>
              <w:ind w:right="305"/>
              <w:spacing w:after="0"/>
              <w:rPr>
                <w:sz w:val="20"/>
                <w:szCs w:val="20"/>
                <w:color w:val="auto"/>
              </w:rPr>
            </w:pPr>
            <w:r>
              <w:rPr>
                <w:rFonts w:ascii="Arial" w:cs="Arial" w:eastAsia="Arial" w:hAnsi="Arial"/>
                <w:sz w:val="15"/>
                <w:szCs w:val="15"/>
                <w:color w:val="auto"/>
              </w:rPr>
              <w:t>1.41</w:t>
            </w:r>
          </w:p>
        </w:tc>
        <w:tc>
          <w:tcPr>
            <w:tcW w:w="960" w:type="dxa"/>
            <w:vAlign w:val="bottom"/>
            <w:tcBorders>
              <w:bottom w:val="single" w:sz="8" w:color="DADAE7"/>
            </w:tcBorders>
          </w:tcPr>
          <w:p>
            <w:pPr>
              <w:jc w:val="right"/>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237"/>
        </w:trPr>
        <w:tc>
          <w:tcPr>
            <w:tcW w:w="332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Diluted Earnings per Share ($)</w:t>
            </w:r>
            <w:r>
              <w:rPr>
                <w:rFonts w:ascii="Arial" w:cs="Arial" w:eastAsia="Arial" w:hAnsi="Arial"/>
                <w:sz w:val="19"/>
                <w:szCs w:val="19"/>
                <w:color w:val="auto"/>
                <w:vertAlign w:val="superscript"/>
              </w:rPr>
              <w:t>2</w:t>
            </w:r>
          </w:p>
        </w:tc>
        <w:tc>
          <w:tcPr>
            <w:tcW w:w="122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0.98</w:t>
            </w:r>
          </w:p>
        </w:tc>
        <w:tc>
          <w:tcPr>
            <w:tcW w:w="1660" w:type="dxa"/>
            <w:vAlign w:val="bottom"/>
            <w:tcBorders>
              <w:bottom w:val="single" w:sz="8" w:color="DADAE7"/>
            </w:tcBorders>
          </w:tcPr>
          <w:p>
            <w:pPr>
              <w:jc w:val="right"/>
              <w:ind w:right="285"/>
              <w:spacing w:after="0"/>
              <w:rPr>
                <w:sz w:val="20"/>
                <w:szCs w:val="20"/>
                <w:color w:val="auto"/>
              </w:rPr>
            </w:pPr>
            <w:r>
              <w:rPr>
                <w:rFonts w:ascii="Arial" w:cs="Arial" w:eastAsia="Arial" w:hAnsi="Arial"/>
                <w:sz w:val="15"/>
                <w:szCs w:val="15"/>
                <w:color w:val="auto"/>
              </w:rPr>
              <w:t>0.76</w:t>
            </w:r>
          </w:p>
        </w:tc>
        <w:tc>
          <w:tcPr>
            <w:tcW w:w="1120" w:type="dxa"/>
            <w:vAlign w:val="bottom"/>
            <w:tcBorders>
              <w:bottom w:val="single" w:sz="8" w:color="DADAE7"/>
            </w:tcBorders>
          </w:tcPr>
          <w:p>
            <w:pPr>
              <w:jc w:val="right"/>
              <w:ind w:right="44"/>
              <w:spacing w:after="0"/>
              <w:rPr>
                <w:sz w:val="20"/>
                <w:szCs w:val="20"/>
                <w:color w:val="auto"/>
              </w:rPr>
            </w:pPr>
            <w:r>
              <w:rPr>
                <w:rFonts w:ascii="Arial" w:cs="Arial" w:eastAsia="Arial" w:hAnsi="Arial"/>
                <w:sz w:val="15"/>
                <w:szCs w:val="15"/>
                <w:color w:val="auto"/>
              </w:rPr>
              <w:t>29%</w:t>
            </w:r>
          </w:p>
        </w:tc>
        <w:tc>
          <w:tcPr>
            <w:tcW w:w="120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1.91</w:t>
            </w:r>
          </w:p>
        </w:tc>
        <w:tc>
          <w:tcPr>
            <w:tcW w:w="1680" w:type="dxa"/>
            <w:vAlign w:val="bottom"/>
            <w:tcBorders>
              <w:bottom w:val="single" w:sz="8" w:color="DADAE7"/>
            </w:tcBorders>
          </w:tcPr>
          <w:p>
            <w:pPr>
              <w:jc w:val="right"/>
              <w:ind w:right="305"/>
              <w:spacing w:after="0"/>
              <w:rPr>
                <w:sz w:val="20"/>
                <w:szCs w:val="20"/>
                <w:color w:val="auto"/>
              </w:rPr>
            </w:pPr>
            <w:r>
              <w:rPr>
                <w:rFonts w:ascii="Arial" w:cs="Arial" w:eastAsia="Arial" w:hAnsi="Arial"/>
                <w:sz w:val="15"/>
                <w:szCs w:val="15"/>
                <w:color w:val="auto"/>
              </w:rPr>
              <w:t>1.32</w:t>
            </w:r>
          </w:p>
        </w:tc>
        <w:tc>
          <w:tcPr>
            <w:tcW w:w="960" w:type="dxa"/>
            <w:vAlign w:val="bottom"/>
            <w:tcBorders>
              <w:bottom w:val="single" w:sz="8" w:color="DADAE7"/>
            </w:tcBorders>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DADAE7"/>
            </w:tcBorders>
          </w:tcPr>
          <w:p>
            <w:pPr>
              <w:spacing w:after="0"/>
              <w:rPr>
                <w:sz w:val="17"/>
                <w:szCs w:val="17"/>
                <w:color w:val="auto"/>
              </w:rPr>
            </w:pPr>
          </w:p>
        </w:tc>
        <w:tc>
          <w:tcPr>
            <w:tcW w:w="1220" w:type="dxa"/>
            <w:vAlign w:val="bottom"/>
            <w:tcBorders>
              <w:bottom w:val="single" w:sz="8" w:color="DADAE7"/>
            </w:tcBorders>
            <w:shd w:val="clear" w:color="auto" w:fill="F4EFF6"/>
          </w:tcPr>
          <w:p>
            <w:pPr>
              <w:spacing w:after="0"/>
              <w:rPr>
                <w:sz w:val="17"/>
                <w:szCs w:val="17"/>
                <w:color w:val="auto"/>
              </w:rPr>
            </w:pPr>
          </w:p>
        </w:tc>
        <w:tc>
          <w:tcPr>
            <w:tcW w:w="1660" w:type="dxa"/>
            <w:vAlign w:val="bottom"/>
            <w:tcBorders>
              <w:bottom w:val="single" w:sz="8" w:color="DADAE7"/>
            </w:tcBorders>
          </w:tcPr>
          <w:p>
            <w:pPr>
              <w:spacing w:after="0"/>
              <w:rPr>
                <w:sz w:val="17"/>
                <w:szCs w:val="17"/>
                <w:color w:val="auto"/>
              </w:rPr>
            </w:pPr>
          </w:p>
        </w:tc>
        <w:tc>
          <w:tcPr>
            <w:tcW w:w="1120" w:type="dxa"/>
            <w:vAlign w:val="bottom"/>
            <w:tcBorders>
              <w:bottom w:val="single" w:sz="8" w:color="DADAE7"/>
            </w:tcBorders>
          </w:tcPr>
          <w:p>
            <w:pPr>
              <w:spacing w:after="0"/>
              <w:rPr>
                <w:sz w:val="17"/>
                <w:szCs w:val="17"/>
                <w:color w:val="auto"/>
              </w:rPr>
            </w:pPr>
          </w:p>
        </w:tc>
        <w:tc>
          <w:tcPr>
            <w:tcW w:w="1200" w:type="dxa"/>
            <w:vAlign w:val="bottom"/>
            <w:tcBorders>
              <w:bottom w:val="single" w:sz="8" w:color="DADAE7"/>
            </w:tcBorders>
            <w:shd w:val="clear" w:color="auto" w:fill="F4EFF6"/>
          </w:tcPr>
          <w:p>
            <w:pPr>
              <w:spacing w:after="0"/>
              <w:rPr>
                <w:sz w:val="17"/>
                <w:szCs w:val="17"/>
                <w:color w:val="auto"/>
              </w:rPr>
            </w:pPr>
          </w:p>
        </w:tc>
        <w:tc>
          <w:tcPr>
            <w:tcW w:w="1680" w:type="dxa"/>
            <w:vAlign w:val="bottom"/>
            <w:tcBorders>
              <w:bottom w:val="single" w:sz="8" w:color="DADAE7"/>
            </w:tcBorders>
          </w:tcPr>
          <w:p>
            <w:pPr>
              <w:spacing w:after="0"/>
              <w:rPr>
                <w:sz w:val="17"/>
                <w:szCs w:val="17"/>
                <w:color w:val="auto"/>
              </w:rPr>
            </w:pPr>
          </w:p>
        </w:tc>
        <w:tc>
          <w:tcPr>
            <w:tcW w:w="960" w:type="dxa"/>
            <w:vAlign w:val="bottom"/>
            <w:tcBorders>
              <w:bottom w:val="single" w:sz="8" w:color="DADAE7"/>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Adjusted Profit Before Tax</w:t>
            </w:r>
            <w:r>
              <w:rPr>
                <w:rFonts w:ascii="Arial" w:cs="Arial" w:eastAsia="Arial" w:hAnsi="Arial"/>
                <w:sz w:val="19"/>
                <w:szCs w:val="19"/>
                <w:color w:val="auto"/>
                <w:vertAlign w:val="superscript"/>
              </w:rPr>
              <w:t>1</w:t>
            </w:r>
          </w:p>
        </w:tc>
        <w:tc>
          <w:tcPr>
            <w:tcW w:w="122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106.4</w:t>
            </w:r>
          </w:p>
        </w:tc>
        <w:tc>
          <w:tcPr>
            <w:tcW w:w="1660" w:type="dxa"/>
            <w:vAlign w:val="bottom"/>
            <w:tcBorders>
              <w:bottom w:val="single" w:sz="8" w:color="DADAE7"/>
            </w:tcBorders>
          </w:tcPr>
          <w:p>
            <w:pPr>
              <w:jc w:val="right"/>
              <w:ind w:right="285"/>
              <w:spacing w:after="0"/>
              <w:rPr>
                <w:sz w:val="20"/>
                <w:szCs w:val="20"/>
                <w:color w:val="auto"/>
              </w:rPr>
            </w:pPr>
            <w:r>
              <w:rPr>
                <w:rFonts w:ascii="Arial" w:cs="Arial" w:eastAsia="Arial" w:hAnsi="Arial"/>
                <w:sz w:val="15"/>
                <w:szCs w:val="15"/>
                <w:color w:val="auto"/>
              </w:rPr>
              <w:t>91.5</w:t>
            </w:r>
          </w:p>
        </w:tc>
        <w:tc>
          <w:tcPr>
            <w:tcW w:w="1120" w:type="dxa"/>
            <w:vAlign w:val="bottom"/>
            <w:tcBorders>
              <w:bottom w:val="single" w:sz="8" w:color="DADAE7"/>
            </w:tcBorders>
          </w:tcPr>
          <w:p>
            <w:pPr>
              <w:jc w:val="right"/>
              <w:ind w:right="44"/>
              <w:spacing w:after="0"/>
              <w:rPr>
                <w:sz w:val="20"/>
                <w:szCs w:val="20"/>
                <w:color w:val="auto"/>
              </w:rPr>
            </w:pPr>
            <w:r>
              <w:rPr>
                <w:rFonts w:ascii="Arial" w:cs="Arial" w:eastAsia="Arial" w:hAnsi="Arial"/>
                <w:sz w:val="15"/>
                <w:szCs w:val="15"/>
                <w:color w:val="auto"/>
              </w:rPr>
              <w:t>16%</w:t>
            </w:r>
          </w:p>
        </w:tc>
        <w:tc>
          <w:tcPr>
            <w:tcW w:w="120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202.7</w:t>
            </w:r>
          </w:p>
        </w:tc>
        <w:tc>
          <w:tcPr>
            <w:tcW w:w="1680" w:type="dxa"/>
            <w:vAlign w:val="bottom"/>
            <w:tcBorders>
              <w:bottom w:val="single" w:sz="8" w:color="DADAE7"/>
            </w:tcBorders>
          </w:tcPr>
          <w:p>
            <w:pPr>
              <w:jc w:val="right"/>
              <w:ind w:right="305"/>
              <w:spacing w:after="0"/>
              <w:rPr>
                <w:sz w:val="20"/>
                <w:szCs w:val="20"/>
                <w:color w:val="auto"/>
              </w:rPr>
            </w:pPr>
            <w:r>
              <w:rPr>
                <w:rFonts w:ascii="Arial" w:cs="Arial" w:eastAsia="Arial" w:hAnsi="Arial"/>
                <w:sz w:val="15"/>
                <w:szCs w:val="15"/>
                <w:color w:val="auto"/>
              </w:rPr>
              <w:t>159.2</w:t>
            </w:r>
          </w:p>
        </w:tc>
        <w:tc>
          <w:tcPr>
            <w:tcW w:w="960" w:type="dxa"/>
            <w:vAlign w:val="bottom"/>
            <w:tcBorders>
              <w:bottom w:val="single" w:sz="8" w:color="DADAE7"/>
            </w:tcBorders>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236"/>
        </w:trPr>
        <w:tc>
          <w:tcPr>
            <w:tcW w:w="332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Adjusted Profit Before Tax Margin (%)</w:t>
            </w:r>
            <w:r>
              <w:rPr>
                <w:rFonts w:ascii="Arial" w:cs="Arial" w:eastAsia="Arial" w:hAnsi="Arial"/>
                <w:sz w:val="19"/>
                <w:szCs w:val="19"/>
                <w:color w:val="auto"/>
                <w:vertAlign w:val="superscript"/>
              </w:rPr>
              <w:t>1</w:t>
            </w:r>
          </w:p>
        </w:tc>
        <w:tc>
          <w:tcPr>
            <w:tcW w:w="122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21.3%</w:t>
            </w:r>
          </w:p>
        </w:tc>
        <w:tc>
          <w:tcPr>
            <w:tcW w:w="1660" w:type="dxa"/>
            <w:vAlign w:val="bottom"/>
            <w:tcBorders>
              <w:bottom w:val="single" w:sz="8" w:color="DADAE7"/>
            </w:tcBorders>
          </w:tcPr>
          <w:p>
            <w:pPr>
              <w:jc w:val="right"/>
              <w:ind w:right="305"/>
              <w:spacing w:after="0"/>
              <w:rPr>
                <w:sz w:val="20"/>
                <w:szCs w:val="20"/>
                <w:color w:val="auto"/>
              </w:rPr>
            </w:pPr>
            <w:r>
              <w:rPr>
                <w:rFonts w:ascii="Arial" w:cs="Arial" w:eastAsia="Arial" w:hAnsi="Arial"/>
                <w:sz w:val="15"/>
                <w:szCs w:val="15"/>
                <w:color w:val="auto"/>
              </w:rPr>
              <w:t>21.7%</w:t>
            </w:r>
          </w:p>
        </w:tc>
        <w:tc>
          <w:tcPr>
            <w:tcW w:w="1120" w:type="dxa"/>
            <w:vAlign w:val="bottom"/>
            <w:tcBorders>
              <w:bottom w:val="single" w:sz="8" w:color="DADAE7"/>
            </w:tcBorders>
          </w:tcPr>
          <w:p>
            <w:pPr>
              <w:jc w:val="right"/>
              <w:ind w:right="44"/>
              <w:spacing w:after="0"/>
              <w:rPr>
                <w:sz w:val="20"/>
                <w:szCs w:val="20"/>
                <w:color w:val="auto"/>
              </w:rPr>
            </w:pPr>
            <w:r>
              <w:rPr>
                <w:rFonts w:ascii="Arial" w:cs="Arial" w:eastAsia="Arial" w:hAnsi="Arial"/>
                <w:sz w:val="15"/>
                <w:szCs w:val="15"/>
                <w:color w:val="auto"/>
              </w:rPr>
              <w:t>(40) bps</w:t>
            </w:r>
          </w:p>
        </w:tc>
        <w:tc>
          <w:tcPr>
            <w:tcW w:w="120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21.0%</w:t>
            </w:r>
          </w:p>
        </w:tc>
        <w:tc>
          <w:tcPr>
            <w:tcW w:w="1680" w:type="dxa"/>
            <w:vAlign w:val="bottom"/>
            <w:tcBorders>
              <w:bottom w:val="single" w:sz="8" w:color="DADAE7"/>
            </w:tcBorders>
          </w:tcPr>
          <w:p>
            <w:pPr>
              <w:jc w:val="right"/>
              <w:ind w:right="305"/>
              <w:spacing w:after="0"/>
              <w:rPr>
                <w:sz w:val="20"/>
                <w:szCs w:val="20"/>
                <w:color w:val="auto"/>
              </w:rPr>
            </w:pPr>
            <w:r>
              <w:rPr>
                <w:rFonts w:ascii="Arial" w:cs="Arial" w:eastAsia="Arial" w:hAnsi="Arial"/>
                <w:sz w:val="15"/>
                <w:szCs w:val="15"/>
                <w:color w:val="auto"/>
              </w:rPr>
              <w:t>20.2%</w:t>
            </w:r>
          </w:p>
        </w:tc>
        <w:tc>
          <w:tcPr>
            <w:tcW w:w="960" w:type="dxa"/>
            <w:vAlign w:val="bottom"/>
            <w:tcBorders>
              <w:bottom w:val="single" w:sz="8" w:color="DADAE7"/>
            </w:tcBorders>
          </w:tcPr>
          <w:p>
            <w:pPr>
              <w:jc w:val="right"/>
              <w:spacing w:after="0"/>
              <w:rPr>
                <w:sz w:val="20"/>
                <w:szCs w:val="20"/>
                <w:color w:val="auto"/>
              </w:rPr>
            </w:pPr>
            <w:r>
              <w:rPr>
                <w:rFonts w:ascii="Arial" w:cs="Arial" w:eastAsia="Arial" w:hAnsi="Arial"/>
                <w:sz w:val="15"/>
                <w:szCs w:val="15"/>
                <w:color w:val="auto"/>
              </w:rPr>
              <w:t>80 bps</w:t>
            </w:r>
          </w:p>
        </w:tc>
        <w:tc>
          <w:tcPr>
            <w:tcW w:w="0" w:type="dxa"/>
            <w:vAlign w:val="bottom"/>
          </w:tcPr>
          <w:p>
            <w:pPr>
              <w:spacing w:after="0"/>
              <w:rPr>
                <w:sz w:val="1"/>
                <w:szCs w:val="1"/>
                <w:color w:val="auto"/>
              </w:rPr>
            </w:pPr>
          </w:p>
        </w:tc>
      </w:tr>
      <w:tr>
        <w:trPr>
          <w:trHeight w:val="191"/>
        </w:trPr>
        <w:tc>
          <w:tcPr>
            <w:tcW w:w="3320" w:type="dxa"/>
            <w:vAlign w:val="bottom"/>
          </w:tcPr>
          <w:p>
            <w:pPr>
              <w:ind w:left="20"/>
              <w:spacing w:after="0"/>
              <w:rPr>
                <w:sz w:val="20"/>
                <w:szCs w:val="20"/>
                <w:color w:val="auto"/>
              </w:rPr>
            </w:pPr>
            <w:r>
              <w:rPr>
                <w:rFonts w:ascii="Arial" w:cs="Arial" w:eastAsia="Arial" w:hAnsi="Arial"/>
                <w:sz w:val="15"/>
                <w:szCs w:val="15"/>
                <w:color w:val="auto"/>
              </w:rPr>
              <w:t>Adjusted Profit after Tax Attributable to Common</w:t>
            </w:r>
          </w:p>
        </w:tc>
        <w:tc>
          <w:tcPr>
            <w:tcW w:w="1220" w:type="dxa"/>
            <w:vAlign w:val="bottom"/>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77.0</w:t>
            </w:r>
          </w:p>
        </w:tc>
        <w:tc>
          <w:tcPr>
            <w:tcW w:w="1660" w:type="dxa"/>
            <w:vAlign w:val="bottom"/>
            <w:vMerge w:val="restart"/>
          </w:tcPr>
          <w:p>
            <w:pPr>
              <w:jc w:val="right"/>
              <w:ind w:right="285"/>
              <w:spacing w:after="0"/>
              <w:rPr>
                <w:sz w:val="20"/>
                <w:szCs w:val="20"/>
                <w:color w:val="auto"/>
              </w:rPr>
            </w:pPr>
            <w:r>
              <w:rPr>
                <w:rFonts w:ascii="Arial" w:cs="Arial" w:eastAsia="Arial" w:hAnsi="Arial"/>
                <w:sz w:val="15"/>
                <w:szCs w:val="15"/>
                <w:color w:val="auto"/>
              </w:rPr>
              <w:t>66.8</w:t>
            </w:r>
          </w:p>
        </w:tc>
        <w:tc>
          <w:tcPr>
            <w:tcW w:w="1120" w:type="dxa"/>
            <w:vAlign w:val="bottom"/>
            <w:vMerge w:val="restart"/>
          </w:tcPr>
          <w:p>
            <w:pPr>
              <w:jc w:val="right"/>
              <w:ind w:right="44"/>
              <w:spacing w:after="0"/>
              <w:rPr>
                <w:sz w:val="20"/>
                <w:szCs w:val="20"/>
                <w:color w:val="auto"/>
              </w:rPr>
            </w:pPr>
            <w:r>
              <w:rPr>
                <w:rFonts w:ascii="Arial" w:cs="Arial" w:eastAsia="Arial" w:hAnsi="Arial"/>
                <w:sz w:val="15"/>
                <w:szCs w:val="15"/>
                <w:color w:val="auto"/>
              </w:rPr>
              <w:t>15%</w:t>
            </w:r>
          </w:p>
        </w:tc>
        <w:tc>
          <w:tcPr>
            <w:tcW w:w="1200" w:type="dxa"/>
            <w:vAlign w:val="bottom"/>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145.3</w:t>
            </w:r>
          </w:p>
        </w:tc>
        <w:tc>
          <w:tcPr>
            <w:tcW w:w="1680" w:type="dxa"/>
            <w:vAlign w:val="bottom"/>
            <w:vMerge w:val="restart"/>
          </w:tcPr>
          <w:p>
            <w:pPr>
              <w:jc w:val="right"/>
              <w:ind w:right="305"/>
              <w:spacing w:after="0"/>
              <w:rPr>
                <w:sz w:val="20"/>
                <w:szCs w:val="20"/>
                <w:color w:val="auto"/>
              </w:rPr>
            </w:pPr>
            <w:r>
              <w:rPr>
                <w:rFonts w:ascii="Arial" w:cs="Arial" w:eastAsia="Arial" w:hAnsi="Arial"/>
                <w:sz w:val="15"/>
                <w:szCs w:val="15"/>
                <w:color w:val="auto"/>
              </w:rPr>
              <w:t>115.7</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21"/>
        </w:trPr>
        <w:tc>
          <w:tcPr>
            <w:tcW w:w="332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Equity</w:t>
            </w:r>
            <w:r>
              <w:rPr>
                <w:rFonts w:ascii="Arial" w:cs="Arial" w:eastAsia="Arial" w:hAnsi="Arial"/>
                <w:sz w:val="19"/>
                <w:szCs w:val="19"/>
                <w:color w:val="auto"/>
                <w:vertAlign w:val="superscript"/>
              </w:rPr>
              <w:t>1</w:t>
            </w:r>
          </w:p>
        </w:tc>
        <w:tc>
          <w:tcPr>
            <w:tcW w:w="1220" w:type="dxa"/>
            <w:vAlign w:val="bottom"/>
            <w:tcBorders>
              <w:bottom w:val="single" w:sz="8" w:color="DADAE7"/>
            </w:tcBorders>
            <w:vMerge w:val="continue"/>
            <w:shd w:val="clear" w:color="auto" w:fill="F4EFF6"/>
          </w:tcPr>
          <w:p>
            <w:pPr>
              <w:spacing w:after="0"/>
              <w:rPr>
                <w:sz w:val="19"/>
                <w:szCs w:val="19"/>
                <w:color w:val="auto"/>
              </w:rPr>
            </w:pPr>
          </w:p>
        </w:tc>
        <w:tc>
          <w:tcPr>
            <w:tcW w:w="1660" w:type="dxa"/>
            <w:vAlign w:val="bottom"/>
            <w:tcBorders>
              <w:bottom w:val="single" w:sz="8" w:color="DADAE7"/>
            </w:tcBorders>
            <w:vMerge w:val="continue"/>
          </w:tcPr>
          <w:p>
            <w:pPr>
              <w:spacing w:after="0"/>
              <w:rPr>
                <w:sz w:val="19"/>
                <w:szCs w:val="19"/>
                <w:color w:val="auto"/>
              </w:rPr>
            </w:pPr>
          </w:p>
        </w:tc>
        <w:tc>
          <w:tcPr>
            <w:tcW w:w="1120" w:type="dxa"/>
            <w:vAlign w:val="bottom"/>
            <w:tcBorders>
              <w:bottom w:val="single" w:sz="8" w:color="DADAE7"/>
            </w:tcBorders>
            <w:vMerge w:val="continue"/>
          </w:tcPr>
          <w:p>
            <w:pPr>
              <w:spacing w:after="0"/>
              <w:rPr>
                <w:sz w:val="19"/>
                <w:szCs w:val="19"/>
                <w:color w:val="auto"/>
              </w:rPr>
            </w:pPr>
          </w:p>
        </w:tc>
        <w:tc>
          <w:tcPr>
            <w:tcW w:w="1200" w:type="dxa"/>
            <w:vAlign w:val="bottom"/>
            <w:tcBorders>
              <w:bottom w:val="single" w:sz="8" w:color="DADAE7"/>
            </w:tcBorders>
            <w:vMerge w:val="continue"/>
            <w:shd w:val="clear" w:color="auto" w:fill="F4EFF6"/>
          </w:tcPr>
          <w:p>
            <w:pPr>
              <w:spacing w:after="0"/>
              <w:rPr>
                <w:sz w:val="19"/>
                <w:szCs w:val="19"/>
                <w:color w:val="auto"/>
              </w:rPr>
            </w:pPr>
          </w:p>
        </w:tc>
        <w:tc>
          <w:tcPr>
            <w:tcW w:w="1680" w:type="dxa"/>
            <w:vAlign w:val="bottom"/>
            <w:tcBorders>
              <w:bottom w:val="single" w:sz="8" w:color="DADAE7"/>
            </w:tcBorders>
            <w:vMerge w:val="continue"/>
          </w:tcPr>
          <w:p>
            <w:pPr>
              <w:spacing w:after="0"/>
              <w:rPr>
                <w:sz w:val="19"/>
                <w:szCs w:val="19"/>
                <w:color w:val="auto"/>
              </w:rPr>
            </w:pPr>
          </w:p>
        </w:tc>
        <w:tc>
          <w:tcPr>
            <w:tcW w:w="960" w:type="dxa"/>
            <w:vAlign w:val="bottom"/>
            <w:tcBorders>
              <w:bottom w:val="single" w:sz="8" w:color="DADAE7"/>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32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Adjusted Return on Equity (%)</w:t>
            </w:r>
            <w:r>
              <w:rPr>
                <w:rFonts w:ascii="Arial" w:cs="Arial" w:eastAsia="Arial" w:hAnsi="Arial"/>
                <w:sz w:val="19"/>
                <w:szCs w:val="19"/>
                <w:color w:val="auto"/>
                <w:vertAlign w:val="superscript"/>
              </w:rPr>
              <w:t>1</w:t>
            </w:r>
          </w:p>
        </w:tc>
        <w:tc>
          <w:tcPr>
            <w:tcW w:w="122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31.4%</w:t>
            </w:r>
          </w:p>
        </w:tc>
        <w:tc>
          <w:tcPr>
            <w:tcW w:w="1660" w:type="dxa"/>
            <w:vAlign w:val="bottom"/>
            <w:tcBorders>
              <w:bottom w:val="single" w:sz="8" w:color="DADAE7"/>
            </w:tcBorders>
          </w:tcPr>
          <w:p>
            <w:pPr>
              <w:jc w:val="right"/>
              <w:ind w:right="305"/>
              <w:spacing w:after="0"/>
              <w:rPr>
                <w:sz w:val="20"/>
                <w:szCs w:val="20"/>
                <w:color w:val="auto"/>
              </w:rPr>
            </w:pPr>
            <w:r>
              <w:rPr>
                <w:rFonts w:ascii="Arial" w:cs="Arial" w:eastAsia="Arial" w:hAnsi="Arial"/>
                <w:sz w:val="15"/>
                <w:szCs w:val="15"/>
                <w:color w:val="auto"/>
              </w:rPr>
              <w:t>36.6%</w:t>
            </w:r>
          </w:p>
        </w:tc>
        <w:tc>
          <w:tcPr>
            <w:tcW w:w="1120" w:type="dxa"/>
            <w:vAlign w:val="bottom"/>
            <w:tcBorders>
              <w:bottom w:val="single" w:sz="8" w:color="DADAE7"/>
            </w:tcBorders>
          </w:tcPr>
          <w:p>
            <w:pPr>
              <w:jc w:val="right"/>
              <w:ind w:right="44"/>
              <w:spacing w:after="0"/>
              <w:rPr>
                <w:sz w:val="20"/>
                <w:szCs w:val="20"/>
                <w:color w:val="auto"/>
              </w:rPr>
            </w:pPr>
            <w:r>
              <w:rPr>
                <w:rFonts w:ascii="Arial" w:cs="Arial" w:eastAsia="Arial" w:hAnsi="Arial"/>
                <w:sz w:val="15"/>
                <w:szCs w:val="15"/>
                <w:color w:val="auto"/>
              </w:rPr>
              <w:t>(520) bps</w:t>
            </w:r>
          </w:p>
        </w:tc>
        <w:tc>
          <w:tcPr>
            <w:tcW w:w="120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30.7%</w:t>
            </w:r>
          </w:p>
        </w:tc>
        <w:tc>
          <w:tcPr>
            <w:tcW w:w="1680" w:type="dxa"/>
            <w:vAlign w:val="bottom"/>
            <w:tcBorders>
              <w:bottom w:val="single" w:sz="8" w:color="DADAE7"/>
            </w:tcBorders>
          </w:tcPr>
          <w:p>
            <w:pPr>
              <w:jc w:val="right"/>
              <w:ind w:right="305"/>
              <w:spacing w:after="0"/>
              <w:rPr>
                <w:sz w:val="20"/>
                <w:szCs w:val="20"/>
                <w:color w:val="auto"/>
              </w:rPr>
            </w:pPr>
            <w:r>
              <w:rPr>
                <w:rFonts w:ascii="Arial" w:cs="Arial" w:eastAsia="Arial" w:hAnsi="Arial"/>
                <w:sz w:val="15"/>
                <w:szCs w:val="15"/>
                <w:color w:val="auto"/>
              </w:rPr>
              <w:t>31.6%</w:t>
            </w:r>
          </w:p>
        </w:tc>
        <w:tc>
          <w:tcPr>
            <w:tcW w:w="960" w:type="dxa"/>
            <w:vAlign w:val="bottom"/>
            <w:tcBorders>
              <w:bottom w:val="single" w:sz="8" w:color="DADAE7"/>
            </w:tcBorders>
          </w:tcPr>
          <w:p>
            <w:pPr>
              <w:jc w:val="right"/>
              <w:spacing w:after="0"/>
              <w:rPr>
                <w:sz w:val="20"/>
                <w:szCs w:val="20"/>
                <w:color w:val="auto"/>
              </w:rPr>
            </w:pPr>
            <w:r>
              <w:rPr>
                <w:rFonts w:ascii="Arial" w:cs="Arial" w:eastAsia="Arial" w:hAnsi="Arial"/>
                <w:sz w:val="15"/>
                <w:szCs w:val="15"/>
                <w:color w:val="auto"/>
              </w:rPr>
              <w:t>(90) bps</w:t>
            </w:r>
          </w:p>
        </w:tc>
        <w:tc>
          <w:tcPr>
            <w:tcW w:w="0" w:type="dxa"/>
            <w:vAlign w:val="bottom"/>
          </w:tcPr>
          <w:p>
            <w:pPr>
              <w:spacing w:after="0"/>
              <w:rPr>
                <w:sz w:val="1"/>
                <w:szCs w:val="1"/>
                <w:color w:val="auto"/>
              </w:rPr>
            </w:pPr>
          </w:p>
        </w:tc>
      </w:tr>
      <w:tr>
        <w:trPr>
          <w:trHeight w:val="237"/>
        </w:trPr>
        <w:tc>
          <w:tcPr>
            <w:tcW w:w="3320" w:type="dxa"/>
            <w:vAlign w:val="bottom"/>
          </w:tcPr>
          <w:p>
            <w:pPr>
              <w:ind w:left="20"/>
              <w:spacing w:after="0"/>
              <w:rPr>
                <w:sz w:val="20"/>
                <w:szCs w:val="20"/>
                <w:color w:val="auto"/>
              </w:rPr>
            </w:pPr>
            <w:r>
              <w:rPr>
                <w:rFonts w:ascii="Arial" w:cs="Arial" w:eastAsia="Arial" w:hAnsi="Arial"/>
                <w:sz w:val="15"/>
                <w:szCs w:val="15"/>
                <w:color w:val="auto"/>
              </w:rPr>
              <w:t>Common Equity</w:t>
            </w:r>
          </w:p>
        </w:tc>
        <w:tc>
          <w:tcPr>
            <w:tcW w:w="12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981.1</w:t>
            </w:r>
          </w:p>
        </w:tc>
        <w:tc>
          <w:tcPr>
            <w:tcW w:w="1660" w:type="dxa"/>
            <w:vAlign w:val="bottom"/>
          </w:tcPr>
          <w:p>
            <w:pPr>
              <w:jc w:val="right"/>
              <w:ind w:right="285"/>
              <w:spacing w:after="0"/>
              <w:rPr>
                <w:sz w:val="20"/>
                <w:szCs w:val="20"/>
                <w:color w:val="auto"/>
              </w:rPr>
            </w:pPr>
            <w:r>
              <w:rPr>
                <w:rFonts w:ascii="Arial" w:cs="Arial" w:eastAsia="Arial" w:hAnsi="Arial"/>
                <w:sz w:val="15"/>
                <w:szCs w:val="15"/>
                <w:color w:val="auto"/>
              </w:rPr>
              <w:t>729.2</w:t>
            </w: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35%</w:t>
            </w:r>
          </w:p>
        </w:tc>
        <w:tc>
          <w:tcPr>
            <w:tcW w:w="120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946.4</w:t>
            </w:r>
          </w:p>
        </w:tc>
        <w:tc>
          <w:tcPr>
            <w:tcW w:w="1680" w:type="dxa"/>
            <w:vAlign w:val="bottom"/>
          </w:tcPr>
          <w:p>
            <w:pPr>
              <w:jc w:val="right"/>
              <w:ind w:right="305"/>
              <w:spacing w:after="0"/>
              <w:rPr>
                <w:sz w:val="20"/>
                <w:szCs w:val="20"/>
                <w:color w:val="auto"/>
              </w:rPr>
            </w:pPr>
            <w:r>
              <w:rPr>
                <w:rFonts w:ascii="Arial" w:cs="Arial" w:eastAsia="Arial" w:hAnsi="Arial"/>
                <w:sz w:val="15"/>
                <w:szCs w:val="15"/>
                <w:color w:val="auto"/>
              </w:rPr>
              <w:t>731.5</w:t>
            </w:r>
          </w:p>
        </w:tc>
        <w:tc>
          <w:tcPr>
            <w:tcW w:w="960" w:type="dxa"/>
            <w:vAlign w:val="bottom"/>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36"/>
        </w:trPr>
        <w:tc>
          <w:tcPr>
            <w:tcW w:w="3320" w:type="dxa"/>
            <w:vAlign w:val="bottom"/>
            <w:tcBorders>
              <w:top w:val="single" w:sz="8" w:color="DADAE7"/>
              <w:bottom w:val="single" w:sz="8" w:color="DADAE7"/>
            </w:tcBorders>
          </w:tcPr>
          <w:p>
            <w:pPr>
              <w:ind w:left="20"/>
              <w:spacing w:after="0"/>
              <w:rPr>
                <w:sz w:val="20"/>
                <w:szCs w:val="20"/>
                <w:color w:val="auto"/>
              </w:rPr>
            </w:pPr>
            <w:r>
              <w:rPr>
                <w:rFonts w:ascii="Arial" w:cs="Arial" w:eastAsia="Arial" w:hAnsi="Arial"/>
                <w:sz w:val="15"/>
                <w:szCs w:val="15"/>
                <w:color w:val="auto"/>
              </w:rPr>
              <w:t>Adjusted Basic Earnings per Share ($)</w:t>
            </w:r>
            <w:r>
              <w:rPr>
                <w:rFonts w:ascii="Arial" w:cs="Arial" w:eastAsia="Arial" w:hAnsi="Arial"/>
                <w:sz w:val="19"/>
                <w:szCs w:val="19"/>
                <w:color w:val="auto"/>
                <w:vertAlign w:val="superscript"/>
              </w:rPr>
              <w:t>1,2</w:t>
            </w:r>
          </w:p>
        </w:tc>
        <w:tc>
          <w:tcPr>
            <w:tcW w:w="1220" w:type="dxa"/>
            <w:vAlign w:val="bottom"/>
            <w:tcBorders>
              <w:top w:val="single" w:sz="8" w:color="DADAE7"/>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1.08</w:t>
            </w:r>
          </w:p>
        </w:tc>
        <w:tc>
          <w:tcPr>
            <w:tcW w:w="1660" w:type="dxa"/>
            <w:vAlign w:val="bottom"/>
            <w:tcBorders>
              <w:top w:val="single" w:sz="8" w:color="DADAE7"/>
              <w:bottom w:val="single" w:sz="8" w:color="DADAE7"/>
            </w:tcBorders>
          </w:tcPr>
          <w:p>
            <w:pPr>
              <w:jc w:val="right"/>
              <w:ind w:right="285"/>
              <w:spacing w:after="0"/>
              <w:rPr>
                <w:sz w:val="20"/>
                <w:szCs w:val="20"/>
                <w:color w:val="auto"/>
              </w:rPr>
            </w:pPr>
            <w:r>
              <w:rPr>
                <w:rFonts w:ascii="Arial" w:cs="Arial" w:eastAsia="Arial" w:hAnsi="Arial"/>
                <w:sz w:val="15"/>
                <w:szCs w:val="15"/>
                <w:color w:val="auto"/>
              </w:rPr>
              <w:t>0.96</w:t>
            </w:r>
          </w:p>
        </w:tc>
        <w:tc>
          <w:tcPr>
            <w:tcW w:w="1120" w:type="dxa"/>
            <w:vAlign w:val="bottom"/>
            <w:tcBorders>
              <w:top w:val="single" w:sz="8" w:color="DADAE7"/>
              <w:bottom w:val="single" w:sz="8" w:color="DADAE7"/>
            </w:tcBorders>
          </w:tcPr>
          <w:p>
            <w:pPr>
              <w:jc w:val="right"/>
              <w:ind w:right="44"/>
              <w:spacing w:after="0"/>
              <w:rPr>
                <w:sz w:val="20"/>
                <w:szCs w:val="20"/>
                <w:color w:val="auto"/>
              </w:rPr>
            </w:pPr>
            <w:r>
              <w:rPr>
                <w:rFonts w:ascii="Arial" w:cs="Arial" w:eastAsia="Arial" w:hAnsi="Arial"/>
                <w:sz w:val="15"/>
                <w:szCs w:val="15"/>
                <w:color w:val="auto"/>
              </w:rPr>
              <w:t>13%</w:t>
            </w:r>
          </w:p>
        </w:tc>
        <w:tc>
          <w:tcPr>
            <w:tcW w:w="1200" w:type="dxa"/>
            <w:vAlign w:val="bottom"/>
            <w:tcBorders>
              <w:top w:val="single" w:sz="8" w:color="DADAE7"/>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2.05</w:t>
            </w:r>
          </w:p>
        </w:tc>
        <w:tc>
          <w:tcPr>
            <w:tcW w:w="1680" w:type="dxa"/>
            <w:vAlign w:val="bottom"/>
            <w:tcBorders>
              <w:top w:val="single" w:sz="8" w:color="DADAE7"/>
              <w:bottom w:val="single" w:sz="8" w:color="DADAE7"/>
            </w:tcBorders>
          </w:tcPr>
          <w:p>
            <w:pPr>
              <w:jc w:val="right"/>
              <w:ind w:right="305"/>
              <w:spacing w:after="0"/>
              <w:rPr>
                <w:sz w:val="20"/>
                <w:szCs w:val="20"/>
                <w:color w:val="auto"/>
              </w:rPr>
            </w:pPr>
            <w:r>
              <w:rPr>
                <w:rFonts w:ascii="Arial" w:cs="Arial" w:eastAsia="Arial" w:hAnsi="Arial"/>
                <w:sz w:val="15"/>
                <w:szCs w:val="15"/>
                <w:color w:val="auto"/>
              </w:rPr>
              <w:t>1.70</w:t>
            </w:r>
          </w:p>
        </w:tc>
        <w:tc>
          <w:tcPr>
            <w:tcW w:w="960" w:type="dxa"/>
            <w:vAlign w:val="bottom"/>
            <w:tcBorders>
              <w:top w:val="single" w:sz="8" w:color="DADAE7"/>
              <w:bottom w:val="single" w:sz="8" w:color="DADAE7"/>
            </w:tcBorders>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37"/>
        </w:trPr>
        <w:tc>
          <w:tcPr>
            <w:tcW w:w="3320" w:type="dxa"/>
            <w:vAlign w:val="bottom"/>
            <w:tcBorders>
              <w:bottom w:val="single" w:sz="8" w:color="793690"/>
            </w:tcBorders>
          </w:tcPr>
          <w:p>
            <w:pPr>
              <w:ind w:left="20"/>
              <w:spacing w:after="0"/>
              <w:rPr>
                <w:sz w:val="20"/>
                <w:szCs w:val="20"/>
                <w:color w:val="auto"/>
              </w:rPr>
            </w:pPr>
            <w:r>
              <w:rPr>
                <w:rFonts w:ascii="Arial" w:cs="Arial" w:eastAsia="Arial" w:hAnsi="Arial"/>
                <w:sz w:val="15"/>
                <w:szCs w:val="15"/>
                <w:color w:val="auto"/>
              </w:rPr>
              <w:t>Adjusted Diluted Earnings per Share ($)</w:t>
            </w:r>
            <w:r>
              <w:rPr>
                <w:rFonts w:ascii="Arial" w:cs="Arial" w:eastAsia="Arial" w:hAnsi="Arial"/>
                <w:sz w:val="19"/>
                <w:szCs w:val="19"/>
                <w:color w:val="auto"/>
                <w:vertAlign w:val="superscript"/>
              </w:rPr>
              <w:t>1,2</w:t>
            </w:r>
          </w:p>
        </w:tc>
        <w:tc>
          <w:tcPr>
            <w:tcW w:w="1220" w:type="dxa"/>
            <w:vAlign w:val="bottom"/>
            <w:tcBorders>
              <w:bottom w:val="single" w:sz="8" w:color="793690"/>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1.02</w:t>
            </w:r>
          </w:p>
        </w:tc>
        <w:tc>
          <w:tcPr>
            <w:tcW w:w="1660" w:type="dxa"/>
            <w:vAlign w:val="bottom"/>
            <w:tcBorders>
              <w:bottom w:val="single" w:sz="8" w:color="793690"/>
            </w:tcBorders>
          </w:tcPr>
          <w:p>
            <w:pPr>
              <w:jc w:val="right"/>
              <w:ind w:right="285"/>
              <w:spacing w:after="0"/>
              <w:rPr>
                <w:sz w:val="20"/>
                <w:szCs w:val="20"/>
                <w:color w:val="auto"/>
              </w:rPr>
            </w:pPr>
            <w:r>
              <w:rPr>
                <w:rFonts w:ascii="Arial" w:cs="Arial" w:eastAsia="Arial" w:hAnsi="Arial"/>
                <w:sz w:val="15"/>
                <w:szCs w:val="15"/>
                <w:color w:val="auto"/>
              </w:rPr>
              <w:t>0.90</w:t>
            </w:r>
          </w:p>
        </w:tc>
        <w:tc>
          <w:tcPr>
            <w:tcW w:w="1120" w:type="dxa"/>
            <w:vAlign w:val="bottom"/>
            <w:tcBorders>
              <w:bottom w:val="single" w:sz="8" w:color="793690"/>
            </w:tcBorders>
          </w:tcPr>
          <w:p>
            <w:pPr>
              <w:jc w:val="right"/>
              <w:ind w:right="44"/>
              <w:spacing w:after="0"/>
              <w:rPr>
                <w:sz w:val="20"/>
                <w:szCs w:val="20"/>
                <w:color w:val="auto"/>
              </w:rPr>
            </w:pPr>
            <w:r>
              <w:rPr>
                <w:rFonts w:ascii="Arial" w:cs="Arial" w:eastAsia="Arial" w:hAnsi="Arial"/>
                <w:sz w:val="15"/>
                <w:szCs w:val="15"/>
                <w:color w:val="auto"/>
              </w:rPr>
              <w:t>13%</w:t>
            </w:r>
          </w:p>
        </w:tc>
        <w:tc>
          <w:tcPr>
            <w:tcW w:w="1200" w:type="dxa"/>
            <w:vAlign w:val="bottom"/>
            <w:tcBorders>
              <w:bottom w:val="single" w:sz="8" w:color="793690"/>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1.95</w:t>
            </w:r>
          </w:p>
        </w:tc>
        <w:tc>
          <w:tcPr>
            <w:tcW w:w="1680" w:type="dxa"/>
            <w:vAlign w:val="bottom"/>
            <w:tcBorders>
              <w:bottom w:val="single" w:sz="8" w:color="793690"/>
            </w:tcBorders>
          </w:tcPr>
          <w:p>
            <w:pPr>
              <w:jc w:val="right"/>
              <w:ind w:right="305"/>
              <w:spacing w:after="0"/>
              <w:rPr>
                <w:sz w:val="20"/>
                <w:szCs w:val="20"/>
                <w:color w:val="auto"/>
              </w:rPr>
            </w:pPr>
            <w:r>
              <w:rPr>
                <w:rFonts w:ascii="Arial" w:cs="Arial" w:eastAsia="Arial" w:hAnsi="Arial"/>
                <w:sz w:val="15"/>
                <w:szCs w:val="15"/>
                <w:color w:val="auto"/>
              </w:rPr>
              <w:t>1.59</w:t>
            </w:r>
          </w:p>
        </w:tc>
        <w:tc>
          <w:tcPr>
            <w:tcW w:w="960" w:type="dxa"/>
            <w:vAlign w:val="bottom"/>
            <w:tcBorders>
              <w:bottom w:val="single" w:sz="8" w:color="793690"/>
            </w:tcBorders>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-2047875</wp:posOffset>
            </wp:positionV>
            <wp:extent cx="66865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8655" cy="3257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-2047875</wp:posOffset>
            </wp:positionV>
            <wp:extent cx="668655" cy="325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8655" cy="325755"/>
                    </a:xfrm>
                    <a:prstGeom prst="rect">
                      <a:avLst/>
                    </a:prstGeom>
                    <a:noFill/>
                  </pic:spPr>
                </pic:pic>
              </a:graphicData>
            </a:graphic>
          </wp:anchor>
        </w:drawing>
      </w:r>
    </w:p>
    <w:p>
      <w:pPr>
        <w:spacing w:after="0" w:line="277" w:lineRule="exact"/>
        <w:rPr>
          <w:sz w:val="20"/>
          <w:szCs w:val="20"/>
          <w:color w:val="auto"/>
        </w:rPr>
      </w:pPr>
    </w:p>
    <w:p>
      <w:pPr>
        <w:ind w:left="160" w:right="400" w:hanging="152"/>
        <w:spacing w:after="0" w:line="249" w:lineRule="auto"/>
        <w:tabs>
          <w:tab w:leader="none" w:pos="138" w:val="left"/>
        </w:tabs>
        <w:numPr>
          <w:ilvl w:val="0"/>
          <w:numId w:val="5"/>
        </w:numPr>
        <w:rPr>
          <w:rFonts w:ascii="Arial" w:cs="Arial" w:eastAsia="Arial" w:hAnsi="Arial"/>
          <w:sz w:val="11"/>
          <w:szCs w:val="11"/>
          <w:color w:val="auto"/>
        </w:rPr>
      </w:pPr>
      <w:r>
        <w:rPr>
          <w:rFonts w:ascii="Arial" w:cs="Arial" w:eastAsia="Arial" w:hAnsi="Arial"/>
          <w:sz w:val="11"/>
          <w:szCs w:val="11"/>
          <w:color w:val="auto"/>
        </w:rPr>
        <w:t>These are non-IFRS financial measures. See Appendix 1 “Non-IFRS Financial Measures and Key Performance Indicators” for additional information and for a reconciliation of each such non-IFRS measure to its most directly comparable IFRS measure. The Group changed the labelling of its non-IFRS measures during 2024 to better align to the equivalent IFRS reported metric and enhance transparency and comparability.</w:t>
      </w:r>
    </w:p>
    <w:p>
      <w:pPr>
        <w:ind w:left="120" w:hanging="112"/>
        <w:spacing w:after="0"/>
        <w:tabs>
          <w:tab w:leader="none" w:pos="120" w:val="left"/>
        </w:tabs>
        <w:numPr>
          <w:ilvl w:val="0"/>
          <w:numId w:val="5"/>
        </w:numPr>
        <w:rPr>
          <w:rFonts w:ascii="Arial" w:cs="Arial" w:eastAsia="Arial" w:hAnsi="Arial"/>
          <w:sz w:val="11"/>
          <w:szCs w:val="11"/>
          <w:color w:val="auto"/>
        </w:rPr>
      </w:pPr>
      <w:r>
        <w:rPr>
          <w:rFonts w:ascii="Arial" w:cs="Arial" w:eastAsia="Arial" w:hAnsi="Arial"/>
          <w:sz w:val="11"/>
          <w:szCs w:val="11"/>
          <w:color w:val="auto"/>
        </w:rPr>
        <w:t>Weighted average number of shares reflects the Group's 2024 reverse share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1842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793690"/>
        </w:rPr>
        <w:t>Conference Call Information:</w:t>
      </w:r>
    </w:p>
    <w:p>
      <w:pPr>
        <w:spacing w:after="0" w:line="24" w:lineRule="exact"/>
        <w:rPr>
          <w:sz w:val="20"/>
          <w:szCs w:val="20"/>
          <w:color w:val="auto"/>
        </w:rPr>
      </w:pPr>
    </w:p>
    <w:p>
      <w:pPr>
        <w:ind w:left="260" w:right="480"/>
        <w:spacing w:after="0" w:line="263" w:lineRule="auto"/>
        <w:rPr>
          <w:sz w:val="20"/>
          <w:szCs w:val="20"/>
          <w:color w:val="auto"/>
        </w:rPr>
      </w:pPr>
      <w:r>
        <w:rPr>
          <w:rFonts w:ascii="Arial" w:cs="Arial" w:eastAsia="Arial" w:hAnsi="Arial"/>
          <w:sz w:val="15"/>
          <w:szCs w:val="15"/>
          <w:color w:val="auto"/>
        </w:rPr>
        <w:t>Marex’s management will host a conference call to discuss the Group's financial results today, 13 August 2025, at 9am Eastern Time. A live webcast of the call can be accessed from Marex’s Investor Relations website. An archived version will be available on the website after the call. To participate in the Conference Call, please register at the link here:</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https://edge.media-server.com/mmc/p/gyie6oed</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793690"/>
        </w:rPr>
        <w:t>Enquiries please contact:</w:t>
      </w:r>
    </w:p>
    <w:p>
      <w:pPr>
        <w:spacing w:after="0" w:line="24"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Marex</w:t>
      </w:r>
    </w:p>
    <w:p>
      <w:pPr>
        <w:spacing w:after="0" w:line="17"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Investors – Adam Strachan</w:t>
      </w:r>
    </w:p>
    <w:p>
      <w:pPr>
        <w:spacing w:after="0" w:line="1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+1 914 200 2508 / astrachan@marex.com</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Media – Nicola Ratchford, Marex / FTI Consulting US / UK</w:t>
      </w:r>
    </w:p>
    <w:p>
      <w:pPr>
        <w:spacing w:after="0" w:line="33" w:lineRule="exact"/>
        <w:rPr>
          <w:sz w:val="20"/>
          <w:szCs w:val="20"/>
          <w:color w:val="auto"/>
        </w:rPr>
      </w:pPr>
    </w:p>
    <w:p>
      <w:pPr>
        <w:ind w:left="260"/>
        <w:spacing w:after="0"/>
        <w:rPr>
          <w:sz w:val="20"/>
          <w:szCs w:val="20"/>
          <w:color w:val="auto"/>
        </w:rPr>
      </w:pPr>
      <w:r>
        <w:rPr>
          <w:rFonts w:ascii="Arial" w:cs="Arial" w:eastAsia="Arial" w:hAnsi="Arial"/>
          <w:sz w:val="15"/>
          <w:szCs w:val="15"/>
          <w:color w:val="auto"/>
        </w:rPr>
        <w:t>+44 7786 548 889 / nratchford@marex.com / +1 716 525 7239 / +44 7976 870 961 | marex@fticonsulting.com</w:t>
      </w:r>
    </w:p>
    <w:p>
      <w:pPr>
        <w:sectPr>
          <w:pgSz w:w="11900" w:h="16838" w:orient="portrait"/>
          <w:cols w:equalWidth="0" w:num="1">
            <w:col w:w="11180"/>
          </w:cols>
          <w:pgMar w:left="320" w:top="134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2</w:t>
      </w:r>
    </w:p>
    <w:p>
      <w:pPr>
        <w:sectPr>
          <w:pgSz w:w="11900" w:h="16838" w:orient="portrait"/>
          <w:cols w:equalWidth="0" w:num="1">
            <w:col w:w="11180"/>
          </w:cols>
          <w:pgMar w:left="320" w:top="1349" w:right="39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b w:val="1"/>
          <w:bCs w:val="1"/>
          <w:color w:val="793690"/>
        </w:rPr>
        <w:t>Financial Review</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summary financial results and other data as of the dates and for the periods indicated: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Summary Financial Results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1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 months ended</w:t>
            </w:r>
          </w:p>
        </w:tc>
        <w:tc>
          <w:tcPr>
            <w:tcW w:w="1740" w:type="dxa"/>
            <w:vAlign w:val="bottom"/>
          </w:tcPr>
          <w:p>
            <w:pPr>
              <w:jc w:val="right"/>
              <w:ind w:right="425"/>
              <w:spacing w:after="0"/>
              <w:rPr>
                <w:sz w:val="20"/>
                <w:szCs w:val="20"/>
                <w:color w:val="auto"/>
              </w:rPr>
            </w:pPr>
            <w:r>
              <w:rPr>
                <w:rFonts w:ascii="Arial" w:cs="Arial" w:eastAsia="Arial" w:hAnsi="Arial"/>
                <w:sz w:val="13"/>
                <w:szCs w:val="13"/>
                <w:b w:val="1"/>
                <w:bCs w:val="1"/>
                <w:color w:val="auto"/>
              </w:rPr>
              <w:t>3 months ended</w:t>
            </w:r>
          </w:p>
        </w:tc>
        <w:tc>
          <w:tcPr>
            <w:tcW w:w="1140" w:type="dxa"/>
            <w:vAlign w:val="bottom"/>
          </w:tcPr>
          <w:p>
            <w:pPr>
              <w:spacing w:after="0"/>
              <w:rPr>
                <w:sz w:val="16"/>
                <w:szCs w:val="16"/>
                <w:color w:val="auto"/>
              </w:rPr>
            </w:pPr>
          </w:p>
        </w:tc>
        <w:tc>
          <w:tcPr>
            <w:tcW w:w="1120" w:type="dxa"/>
            <w:vAlign w:val="bottom"/>
            <w:tcBorders>
              <w:right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6 months ended</w:t>
            </w:r>
          </w:p>
        </w:tc>
        <w:tc>
          <w:tcPr>
            <w:tcW w:w="1700" w:type="dxa"/>
            <w:vAlign w:val="bottom"/>
          </w:tcPr>
          <w:p>
            <w:pPr>
              <w:jc w:val="right"/>
              <w:ind w:right="385"/>
              <w:spacing w:after="0"/>
              <w:rPr>
                <w:sz w:val="20"/>
                <w:szCs w:val="20"/>
                <w:color w:val="auto"/>
              </w:rPr>
            </w:pPr>
            <w:r>
              <w:rPr>
                <w:rFonts w:ascii="Arial" w:cs="Arial" w:eastAsia="Arial" w:hAnsi="Arial"/>
                <w:sz w:val="13"/>
                <w:szCs w:val="13"/>
                <w:b w:val="1"/>
                <w:bCs w:val="1"/>
                <w:color w:val="auto"/>
              </w:rPr>
              <w:t>6 months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40" w:type="dxa"/>
            <w:vAlign w:val="bottom"/>
          </w:tcPr>
          <w:p>
            <w:pPr>
              <w:spacing w:after="0"/>
              <w:rPr>
                <w:sz w:val="16"/>
                <w:szCs w:val="16"/>
                <w:color w:val="auto"/>
              </w:rPr>
            </w:pPr>
          </w:p>
        </w:tc>
        <w:tc>
          <w:tcPr>
            <w:tcW w:w="11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740" w:type="dxa"/>
            <w:vAlign w:val="bottom"/>
          </w:tcPr>
          <w:p>
            <w:pPr>
              <w:jc w:val="right"/>
              <w:ind w:right="425"/>
              <w:spacing w:after="0"/>
              <w:rPr>
                <w:sz w:val="20"/>
                <w:szCs w:val="20"/>
                <w:color w:val="auto"/>
              </w:rPr>
            </w:pPr>
            <w:r>
              <w:rPr>
                <w:rFonts w:ascii="Arial" w:cs="Arial" w:eastAsia="Arial" w:hAnsi="Arial"/>
                <w:sz w:val="13"/>
                <w:szCs w:val="13"/>
                <w:b w:val="1"/>
                <w:bCs w:val="1"/>
                <w:color w:val="auto"/>
              </w:rPr>
              <w:t>30 June 2024</w:t>
            </w:r>
          </w:p>
        </w:tc>
        <w:tc>
          <w:tcPr>
            <w:tcW w:w="1140" w:type="dxa"/>
            <w:vAlign w:val="bottom"/>
          </w:tcPr>
          <w:p>
            <w:pPr>
              <w:spacing w:after="0"/>
              <w:rPr>
                <w:sz w:val="16"/>
                <w:szCs w:val="16"/>
                <w:color w:val="auto"/>
              </w:rPr>
            </w:pPr>
          </w:p>
        </w:tc>
        <w:tc>
          <w:tcPr>
            <w:tcW w:w="1120" w:type="dxa"/>
            <w:vAlign w:val="bottom"/>
            <w:tcBorders>
              <w:right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700" w:type="dxa"/>
            <w:vAlign w:val="bottom"/>
          </w:tcPr>
          <w:p>
            <w:pPr>
              <w:jc w:val="right"/>
              <w:ind w:right="385"/>
              <w:spacing w:after="0"/>
              <w:rPr>
                <w:sz w:val="20"/>
                <w:szCs w:val="20"/>
                <w:color w:val="auto"/>
              </w:rPr>
            </w:pPr>
            <w:r>
              <w:rPr>
                <w:rFonts w:ascii="Arial" w:cs="Arial" w:eastAsia="Arial" w:hAnsi="Arial"/>
                <w:sz w:val="13"/>
                <w:szCs w:val="13"/>
                <w:b w:val="1"/>
                <w:bCs w:val="1"/>
                <w:color w:val="auto"/>
              </w:rPr>
              <w:t>30 June 2024</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40" w:type="dxa"/>
            <w:vAlign w:val="bottom"/>
          </w:tcPr>
          <w:p>
            <w:pPr>
              <w:spacing w:after="0"/>
              <w:rPr>
                <w:sz w:val="19"/>
                <w:szCs w:val="19"/>
                <w:color w:val="auto"/>
              </w:rPr>
            </w:pPr>
          </w:p>
        </w:tc>
        <w:tc>
          <w:tcPr>
            <w:tcW w:w="11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740" w:type="dxa"/>
            <w:vAlign w:val="bottom"/>
          </w:tcPr>
          <w:p>
            <w:pPr>
              <w:jc w:val="right"/>
              <w:ind w:right="425"/>
              <w:spacing w:after="0"/>
              <w:rPr>
                <w:sz w:val="20"/>
                <w:szCs w:val="20"/>
                <w:color w:val="auto"/>
              </w:rPr>
            </w:pPr>
            <w:r>
              <w:rPr>
                <w:rFonts w:ascii="Arial" w:cs="Arial" w:eastAsia="Arial" w:hAnsi="Arial"/>
                <w:sz w:val="13"/>
                <w:szCs w:val="13"/>
                <w:b w:val="1"/>
                <w:bCs w:val="1"/>
                <w:color w:val="auto"/>
              </w:rPr>
              <w:t>$m</w:t>
            </w:r>
          </w:p>
        </w:tc>
        <w:tc>
          <w:tcPr>
            <w:tcW w:w="1140" w:type="dxa"/>
            <w:vAlign w:val="bottom"/>
          </w:tcPr>
          <w:p>
            <w:pPr>
              <w:jc w:val="right"/>
              <w:ind w:right="104"/>
              <w:spacing w:after="0"/>
              <w:rPr>
                <w:sz w:val="20"/>
                <w:szCs w:val="20"/>
                <w:color w:val="auto"/>
              </w:rPr>
            </w:pPr>
            <w:r>
              <w:rPr>
                <w:rFonts w:ascii="Arial" w:cs="Arial" w:eastAsia="Arial" w:hAnsi="Arial"/>
                <w:sz w:val="13"/>
                <w:szCs w:val="13"/>
                <w:b w:val="1"/>
                <w:bCs w:val="1"/>
                <w:color w:val="auto"/>
              </w:rPr>
              <w:t>Change</w:t>
            </w:r>
          </w:p>
        </w:tc>
        <w:tc>
          <w:tcPr>
            <w:tcW w:w="1120" w:type="dxa"/>
            <w:vAlign w:val="bottom"/>
            <w:tcBorders>
              <w:bottom w:val="single" w:sz="8" w:color="F4EFF6"/>
              <w:right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700" w:type="dxa"/>
            <w:vAlign w:val="bottom"/>
          </w:tcPr>
          <w:p>
            <w:pPr>
              <w:jc w:val="right"/>
              <w:ind w:right="385"/>
              <w:spacing w:after="0"/>
              <w:rPr>
                <w:sz w:val="20"/>
                <w:szCs w:val="20"/>
                <w:color w:val="auto"/>
              </w:rPr>
            </w:pPr>
            <w:r>
              <w:rPr>
                <w:rFonts w:ascii="Arial" w:cs="Arial" w:eastAsia="Arial" w:hAnsi="Arial"/>
                <w:sz w:val="13"/>
                <w:szCs w:val="13"/>
                <w:b w:val="1"/>
                <w:bCs w:val="1"/>
                <w:color w:val="auto"/>
              </w:rPr>
              <w:t>$m</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37"/>
        </w:trPr>
        <w:tc>
          <w:tcPr>
            <w:tcW w:w="344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Net commission income</w:t>
            </w:r>
          </w:p>
        </w:tc>
        <w:tc>
          <w:tcPr>
            <w:tcW w:w="112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257.1</w:t>
            </w:r>
          </w:p>
        </w:tc>
        <w:tc>
          <w:tcPr>
            <w:tcW w:w="1740" w:type="dxa"/>
            <w:vAlign w:val="bottom"/>
            <w:tcBorders>
              <w:top w:val="single" w:sz="8" w:color="793690"/>
            </w:tcBorders>
          </w:tcPr>
          <w:p>
            <w:pPr>
              <w:jc w:val="right"/>
              <w:ind w:right="465"/>
              <w:spacing w:after="0"/>
              <w:rPr>
                <w:sz w:val="20"/>
                <w:szCs w:val="20"/>
                <w:color w:val="auto"/>
              </w:rPr>
            </w:pPr>
            <w:r>
              <w:rPr>
                <w:rFonts w:ascii="Arial" w:cs="Arial" w:eastAsia="Arial" w:hAnsi="Arial"/>
                <w:sz w:val="15"/>
                <w:szCs w:val="15"/>
                <w:color w:val="auto"/>
              </w:rPr>
              <w:t>208.4</w:t>
            </w:r>
          </w:p>
        </w:tc>
        <w:tc>
          <w:tcPr>
            <w:tcW w:w="1140" w:type="dxa"/>
            <w:vAlign w:val="bottom"/>
            <w:tcBorders>
              <w:top w:val="single" w:sz="8" w:color="793690"/>
            </w:tcBorders>
          </w:tcPr>
          <w:p>
            <w:pPr>
              <w:jc w:val="right"/>
              <w:ind w:right="104"/>
              <w:spacing w:after="0"/>
              <w:rPr>
                <w:sz w:val="20"/>
                <w:szCs w:val="20"/>
                <w:color w:val="auto"/>
              </w:rPr>
            </w:pPr>
            <w:r>
              <w:rPr>
                <w:rFonts w:ascii="Arial" w:cs="Arial" w:eastAsia="Arial" w:hAnsi="Arial"/>
                <w:sz w:val="15"/>
                <w:szCs w:val="15"/>
                <w:color w:val="auto"/>
              </w:rPr>
              <w:t>23%</w:t>
            </w:r>
          </w:p>
        </w:tc>
        <w:tc>
          <w:tcPr>
            <w:tcW w:w="1120" w:type="dxa"/>
            <w:vAlign w:val="bottom"/>
            <w:tcBorders>
              <w:top w:val="single" w:sz="8" w:color="793690"/>
              <w:bottom w:val="single" w:sz="8" w:color="F4EFF6"/>
              <w:right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507.8</w:t>
            </w:r>
          </w:p>
        </w:tc>
        <w:tc>
          <w:tcPr>
            <w:tcW w:w="1700" w:type="dxa"/>
            <w:vAlign w:val="bottom"/>
            <w:tcBorders>
              <w:top w:val="single" w:sz="8" w:color="793690"/>
            </w:tcBorders>
          </w:tcPr>
          <w:p>
            <w:pPr>
              <w:jc w:val="right"/>
              <w:ind w:right="425"/>
              <w:spacing w:after="0"/>
              <w:rPr>
                <w:sz w:val="20"/>
                <w:szCs w:val="20"/>
                <w:color w:val="auto"/>
              </w:rPr>
            </w:pPr>
            <w:r>
              <w:rPr>
                <w:rFonts w:ascii="Arial" w:cs="Arial" w:eastAsia="Arial" w:hAnsi="Arial"/>
                <w:sz w:val="15"/>
                <w:szCs w:val="15"/>
                <w:color w:val="auto"/>
              </w:rPr>
              <w:t>427.3</w:t>
            </w:r>
          </w:p>
        </w:tc>
        <w:tc>
          <w:tcPr>
            <w:tcW w:w="96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37"/>
        </w:trPr>
        <w:tc>
          <w:tcPr>
            <w:tcW w:w="34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Net trading income</w:t>
            </w:r>
          </w:p>
        </w:tc>
        <w:tc>
          <w:tcPr>
            <w:tcW w:w="11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203.3</w:t>
            </w:r>
          </w:p>
        </w:tc>
        <w:tc>
          <w:tcPr>
            <w:tcW w:w="1740" w:type="dxa"/>
            <w:vAlign w:val="bottom"/>
            <w:tcBorders>
              <w:top w:val="single" w:sz="8" w:color="DADAE7"/>
            </w:tcBorders>
          </w:tcPr>
          <w:p>
            <w:pPr>
              <w:jc w:val="right"/>
              <w:ind w:right="465"/>
              <w:spacing w:after="0"/>
              <w:rPr>
                <w:sz w:val="20"/>
                <w:szCs w:val="20"/>
                <w:color w:val="auto"/>
              </w:rPr>
            </w:pPr>
            <w:r>
              <w:rPr>
                <w:rFonts w:ascii="Arial" w:cs="Arial" w:eastAsia="Arial" w:hAnsi="Arial"/>
                <w:sz w:val="15"/>
                <w:szCs w:val="15"/>
                <w:color w:val="auto"/>
              </w:rPr>
              <w:t>136.5</w:t>
            </w:r>
          </w:p>
        </w:tc>
        <w:tc>
          <w:tcPr>
            <w:tcW w:w="1140" w:type="dxa"/>
            <w:vAlign w:val="bottom"/>
            <w:tcBorders>
              <w:top w:val="single" w:sz="8" w:color="DADAE7"/>
            </w:tcBorders>
          </w:tcPr>
          <w:p>
            <w:pPr>
              <w:jc w:val="right"/>
              <w:ind w:right="104"/>
              <w:spacing w:after="0"/>
              <w:rPr>
                <w:sz w:val="20"/>
                <w:szCs w:val="20"/>
                <w:color w:val="auto"/>
              </w:rPr>
            </w:pPr>
            <w:r>
              <w:rPr>
                <w:rFonts w:ascii="Arial" w:cs="Arial" w:eastAsia="Arial" w:hAnsi="Arial"/>
                <w:sz w:val="15"/>
                <w:szCs w:val="15"/>
                <w:color w:val="auto"/>
              </w:rPr>
              <w:t>49%</w:t>
            </w:r>
          </w:p>
        </w:tc>
        <w:tc>
          <w:tcPr>
            <w:tcW w:w="1120" w:type="dxa"/>
            <w:vAlign w:val="bottom"/>
            <w:tcBorders>
              <w:top w:val="single" w:sz="8" w:color="DADAE7"/>
              <w:bottom w:val="single" w:sz="8" w:color="F4EFF6"/>
              <w:right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362.4</w:t>
            </w:r>
          </w:p>
        </w:tc>
        <w:tc>
          <w:tcPr>
            <w:tcW w:w="1700" w:type="dxa"/>
            <w:vAlign w:val="bottom"/>
            <w:tcBorders>
              <w:top w:val="single" w:sz="8" w:color="DADAE7"/>
            </w:tcBorders>
          </w:tcPr>
          <w:p>
            <w:pPr>
              <w:jc w:val="right"/>
              <w:ind w:right="425"/>
              <w:spacing w:after="0"/>
              <w:rPr>
                <w:sz w:val="20"/>
                <w:szCs w:val="20"/>
                <w:color w:val="auto"/>
              </w:rPr>
            </w:pPr>
            <w:r>
              <w:rPr>
                <w:rFonts w:ascii="Arial" w:cs="Arial" w:eastAsia="Arial" w:hAnsi="Arial"/>
                <w:sz w:val="15"/>
                <w:szCs w:val="15"/>
                <w:color w:val="auto"/>
              </w:rPr>
              <w:t>242.7</w:t>
            </w:r>
          </w:p>
        </w:tc>
        <w:tc>
          <w:tcPr>
            <w:tcW w:w="9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237"/>
        </w:trPr>
        <w:tc>
          <w:tcPr>
            <w:tcW w:w="34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Net interest income</w:t>
            </w:r>
          </w:p>
        </w:tc>
        <w:tc>
          <w:tcPr>
            <w:tcW w:w="11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34.6</w:t>
            </w:r>
          </w:p>
        </w:tc>
        <w:tc>
          <w:tcPr>
            <w:tcW w:w="1740" w:type="dxa"/>
            <w:vAlign w:val="bottom"/>
            <w:tcBorders>
              <w:top w:val="single" w:sz="8" w:color="DADAE7"/>
            </w:tcBorders>
          </w:tcPr>
          <w:p>
            <w:pPr>
              <w:jc w:val="right"/>
              <w:ind w:right="465"/>
              <w:spacing w:after="0"/>
              <w:rPr>
                <w:sz w:val="20"/>
                <w:szCs w:val="20"/>
                <w:color w:val="auto"/>
              </w:rPr>
            </w:pPr>
            <w:r>
              <w:rPr>
                <w:rFonts w:ascii="Arial" w:cs="Arial" w:eastAsia="Arial" w:hAnsi="Arial"/>
                <w:sz w:val="15"/>
                <w:szCs w:val="15"/>
                <w:color w:val="auto"/>
              </w:rPr>
              <w:t>65.4</w:t>
            </w:r>
          </w:p>
        </w:tc>
        <w:tc>
          <w:tcPr>
            <w:tcW w:w="1140" w:type="dxa"/>
            <w:vAlign w:val="bottom"/>
            <w:tcBorders>
              <w:top w:val="single" w:sz="8" w:color="DADAE7"/>
            </w:tcBorders>
          </w:tcPr>
          <w:p>
            <w:pPr>
              <w:jc w:val="right"/>
              <w:ind w:right="104"/>
              <w:spacing w:after="0"/>
              <w:rPr>
                <w:sz w:val="20"/>
                <w:szCs w:val="20"/>
                <w:color w:val="auto"/>
              </w:rPr>
            </w:pPr>
            <w:r>
              <w:rPr>
                <w:rFonts w:ascii="Arial" w:cs="Arial" w:eastAsia="Arial" w:hAnsi="Arial"/>
                <w:sz w:val="15"/>
                <w:szCs w:val="15"/>
                <w:color w:val="auto"/>
              </w:rPr>
              <w:t>(47)%</w:t>
            </w:r>
          </w:p>
        </w:tc>
        <w:tc>
          <w:tcPr>
            <w:tcW w:w="1120" w:type="dxa"/>
            <w:vAlign w:val="bottom"/>
            <w:tcBorders>
              <w:top w:val="single" w:sz="8" w:color="DADAE7"/>
              <w:bottom w:val="single" w:sz="8" w:color="F4EFF6"/>
              <w:right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88.0</w:t>
            </w:r>
          </w:p>
        </w:tc>
        <w:tc>
          <w:tcPr>
            <w:tcW w:w="1700" w:type="dxa"/>
            <w:vAlign w:val="bottom"/>
            <w:tcBorders>
              <w:top w:val="single" w:sz="8" w:color="DADAE7"/>
            </w:tcBorders>
          </w:tcPr>
          <w:p>
            <w:pPr>
              <w:jc w:val="right"/>
              <w:ind w:right="425"/>
              <w:spacing w:after="0"/>
              <w:rPr>
                <w:sz w:val="20"/>
                <w:szCs w:val="20"/>
                <w:color w:val="auto"/>
              </w:rPr>
            </w:pPr>
            <w:r>
              <w:rPr>
                <w:rFonts w:ascii="Arial" w:cs="Arial" w:eastAsia="Arial" w:hAnsi="Arial"/>
                <w:sz w:val="15"/>
                <w:szCs w:val="15"/>
                <w:color w:val="auto"/>
              </w:rPr>
              <w:t>101.0</w:t>
            </w:r>
          </w:p>
        </w:tc>
        <w:tc>
          <w:tcPr>
            <w:tcW w:w="9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36"/>
        </w:trPr>
        <w:tc>
          <w:tcPr>
            <w:tcW w:w="34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Net physical commodities income</w:t>
            </w:r>
          </w:p>
        </w:tc>
        <w:tc>
          <w:tcPr>
            <w:tcW w:w="11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5.1</w:t>
            </w:r>
          </w:p>
        </w:tc>
        <w:tc>
          <w:tcPr>
            <w:tcW w:w="1740" w:type="dxa"/>
            <w:vAlign w:val="bottom"/>
            <w:tcBorders>
              <w:top w:val="single" w:sz="8" w:color="DADAE7"/>
            </w:tcBorders>
          </w:tcPr>
          <w:p>
            <w:pPr>
              <w:jc w:val="right"/>
              <w:ind w:right="465"/>
              <w:spacing w:after="0"/>
              <w:rPr>
                <w:sz w:val="20"/>
                <w:szCs w:val="20"/>
                <w:color w:val="auto"/>
              </w:rPr>
            </w:pPr>
            <w:r>
              <w:rPr>
                <w:rFonts w:ascii="Arial" w:cs="Arial" w:eastAsia="Arial" w:hAnsi="Arial"/>
                <w:sz w:val="15"/>
                <w:szCs w:val="15"/>
                <w:color w:val="auto"/>
              </w:rPr>
              <w:t>11.8</w:t>
            </w:r>
          </w:p>
        </w:tc>
        <w:tc>
          <w:tcPr>
            <w:tcW w:w="1140" w:type="dxa"/>
            <w:vAlign w:val="bottom"/>
            <w:tcBorders>
              <w:top w:val="single" w:sz="8" w:color="DADAE7"/>
            </w:tcBorders>
          </w:tcPr>
          <w:p>
            <w:pPr>
              <w:jc w:val="right"/>
              <w:ind w:right="104"/>
              <w:spacing w:after="0"/>
              <w:rPr>
                <w:sz w:val="20"/>
                <w:szCs w:val="20"/>
                <w:color w:val="auto"/>
              </w:rPr>
            </w:pPr>
            <w:r>
              <w:rPr>
                <w:rFonts w:ascii="Arial" w:cs="Arial" w:eastAsia="Arial" w:hAnsi="Arial"/>
                <w:sz w:val="15"/>
                <w:szCs w:val="15"/>
                <w:color w:val="auto"/>
              </w:rPr>
              <w:t>(57)%</w:t>
            </w:r>
          </w:p>
        </w:tc>
        <w:tc>
          <w:tcPr>
            <w:tcW w:w="1120" w:type="dxa"/>
            <w:vAlign w:val="bottom"/>
            <w:tcBorders>
              <w:top w:val="single" w:sz="8" w:color="DADAE7"/>
              <w:bottom w:val="single" w:sz="8" w:color="F4EFF6"/>
              <w:right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9.2</w:t>
            </w:r>
          </w:p>
        </w:tc>
        <w:tc>
          <w:tcPr>
            <w:tcW w:w="1700" w:type="dxa"/>
            <w:vAlign w:val="bottom"/>
            <w:tcBorders>
              <w:top w:val="single" w:sz="8" w:color="DADAE7"/>
            </w:tcBorders>
          </w:tcPr>
          <w:p>
            <w:pPr>
              <w:jc w:val="right"/>
              <w:ind w:right="425"/>
              <w:spacing w:after="0"/>
              <w:rPr>
                <w:sz w:val="20"/>
                <w:szCs w:val="20"/>
                <w:color w:val="auto"/>
              </w:rPr>
            </w:pPr>
            <w:r>
              <w:rPr>
                <w:rFonts w:ascii="Arial" w:cs="Arial" w:eastAsia="Arial" w:hAnsi="Arial"/>
                <w:sz w:val="15"/>
                <w:szCs w:val="15"/>
                <w:color w:val="auto"/>
              </w:rPr>
              <w:t>16.9</w:t>
            </w:r>
          </w:p>
        </w:tc>
        <w:tc>
          <w:tcPr>
            <w:tcW w:w="9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237"/>
        </w:trPr>
        <w:tc>
          <w:tcPr>
            <w:tcW w:w="344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Revenue</w:t>
            </w:r>
          </w:p>
        </w:tc>
        <w:tc>
          <w:tcPr>
            <w:tcW w:w="112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500.1</w:t>
            </w:r>
          </w:p>
        </w:tc>
        <w:tc>
          <w:tcPr>
            <w:tcW w:w="1740" w:type="dxa"/>
            <w:vAlign w:val="bottom"/>
            <w:tcBorders>
              <w:top w:val="single" w:sz="8" w:color="793690"/>
            </w:tcBorders>
          </w:tcPr>
          <w:p>
            <w:pPr>
              <w:jc w:val="right"/>
              <w:ind w:right="465"/>
              <w:spacing w:after="0"/>
              <w:rPr>
                <w:sz w:val="20"/>
                <w:szCs w:val="20"/>
                <w:color w:val="auto"/>
              </w:rPr>
            </w:pPr>
            <w:r>
              <w:rPr>
                <w:rFonts w:ascii="Arial" w:cs="Arial" w:eastAsia="Arial" w:hAnsi="Arial"/>
                <w:sz w:val="15"/>
                <w:szCs w:val="15"/>
                <w:color w:val="auto"/>
              </w:rPr>
              <w:t>422.1</w:t>
            </w:r>
          </w:p>
        </w:tc>
        <w:tc>
          <w:tcPr>
            <w:tcW w:w="1140" w:type="dxa"/>
            <w:vAlign w:val="bottom"/>
            <w:tcBorders>
              <w:top w:val="single" w:sz="8" w:color="793690"/>
            </w:tcBorders>
          </w:tcPr>
          <w:p>
            <w:pPr>
              <w:jc w:val="right"/>
              <w:ind w:right="104"/>
              <w:spacing w:after="0"/>
              <w:rPr>
                <w:sz w:val="20"/>
                <w:szCs w:val="20"/>
                <w:color w:val="auto"/>
              </w:rPr>
            </w:pPr>
            <w:r>
              <w:rPr>
                <w:rFonts w:ascii="Arial" w:cs="Arial" w:eastAsia="Arial" w:hAnsi="Arial"/>
                <w:sz w:val="15"/>
                <w:szCs w:val="15"/>
                <w:color w:val="auto"/>
              </w:rPr>
              <w:t>18%</w:t>
            </w:r>
          </w:p>
        </w:tc>
        <w:tc>
          <w:tcPr>
            <w:tcW w:w="1120" w:type="dxa"/>
            <w:vAlign w:val="bottom"/>
            <w:tcBorders>
              <w:top w:val="single" w:sz="8" w:color="793690"/>
              <w:bottom w:val="single" w:sz="8" w:color="F4EFF6"/>
              <w:right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967.4</w:t>
            </w:r>
          </w:p>
        </w:tc>
        <w:tc>
          <w:tcPr>
            <w:tcW w:w="1700" w:type="dxa"/>
            <w:vAlign w:val="bottom"/>
            <w:tcBorders>
              <w:top w:val="single" w:sz="8" w:color="793690"/>
            </w:tcBorders>
          </w:tcPr>
          <w:p>
            <w:pPr>
              <w:jc w:val="right"/>
              <w:ind w:right="425"/>
              <w:spacing w:after="0"/>
              <w:rPr>
                <w:sz w:val="20"/>
                <w:szCs w:val="20"/>
                <w:color w:val="auto"/>
              </w:rPr>
            </w:pPr>
            <w:r>
              <w:rPr>
                <w:rFonts w:ascii="Arial" w:cs="Arial" w:eastAsia="Arial" w:hAnsi="Arial"/>
                <w:sz w:val="15"/>
                <w:szCs w:val="15"/>
                <w:color w:val="auto"/>
              </w:rPr>
              <w:t>787.9</w:t>
            </w:r>
          </w:p>
        </w:tc>
        <w:tc>
          <w:tcPr>
            <w:tcW w:w="96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96"/>
        </w:trPr>
        <w:tc>
          <w:tcPr>
            <w:tcW w:w="3440" w:type="dxa"/>
            <w:vAlign w:val="bottom"/>
            <w:tcBorders>
              <w:top w:val="single" w:sz="8" w:color="DADAE7"/>
              <w:bottom w:val="single" w:sz="8" w:color="DADAE7"/>
            </w:tcBorders>
          </w:tcPr>
          <w:p>
            <w:pPr>
              <w:spacing w:after="0"/>
              <w:rPr>
                <w:sz w:val="17"/>
                <w:szCs w:val="17"/>
                <w:color w:val="auto"/>
              </w:rPr>
            </w:pPr>
          </w:p>
        </w:tc>
        <w:tc>
          <w:tcPr>
            <w:tcW w:w="1120" w:type="dxa"/>
            <w:vAlign w:val="bottom"/>
            <w:tcBorders>
              <w:top w:val="single" w:sz="8" w:color="DADAE7"/>
              <w:bottom w:val="single" w:sz="8" w:color="DADAE7"/>
            </w:tcBorders>
            <w:shd w:val="clear" w:color="auto" w:fill="F4EFF6"/>
          </w:tcPr>
          <w:p>
            <w:pPr>
              <w:spacing w:after="0"/>
              <w:rPr>
                <w:sz w:val="17"/>
                <w:szCs w:val="17"/>
                <w:color w:val="auto"/>
              </w:rPr>
            </w:pPr>
          </w:p>
        </w:tc>
        <w:tc>
          <w:tcPr>
            <w:tcW w:w="1740" w:type="dxa"/>
            <w:vAlign w:val="bottom"/>
            <w:tcBorders>
              <w:top w:val="single" w:sz="8" w:color="DADAE7"/>
              <w:bottom w:val="single" w:sz="8" w:color="DADAE7"/>
            </w:tcBorders>
          </w:tcPr>
          <w:p>
            <w:pPr>
              <w:spacing w:after="0"/>
              <w:rPr>
                <w:sz w:val="17"/>
                <w:szCs w:val="17"/>
                <w:color w:val="auto"/>
              </w:rPr>
            </w:pPr>
          </w:p>
        </w:tc>
        <w:tc>
          <w:tcPr>
            <w:tcW w:w="1140" w:type="dxa"/>
            <w:vAlign w:val="bottom"/>
            <w:tcBorders>
              <w:top w:val="single" w:sz="8" w:color="DADAE7"/>
              <w:bottom w:val="single" w:sz="8" w:color="DADAE7"/>
            </w:tcBorders>
          </w:tcPr>
          <w:p>
            <w:pPr>
              <w:spacing w:after="0"/>
              <w:rPr>
                <w:sz w:val="17"/>
                <w:szCs w:val="17"/>
                <w:color w:val="auto"/>
              </w:rPr>
            </w:pPr>
          </w:p>
        </w:tc>
        <w:tc>
          <w:tcPr>
            <w:tcW w:w="1120" w:type="dxa"/>
            <w:vAlign w:val="bottom"/>
            <w:tcBorders>
              <w:top w:val="single" w:sz="8" w:color="DADAE7"/>
              <w:bottom w:val="single" w:sz="8" w:color="DADAE7"/>
              <w:right w:val="single" w:sz="8" w:color="F4EFF6"/>
            </w:tcBorders>
            <w:shd w:val="clear" w:color="auto" w:fill="F4EFF6"/>
          </w:tcPr>
          <w:p>
            <w:pPr>
              <w:spacing w:after="0"/>
              <w:rPr>
                <w:sz w:val="17"/>
                <w:szCs w:val="17"/>
                <w:color w:val="auto"/>
              </w:rPr>
            </w:pPr>
          </w:p>
        </w:tc>
        <w:tc>
          <w:tcPr>
            <w:tcW w:w="1700" w:type="dxa"/>
            <w:vAlign w:val="bottom"/>
            <w:tcBorders>
              <w:top w:val="single" w:sz="8" w:color="DADAE7"/>
              <w:bottom w:val="single" w:sz="8" w:color="DADAE7"/>
            </w:tcBorders>
          </w:tcPr>
          <w:p>
            <w:pPr>
              <w:spacing w:after="0"/>
              <w:rPr>
                <w:sz w:val="17"/>
                <w:szCs w:val="17"/>
                <w:color w:val="auto"/>
              </w:rPr>
            </w:pPr>
          </w:p>
        </w:tc>
        <w:tc>
          <w:tcPr>
            <w:tcW w:w="960" w:type="dxa"/>
            <w:vAlign w:val="bottom"/>
            <w:tcBorders>
              <w:top w:val="single" w:sz="8" w:color="DADAE7"/>
              <w:bottom w:val="single" w:sz="8" w:color="DADAE7"/>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20"/>
              <w:spacing w:after="0"/>
              <w:rPr>
                <w:sz w:val="20"/>
                <w:szCs w:val="20"/>
                <w:color w:val="auto"/>
              </w:rPr>
            </w:pPr>
            <w:r>
              <w:rPr>
                <w:rFonts w:ascii="Arial" w:cs="Arial" w:eastAsia="Arial" w:hAnsi="Arial"/>
                <w:sz w:val="15"/>
                <w:szCs w:val="15"/>
                <w:color w:val="auto"/>
              </w:rPr>
              <w:t>Compensation and benefits</w:t>
            </w:r>
          </w:p>
        </w:tc>
        <w:tc>
          <w:tcPr>
            <w:tcW w:w="11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(305.9)</w:t>
            </w:r>
          </w:p>
        </w:tc>
        <w:tc>
          <w:tcPr>
            <w:tcW w:w="1740" w:type="dxa"/>
            <w:vAlign w:val="bottom"/>
          </w:tcPr>
          <w:p>
            <w:pPr>
              <w:jc w:val="right"/>
              <w:ind w:right="425"/>
              <w:spacing w:after="0"/>
              <w:rPr>
                <w:sz w:val="20"/>
                <w:szCs w:val="20"/>
                <w:color w:val="auto"/>
              </w:rPr>
            </w:pPr>
            <w:r>
              <w:rPr>
                <w:rFonts w:ascii="Arial" w:cs="Arial" w:eastAsia="Arial" w:hAnsi="Arial"/>
                <w:sz w:val="15"/>
                <w:szCs w:val="15"/>
                <w:color w:val="auto"/>
              </w:rPr>
              <w:t>(256.0)</w:t>
            </w: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19%</w:t>
            </w:r>
          </w:p>
        </w:tc>
        <w:tc>
          <w:tcPr>
            <w:tcW w:w="1120" w:type="dxa"/>
            <w:vAlign w:val="bottom"/>
            <w:tcBorders>
              <w:bottom w:val="single" w:sz="8" w:color="F4EFF6"/>
              <w:right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(597.6)</w:t>
            </w:r>
          </w:p>
        </w:tc>
        <w:tc>
          <w:tcPr>
            <w:tcW w:w="1700" w:type="dxa"/>
            <w:vAlign w:val="bottom"/>
          </w:tcPr>
          <w:p>
            <w:pPr>
              <w:jc w:val="right"/>
              <w:ind w:right="385"/>
              <w:spacing w:after="0"/>
              <w:rPr>
                <w:sz w:val="20"/>
                <w:szCs w:val="20"/>
                <w:color w:val="auto"/>
              </w:rPr>
            </w:pPr>
            <w:r>
              <w:rPr>
                <w:rFonts w:ascii="Arial" w:cs="Arial" w:eastAsia="Arial" w:hAnsi="Arial"/>
                <w:sz w:val="15"/>
                <w:szCs w:val="15"/>
                <w:color w:val="auto"/>
              </w:rPr>
              <w:t>(485.9)</w:t>
            </w:r>
          </w:p>
        </w:tc>
        <w:tc>
          <w:tcPr>
            <w:tcW w:w="960" w:type="dxa"/>
            <w:vAlign w:val="bottom"/>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37"/>
        </w:trPr>
        <w:tc>
          <w:tcPr>
            <w:tcW w:w="34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Depreciation and amortisation</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(8.6)</w:t>
            </w:r>
          </w:p>
        </w:tc>
        <w:tc>
          <w:tcPr>
            <w:tcW w:w="1740" w:type="dxa"/>
            <w:vAlign w:val="bottom"/>
            <w:tcBorders>
              <w:top w:val="single" w:sz="8" w:color="DADAE7"/>
            </w:tcBorders>
          </w:tcPr>
          <w:p>
            <w:pPr>
              <w:jc w:val="right"/>
              <w:ind w:right="425"/>
              <w:spacing w:after="0"/>
              <w:rPr>
                <w:sz w:val="20"/>
                <w:szCs w:val="20"/>
                <w:color w:val="auto"/>
              </w:rPr>
            </w:pPr>
            <w:r>
              <w:rPr>
                <w:rFonts w:ascii="Arial" w:cs="Arial" w:eastAsia="Arial" w:hAnsi="Arial"/>
                <w:sz w:val="15"/>
                <w:szCs w:val="15"/>
                <w:color w:val="auto"/>
              </w:rPr>
              <w:t>(7.7)</w:t>
            </w:r>
          </w:p>
        </w:tc>
        <w:tc>
          <w:tcPr>
            <w:tcW w:w="1140" w:type="dxa"/>
            <w:vAlign w:val="bottom"/>
            <w:tcBorders>
              <w:top w:val="single" w:sz="8" w:color="DADAE7"/>
            </w:tcBorders>
          </w:tcPr>
          <w:p>
            <w:pPr>
              <w:jc w:val="right"/>
              <w:ind w:right="104"/>
              <w:spacing w:after="0"/>
              <w:rPr>
                <w:sz w:val="20"/>
                <w:szCs w:val="20"/>
                <w:color w:val="auto"/>
              </w:rPr>
            </w:pPr>
            <w:r>
              <w:rPr>
                <w:rFonts w:ascii="Arial" w:cs="Arial" w:eastAsia="Arial" w:hAnsi="Arial"/>
                <w:sz w:val="15"/>
                <w:szCs w:val="15"/>
                <w:color w:val="auto"/>
              </w:rPr>
              <w:t>12%</w:t>
            </w:r>
          </w:p>
        </w:tc>
        <w:tc>
          <w:tcPr>
            <w:tcW w:w="1120" w:type="dxa"/>
            <w:vAlign w:val="bottom"/>
            <w:tcBorders>
              <w:top w:val="single" w:sz="8" w:color="DADAE7"/>
              <w:bottom w:val="single" w:sz="8" w:color="F4EFF6"/>
              <w:right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(16.5)</w:t>
            </w:r>
          </w:p>
        </w:tc>
        <w:tc>
          <w:tcPr>
            <w:tcW w:w="1700" w:type="dxa"/>
            <w:vAlign w:val="bottom"/>
            <w:tcBorders>
              <w:top w:val="single" w:sz="8" w:color="DADAE7"/>
            </w:tcBorders>
          </w:tcPr>
          <w:p>
            <w:pPr>
              <w:jc w:val="right"/>
              <w:ind w:right="385"/>
              <w:spacing w:after="0"/>
              <w:rPr>
                <w:sz w:val="20"/>
                <w:szCs w:val="20"/>
                <w:color w:val="auto"/>
              </w:rPr>
            </w:pPr>
            <w:r>
              <w:rPr>
                <w:rFonts w:ascii="Arial" w:cs="Arial" w:eastAsia="Arial" w:hAnsi="Arial"/>
                <w:sz w:val="15"/>
                <w:szCs w:val="15"/>
                <w:color w:val="auto"/>
              </w:rPr>
              <w:t>(15.5)</w:t>
            </w:r>
          </w:p>
        </w:tc>
        <w:tc>
          <w:tcPr>
            <w:tcW w:w="9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37"/>
        </w:trPr>
        <w:tc>
          <w:tcPr>
            <w:tcW w:w="34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Other expenses</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(83.7)</w:t>
            </w:r>
          </w:p>
        </w:tc>
        <w:tc>
          <w:tcPr>
            <w:tcW w:w="1740" w:type="dxa"/>
            <w:vAlign w:val="bottom"/>
            <w:tcBorders>
              <w:top w:val="single" w:sz="8" w:color="DADAE7"/>
            </w:tcBorders>
          </w:tcPr>
          <w:p>
            <w:pPr>
              <w:jc w:val="right"/>
              <w:ind w:right="425"/>
              <w:spacing w:after="0"/>
              <w:rPr>
                <w:sz w:val="20"/>
                <w:szCs w:val="20"/>
                <w:color w:val="auto"/>
              </w:rPr>
            </w:pPr>
            <w:r>
              <w:rPr>
                <w:rFonts w:ascii="Arial" w:cs="Arial" w:eastAsia="Arial" w:hAnsi="Arial"/>
                <w:sz w:val="15"/>
                <w:szCs w:val="15"/>
                <w:color w:val="auto"/>
              </w:rPr>
              <w:t>(80.6)</w:t>
            </w:r>
          </w:p>
        </w:tc>
        <w:tc>
          <w:tcPr>
            <w:tcW w:w="1140" w:type="dxa"/>
            <w:vAlign w:val="bottom"/>
            <w:tcBorders>
              <w:top w:val="single" w:sz="8" w:color="DADAE7"/>
            </w:tcBorders>
          </w:tcPr>
          <w:p>
            <w:pPr>
              <w:jc w:val="right"/>
              <w:ind w:right="104"/>
              <w:spacing w:after="0"/>
              <w:rPr>
                <w:sz w:val="20"/>
                <w:szCs w:val="20"/>
                <w:color w:val="auto"/>
              </w:rPr>
            </w:pPr>
            <w:r>
              <w:rPr>
                <w:rFonts w:ascii="Arial" w:cs="Arial" w:eastAsia="Arial" w:hAnsi="Arial"/>
                <w:sz w:val="15"/>
                <w:szCs w:val="15"/>
                <w:color w:val="auto"/>
              </w:rPr>
              <w:t>4%</w:t>
            </w:r>
          </w:p>
        </w:tc>
        <w:tc>
          <w:tcPr>
            <w:tcW w:w="1120" w:type="dxa"/>
            <w:vAlign w:val="bottom"/>
            <w:tcBorders>
              <w:top w:val="single" w:sz="8" w:color="DADAE7"/>
              <w:bottom w:val="single" w:sz="8" w:color="F4EFF6"/>
              <w:right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(157.5)</w:t>
            </w:r>
          </w:p>
        </w:tc>
        <w:tc>
          <w:tcPr>
            <w:tcW w:w="1700" w:type="dxa"/>
            <w:vAlign w:val="bottom"/>
            <w:tcBorders>
              <w:top w:val="single" w:sz="8" w:color="DADAE7"/>
            </w:tcBorders>
          </w:tcPr>
          <w:p>
            <w:pPr>
              <w:jc w:val="right"/>
              <w:ind w:right="385"/>
              <w:spacing w:after="0"/>
              <w:rPr>
                <w:sz w:val="20"/>
                <w:szCs w:val="20"/>
                <w:color w:val="auto"/>
              </w:rPr>
            </w:pPr>
            <w:r>
              <w:rPr>
                <w:rFonts w:ascii="Arial" w:cs="Arial" w:eastAsia="Arial" w:hAnsi="Arial"/>
                <w:sz w:val="15"/>
                <w:szCs w:val="15"/>
                <w:color w:val="auto"/>
              </w:rPr>
              <w:t>(150.2)</w:t>
            </w:r>
          </w:p>
        </w:tc>
        <w:tc>
          <w:tcPr>
            <w:tcW w:w="9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36"/>
        </w:trPr>
        <w:tc>
          <w:tcPr>
            <w:tcW w:w="34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Provision for credit losses</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(1.1)</w:t>
            </w:r>
          </w:p>
        </w:tc>
        <w:tc>
          <w:tcPr>
            <w:tcW w:w="1740" w:type="dxa"/>
            <w:vAlign w:val="bottom"/>
            <w:tcBorders>
              <w:top w:val="single" w:sz="8" w:color="DADAE7"/>
            </w:tcBorders>
          </w:tcPr>
          <w:p>
            <w:pPr>
              <w:jc w:val="right"/>
              <w:ind w:right="465"/>
              <w:spacing w:after="0"/>
              <w:rPr>
                <w:sz w:val="20"/>
                <w:szCs w:val="20"/>
                <w:color w:val="auto"/>
              </w:rPr>
            </w:pPr>
            <w:r>
              <w:rPr>
                <w:rFonts w:ascii="Arial" w:cs="Arial" w:eastAsia="Arial" w:hAnsi="Arial"/>
                <w:sz w:val="15"/>
                <w:szCs w:val="15"/>
                <w:color w:val="auto"/>
              </w:rPr>
              <w:t>1.9</w:t>
            </w:r>
          </w:p>
        </w:tc>
        <w:tc>
          <w:tcPr>
            <w:tcW w:w="1140" w:type="dxa"/>
            <w:vAlign w:val="bottom"/>
            <w:tcBorders>
              <w:top w:val="single" w:sz="8" w:color="DADAE7"/>
            </w:tcBorders>
          </w:tcPr>
          <w:p>
            <w:pPr>
              <w:jc w:val="right"/>
              <w:ind w:right="104"/>
              <w:spacing w:after="0"/>
              <w:rPr>
                <w:sz w:val="20"/>
                <w:szCs w:val="20"/>
                <w:color w:val="auto"/>
              </w:rPr>
            </w:pPr>
            <w:r>
              <w:rPr>
                <w:rFonts w:ascii="Arial" w:cs="Arial" w:eastAsia="Arial" w:hAnsi="Arial"/>
                <w:sz w:val="15"/>
                <w:szCs w:val="15"/>
                <w:color w:val="auto"/>
              </w:rPr>
              <w:t>(158)%</w:t>
            </w:r>
          </w:p>
        </w:tc>
        <w:tc>
          <w:tcPr>
            <w:tcW w:w="1120" w:type="dxa"/>
            <w:vAlign w:val="bottom"/>
            <w:tcBorders>
              <w:top w:val="single" w:sz="8" w:color="DADAE7"/>
              <w:bottom w:val="single" w:sz="8" w:color="F4EFF6"/>
              <w:right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(1.1)</w:t>
            </w:r>
          </w:p>
        </w:tc>
        <w:tc>
          <w:tcPr>
            <w:tcW w:w="1700" w:type="dxa"/>
            <w:vAlign w:val="bottom"/>
            <w:tcBorders>
              <w:top w:val="single" w:sz="8" w:color="DADAE7"/>
            </w:tcBorders>
          </w:tcPr>
          <w:p>
            <w:pPr>
              <w:jc w:val="right"/>
              <w:ind w:right="425"/>
              <w:spacing w:after="0"/>
              <w:rPr>
                <w:sz w:val="20"/>
                <w:szCs w:val="20"/>
                <w:color w:val="auto"/>
              </w:rPr>
            </w:pPr>
            <w:r>
              <w:rPr>
                <w:rFonts w:ascii="Arial" w:cs="Arial" w:eastAsia="Arial" w:hAnsi="Arial"/>
                <w:sz w:val="15"/>
                <w:szCs w:val="15"/>
                <w:color w:val="auto"/>
              </w:rPr>
              <w:t>2.2</w:t>
            </w:r>
          </w:p>
        </w:tc>
        <w:tc>
          <w:tcPr>
            <w:tcW w:w="9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237"/>
        </w:trPr>
        <w:tc>
          <w:tcPr>
            <w:tcW w:w="3440" w:type="dxa"/>
            <w:vAlign w:val="bottom"/>
            <w:tcBorders>
              <w:top w:val="single" w:sz="8" w:color="DADAE7"/>
              <w:bottom w:val="single" w:sz="8" w:color="DADAE7"/>
            </w:tcBorders>
          </w:tcPr>
          <w:p>
            <w:pPr>
              <w:ind w:left="20"/>
              <w:spacing w:after="0"/>
              <w:rPr>
                <w:sz w:val="20"/>
                <w:szCs w:val="20"/>
                <w:color w:val="auto"/>
              </w:rPr>
            </w:pPr>
            <w:r>
              <w:rPr>
                <w:rFonts w:ascii="Arial" w:cs="Arial" w:eastAsia="Arial" w:hAnsi="Arial"/>
                <w:sz w:val="15"/>
                <w:szCs w:val="15"/>
                <w:color w:val="auto"/>
              </w:rPr>
              <w:t>Bargain purchase gain on acquisitions</w:t>
            </w:r>
          </w:p>
        </w:tc>
        <w:tc>
          <w:tcPr>
            <w:tcW w:w="1120" w:type="dxa"/>
            <w:vAlign w:val="bottom"/>
            <w:tcBorders>
              <w:top w:val="single" w:sz="8" w:color="DADAE7"/>
              <w:bottom w:val="single" w:sz="8" w:color="DADAE7"/>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0.2</w:t>
            </w:r>
          </w:p>
        </w:tc>
        <w:tc>
          <w:tcPr>
            <w:tcW w:w="1740" w:type="dxa"/>
            <w:vAlign w:val="bottom"/>
            <w:tcBorders>
              <w:top w:val="single" w:sz="8" w:color="DADAE7"/>
              <w:bottom w:val="single" w:sz="8" w:color="DADAE7"/>
            </w:tcBorders>
          </w:tcPr>
          <w:p>
            <w:pPr>
              <w:jc w:val="right"/>
              <w:ind w:right="465"/>
              <w:spacing w:after="0"/>
              <w:rPr>
                <w:sz w:val="20"/>
                <w:szCs w:val="20"/>
                <w:color w:val="auto"/>
              </w:rPr>
            </w:pPr>
            <w:r>
              <w:rPr>
                <w:rFonts w:ascii="Arial" w:cs="Arial" w:eastAsia="Arial" w:hAnsi="Arial"/>
                <w:sz w:val="15"/>
                <w:szCs w:val="15"/>
                <w:color w:val="auto"/>
              </w:rPr>
              <w:t>—</w:t>
            </w:r>
          </w:p>
        </w:tc>
        <w:tc>
          <w:tcPr>
            <w:tcW w:w="1140" w:type="dxa"/>
            <w:vAlign w:val="bottom"/>
            <w:tcBorders>
              <w:top w:val="single" w:sz="8" w:color="DADAE7"/>
              <w:bottom w:val="single" w:sz="8" w:color="DADAE7"/>
            </w:tcBorders>
          </w:tcPr>
          <w:p>
            <w:pPr>
              <w:jc w:val="right"/>
              <w:ind w:right="104"/>
              <w:spacing w:after="0"/>
              <w:rPr>
                <w:sz w:val="20"/>
                <w:szCs w:val="20"/>
                <w:color w:val="auto"/>
              </w:rPr>
            </w:pPr>
            <w:r>
              <w:rPr>
                <w:rFonts w:ascii="Arial" w:cs="Arial" w:eastAsia="Arial" w:hAnsi="Arial"/>
                <w:sz w:val="15"/>
                <w:szCs w:val="15"/>
                <w:color w:val="auto"/>
              </w:rPr>
              <w:t>n.m.</w:t>
            </w:r>
            <w:r>
              <w:rPr>
                <w:rFonts w:ascii="Arial" w:cs="Arial" w:eastAsia="Arial" w:hAnsi="Arial"/>
                <w:sz w:val="19"/>
                <w:szCs w:val="19"/>
                <w:color w:val="auto"/>
                <w:vertAlign w:val="superscript"/>
              </w:rPr>
              <w:t>2</w:t>
            </w:r>
          </w:p>
        </w:tc>
        <w:tc>
          <w:tcPr>
            <w:tcW w:w="1120" w:type="dxa"/>
            <w:vAlign w:val="bottom"/>
            <w:tcBorders>
              <w:top w:val="single" w:sz="8" w:color="DADAE7"/>
              <w:bottom w:val="single" w:sz="8" w:color="DADAE7"/>
              <w:right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3.6</w:t>
            </w:r>
          </w:p>
        </w:tc>
        <w:tc>
          <w:tcPr>
            <w:tcW w:w="1700" w:type="dxa"/>
            <w:vAlign w:val="bottom"/>
            <w:tcBorders>
              <w:top w:val="single" w:sz="8" w:color="DADAE7"/>
              <w:bottom w:val="single" w:sz="8" w:color="DADAE7"/>
            </w:tcBorders>
          </w:tcPr>
          <w:p>
            <w:pPr>
              <w:jc w:val="right"/>
              <w:ind w:right="425"/>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DADAE7"/>
              <w:bottom w:val="single" w:sz="8" w:color="DADAE7"/>
            </w:tcBorders>
          </w:tcPr>
          <w:p>
            <w:pPr>
              <w:jc w:val="right"/>
              <w:spacing w:after="0"/>
              <w:rPr>
                <w:sz w:val="20"/>
                <w:szCs w:val="20"/>
                <w:color w:val="auto"/>
              </w:rPr>
            </w:pPr>
            <w:r>
              <w:rPr>
                <w:rFonts w:ascii="Arial" w:cs="Arial" w:eastAsia="Arial" w:hAnsi="Arial"/>
                <w:sz w:val="15"/>
                <w:szCs w:val="15"/>
                <w:color w:val="auto"/>
              </w:rPr>
              <w:t>n.m.</w:t>
            </w:r>
            <w:r>
              <w:rPr>
                <w:rFonts w:ascii="Arial" w:cs="Arial" w:eastAsia="Arial" w:hAnsi="Arial"/>
                <w:sz w:val="19"/>
                <w:szCs w:val="19"/>
                <w:color w:val="auto"/>
                <w:vertAlign w:val="superscript"/>
              </w:rPr>
              <w:t>2</w:t>
            </w:r>
          </w:p>
        </w:tc>
        <w:tc>
          <w:tcPr>
            <w:tcW w:w="0" w:type="dxa"/>
            <w:vAlign w:val="bottom"/>
          </w:tcPr>
          <w:p>
            <w:pPr>
              <w:spacing w:after="0"/>
              <w:rPr>
                <w:sz w:val="1"/>
                <w:szCs w:val="1"/>
                <w:color w:val="auto"/>
              </w:rPr>
            </w:pPr>
          </w:p>
        </w:tc>
      </w:tr>
      <w:tr>
        <w:trPr>
          <w:trHeight w:val="237"/>
        </w:trPr>
        <w:tc>
          <w:tcPr>
            <w:tcW w:w="3440" w:type="dxa"/>
            <w:vAlign w:val="bottom"/>
          </w:tcPr>
          <w:p>
            <w:pPr>
              <w:ind w:left="20"/>
              <w:spacing w:after="0"/>
              <w:rPr>
                <w:sz w:val="20"/>
                <w:szCs w:val="20"/>
                <w:color w:val="auto"/>
              </w:rPr>
            </w:pPr>
            <w:r>
              <w:rPr>
                <w:rFonts w:ascii="Arial" w:cs="Arial" w:eastAsia="Arial" w:hAnsi="Arial"/>
                <w:sz w:val="15"/>
                <w:szCs w:val="15"/>
                <w:color w:val="auto"/>
              </w:rPr>
              <w:t>Other income</w:t>
            </w:r>
          </w:p>
        </w:tc>
        <w:tc>
          <w:tcPr>
            <w:tcW w:w="1120" w:type="dxa"/>
            <w:vAlign w:val="bottom"/>
            <w:tcBorders>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2.6</w:t>
            </w:r>
          </w:p>
        </w:tc>
        <w:tc>
          <w:tcPr>
            <w:tcW w:w="1740" w:type="dxa"/>
            <w:vAlign w:val="bottom"/>
          </w:tcPr>
          <w:p>
            <w:pPr>
              <w:jc w:val="right"/>
              <w:ind w:right="465"/>
              <w:spacing w:after="0"/>
              <w:rPr>
                <w:sz w:val="20"/>
                <w:szCs w:val="20"/>
                <w:color w:val="auto"/>
              </w:rPr>
            </w:pPr>
            <w:r>
              <w:rPr>
                <w:rFonts w:ascii="Arial" w:cs="Arial" w:eastAsia="Arial" w:hAnsi="Arial"/>
                <w:sz w:val="15"/>
                <w:szCs w:val="15"/>
                <w:color w:val="auto"/>
              </w:rPr>
              <w:t>0.4</w:t>
            </w: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550%</w:t>
            </w:r>
          </w:p>
        </w:tc>
        <w:tc>
          <w:tcPr>
            <w:tcW w:w="1120" w:type="dxa"/>
            <w:vAlign w:val="bottom"/>
            <w:tcBorders>
              <w:bottom w:val="single" w:sz="8" w:color="F4EFF6"/>
              <w:right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3.3</w:t>
            </w:r>
          </w:p>
        </w:tc>
        <w:tc>
          <w:tcPr>
            <w:tcW w:w="1700" w:type="dxa"/>
            <w:vAlign w:val="bottom"/>
          </w:tcPr>
          <w:p>
            <w:pPr>
              <w:jc w:val="right"/>
              <w:ind w:right="425"/>
              <w:spacing w:after="0"/>
              <w:rPr>
                <w:sz w:val="20"/>
                <w:szCs w:val="20"/>
                <w:color w:val="auto"/>
              </w:rPr>
            </w:pPr>
            <w:r>
              <w:rPr>
                <w:rFonts w:ascii="Arial" w:cs="Arial" w:eastAsia="Arial" w:hAnsi="Arial"/>
                <w:sz w:val="15"/>
                <w:szCs w:val="15"/>
                <w:color w:val="auto"/>
              </w:rPr>
              <w:t>0.5</w:t>
            </w:r>
          </w:p>
        </w:tc>
        <w:tc>
          <w:tcPr>
            <w:tcW w:w="960" w:type="dxa"/>
            <w:vAlign w:val="bottom"/>
          </w:tcPr>
          <w:p>
            <w:pPr>
              <w:jc w:val="right"/>
              <w:spacing w:after="0"/>
              <w:rPr>
                <w:sz w:val="20"/>
                <w:szCs w:val="20"/>
                <w:color w:val="auto"/>
              </w:rPr>
            </w:pPr>
            <w:r>
              <w:rPr>
                <w:rFonts w:ascii="Arial" w:cs="Arial" w:eastAsia="Arial" w:hAnsi="Arial"/>
                <w:sz w:val="15"/>
                <w:szCs w:val="15"/>
                <w:color w:val="auto"/>
              </w:rPr>
              <w:t>560%</w:t>
            </w:r>
          </w:p>
        </w:tc>
        <w:tc>
          <w:tcPr>
            <w:tcW w:w="0" w:type="dxa"/>
            <w:vAlign w:val="bottom"/>
          </w:tcPr>
          <w:p>
            <w:pPr>
              <w:spacing w:after="0"/>
              <w:rPr>
                <w:sz w:val="1"/>
                <w:szCs w:val="1"/>
                <w:color w:val="auto"/>
              </w:rPr>
            </w:pPr>
          </w:p>
        </w:tc>
      </w:tr>
      <w:tr>
        <w:trPr>
          <w:trHeight w:val="237"/>
        </w:trPr>
        <w:tc>
          <w:tcPr>
            <w:tcW w:w="344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Profit Before Tax</w:t>
            </w:r>
          </w:p>
        </w:tc>
        <w:tc>
          <w:tcPr>
            <w:tcW w:w="112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103.6</w:t>
            </w:r>
          </w:p>
        </w:tc>
        <w:tc>
          <w:tcPr>
            <w:tcW w:w="1740" w:type="dxa"/>
            <w:vAlign w:val="bottom"/>
            <w:tcBorders>
              <w:top w:val="single" w:sz="8" w:color="793690"/>
            </w:tcBorders>
          </w:tcPr>
          <w:p>
            <w:pPr>
              <w:jc w:val="right"/>
              <w:ind w:right="465"/>
              <w:spacing w:after="0"/>
              <w:rPr>
                <w:sz w:val="20"/>
                <w:szCs w:val="20"/>
                <w:color w:val="auto"/>
              </w:rPr>
            </w:pPr>
            <w:r>
              <w:rPr>
                <w:rFonts w:ascii="Arial" w:cs="Arial" w:eastAsia="Arial" w:hAnsi="Arial"/>
                <w:sz w:val="15"/>
                <w:szCs w:val="15"/>
                <w:color w:val="auto"/>
              </w:rPr>
              <w:t>80.1</w:t>
            </w:r>
          </w:p>
        </w:tc>
        <w:tc>
          <w:tcPr>
            <w:tcW w:w="1140" w:type="dxa"/>
            <w:vAlign w:val="bottom"/>
            <w:tcBorders>
              <w:top w:val="single" w:sz="8" w:color="793690"/>
            </w:tcBorders>
          </w:tcPr>
          <w:p>
            <w:pPr>
              <w:jc w:val="right"/>
              <w:ind w:right="104"/>
              <w:spacing w:after="0"/>
              <w:rPr>
                <w:sz w:val="20"/>
                <w:szCs w:val="20"/>
                <w:color w:val="auto"/>
              </w:rPr>
            </w:pPr>
            <w:r>
              <w:rPr>
                <w:rFonts w:ascii="Arial" w:cs="Arial" w:eastAsia="Arial" w:hAnsi="Arial"/>
                <w:sz w:val="15"/>
                <w:szCs w:val="15"/>
                <w:color w:val="auto"/>
              </w:rPr>
              <w:t>29%</w:t>
            </w:r>
          </w:p>
        </w:tc>
        <w:tc>
          <w:tcPr>
            <w:tcW w:w="1120" w:type="dxa"/>
            <w:vAlign w:val="bottom"/>
            <w:tcBorders>
              <w:top w:val="single" w:sz="8" w:color="793690"/>
              <w:bottom w:val="single" w:sz="8" w:color="F4EFF6"/>
              <w:right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201.6</w:t>
            </w:r>
          </w:p>
        </w:tc>
        <w:tc>
          <w:tcPr>
            <w:tcW w:w="1700" w:type="dxa"/>
            <w:vAlign w:val="bottom"/>
            <w:tcBorders>
              <w:top w:val="single" w:sz="8" w:color="793690"/>
            </w:tcBorders>
          </w:tcPr>
          <w:p>
            <w:pPr>
              <w:jc w:val="right"/>
              <w:ind w:right="425"/>
              <w:spacing w:after="0"/>
              <w:rPr>
                <w:sz w:val="20"/>
                <w:szCs w:val="20"/>
                <w:color w:val="auto"/>
              </w:rPr>
            </w:pPr>
            <w:r>
              <w:rPr>
                <w:rFonts w:ascii="Arial" w:cs="Arial" w:eastAsia="Arial" w:hAnsi="Arial"/>
                <w:sz w:val="15"/>
                <w:szCs w:val="15"/>
                <w:color w:val="auto"/>
              </w:rPr>
              <w:t>139.0</w:t>
            </w:r>
          </w:p>
        </w:tc>
        <w:tc>
          <w:tcPr>
            <w:tcW w:w="96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37"/>
        </w:trPr>
        <w:tc>
          <w:tcPr>
            <w:tcW w:w="34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Tax</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(26.9)</w:t>
            </w:r>
          </w:p>
        </w:tc>
        <w:tc>
          <w:tcPr>
            <w:tcW w:w="1740" w:type="dxa"/>
            <w:vAlign w:val="bottom"/>
            <w:tcBorders>
              <w:top w:val="single" w:sz="8" w:color="DADAE7"/>
            </w:tcBorders>
          </w:tcPr>
          <w:p>
            <w:pPr>
              <w:jc w:val="right"/>
              <w:ind w:right="425"/>
              <w:spacing w:after="0"/>
              <w:rPr>
                <w:sz w:val="20"/>
                <w:szCs w:val="20"/>
                <w:color w:val="auto"/>
              </w:rPr>
            </w:pPr>
            <w:r>
              <w:rPr>
                <w:rFonts w:ascii="Arial" w:cs="Arial" w:eastAsia="Arial" w:hAnsi="Arial"/>
                <w:sz w:val="15"/>
                <w:szCs w:val="15"/>
                <w:color w:val="auto"/>
              </w:rPr>
              <w:t>(20.8)</w:t>
            </w:r>
          </w:p>
        </w:tc>
        <w:tc>
          <w:tcPr>
            <w:tcW w:w="1140" w:type="dxa"/>
            <w:vAlign w:val="bottom"/>
            <w:tcBorders>
              <w:top w:val="single" w:sz="8" w:color="DADAE7"/>
            </w:tcBorders>
          </w:tcPr>
          <w:p>
            <w:pPr>
              <w:jc w:val="right"/>
              <w:ind w:right="104"/>
              <w:spacing w:after="0"/>
              <w:rPr>
                <w:sz w:val="20"/>
                <w:szCs w:val="20"/>
                <w:color w:val="auto"/>
              </w:rPr>
            </w:pPr>
            <w:r>
              <w:rPr>
                <w:rFonts w:ascii="Arial" w:cs="Arial" w:eastAsia="Arial" w:hAnsi="Arial"/>
                <w:sz w:val="15"/>
                <w:szCs w:val="15"/>
                <w:color w:val="auto"/>
              </w:rPr>
              <w:t>29%</w:t>
            </w:r>
          </w:p>
        </w:tc>
        <w:tc>
          <w:tcPr>
            <w:tcW w:w="1120" w:type="dxa"/>
            <w:vAlign w:val="bottom"/>
            <w:tcBorders>
              <w:top w:val="single" w:sz="8" w:color="DADAE7"/>
              <w:bottom w:val="single" w:sz="8" w:color="F4EFF6"/>
              <w:right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(52.4)</w:t>
            </w:r>
          </w:p>
        </w:tc>
        <w:tc>
          <w:tcPr>
            <w:tcW w:w="1700" w:type="dxa"/>
            <w:vAlign w:val="bottom"/>
            <w:tcBorders>
              <w:top w:val="single" w:sz="8" w:color="DADAE7"/>
            </w:tcBorders>
          </w:tcPr>
          <w:p>
            <w:pPr>
              <w:jc w:val="right"/>
              <w:ind w:right="385"/>
              <w:spacing w:after="0"/>
              <w:rPr>
                <w:sz w:val="20"/>
                <w:szCs w:val="20"/>
                <w:color w:val="auto"/>
              </w:rPr>
            </w:pPr>
            <w:r>
              <w:rPr>
                <w:rFonts w:ascii="Arial" w:cs="Arial" w:eastAsia="Arial" w:hAnsi="Arial"/>
                <w:sz w:val="15"/>
                <w:szCs w:val="15"/>
                <w:color w:val="auto"/>
              </w:rPr>
              <w:t>(36.1)</w:t>
            </w:r>
          </w:p>
        </w:tc>
        <w:tc>
          <w:tcPr>
            <w:tcW w:w="9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36"/>
        </w:trPr>
        <w:tc>
          <w:tcPr>
            <w:tcW w:w="344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Profit After Tax</w:t>
            </w:r>
          </w:p>
        </w:tc>
        <w:tc>
          <w:tcPr>
            <w:tcW w:w="112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76.7</w:t>
            </w:r>
          </w:p>
        </w:tc>
        <w:tc>
          <w:tcPr>
            <w:tcW w:w="1740" w:type="dxa"/>
            <w:vAlign w:val="bottom"/>
            <w:tcBorders>
              <w:top w:val="single" w:sz="8" w:color="793690"/>
            </w:tcBorders>
          </w:tcPr>
          <w:p>
            <w:pPr>
              <w:jc w:val="right"/>
              <w:ind w:right="465"/>
              <w:spacing w:after="0"/>
              <w:rPr>
                <w:sz w:val="20"/>
                <w:szCs w:val="20"/>
                <w:color w:val="auto"/>
              </w:rPr>
            </w:pPr>
            <w:r>
              <w:rPr>
                <w:rFonts w:ascii="Arial" w:cs="Arial" w:eastAsia="Arial" w:hAnsi="Arial"/>
                <w:sz w:val="15"/>
                <w:szCs w:val="15"/>
                <w:color w:val="auto"/>
              </w:rPr>
              <w:t>59.3</w:t>
            </w:r>
          </w:p>
        </w:tc>
        <w:tc>
          <w:tcPr>
            <w:tcW w:w="1140" w:type="dxa"/>
            <w:vAlign w:val="bottom"/>
            <w:tcBorders>
              <w:top w:val="single" w:sz="8" w:color="793690"/>
            </w:tcBorders>
          </w:tcPr>
          <w:p>
            <w:pPr>
              <w:jc w:val="right"/>
              <w:ind w:right="104"/>
              <w:spacing w:after="0"/>
              <w:rPr>
                <w:sz w:val="20"/>
                <w:szCs w:val="20"/>
                <w:color w:val="auto"/>
              </w:rPr>
            </w:pPr>
            <w:r>
              <w:rPr>
                <w:rFonts w:ascii="Arial" w:cs="Arial" w:eastAsia="Arial" w:hAnsi="Arial"/>
                <w:sz w:val="15"/>
                <w:szCs w:val="15"/>
                <w:color w:val="auto"/>
              </w:rPr>
              <w:t>29%</w:t>
            </w:r>
          </w:p>
        </w:tc>
        <w:tc>
          <w:tcPr>
            <w:tcW w:w="1120" w:type="dxa"/>
            <w:vAlign w:val="bottom"/>
            <w:tcBorders>
              <w:top w:val="single" w:sz="8" w:color="793690"/>
              <w:bottom w:val="single" w:sz="8" w:color="F4EFF6"/>
              <w:right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149.2</w:t>
            </w:r>
          </w:p>
        </w:tc>
        <w:tc>
          <w:tcPr>
            <w:tcW w:w="1700" w:type="dxa"/>
            <w:vAlign w:val="bottom"/>
            <w:tcBorders>
              <w:top w:val="single" w:sz="8" w:color="793690"/>
            </w:tcBorders>
          </w:tcPr>
          <w:p>
            <w:pPr>
              <w:jc w:val="right"/>
              <w:ind w:right="425"/>
              <w:spacing w:after="0"/>
              <w:rPr>
                <w:sz w:val="20"/>
                <w:szCs w:val="20"/>
                <w:color w:val="auto"/>
              </w:rPr>
            </w:pPr>
            <w:r>
              <w:rPr>
                <w:rFonts w:ascii="Arial" w:cs="Arial" w:eastAsia="Arial" w:hAnsi="Arial"/>
                <w:sz w:val="15"/>
                <w:szCs w:val="15"/>
                <w:color w:val="auto"/>
              </w:rPr>
              <w:t>102.9</w:t>
            </w:r>
          </w:p>
        </w:tc>
        <w:tc>
          <w:tcPr>
            <w:tcW w:w="96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77"/>
        </w:trPr>
        <w:tc>
          <w:tcPr>
            <w:tcW w:w="3440" w:type="dxa"/>
            <w:vAlign w:val="bottom"/>
            <w:tcBorders>
              <w:top w:val="single" w:sz="8" w:color="DADAE7"/>
              <w:bottom w:val="single" w:sz="8" w:color="DADAE7"/>
            </w:tcBorders>
          </w:tcPr>
          <w:p>
            <w:pPr>
              <w:ind w:left="20"/>
              <w:spacing w:after="0"/>
              <w:rPr>
                <w:sz w:val="20"/>
                <w:szCs w:val="20"/>
                <w:color w:val="auto"/>
              </w:rPr>
            </w:pPr>
            <w:r>
              <w:rPr>
                <w:rFonts w:ascii="Arial" w:cs="Arial" w:eastAsia="Arial" w:hAnsi="Arial"/>
                <w:sz w:val="15"/>
                <w:szCs w:val="15"/>
                <w:b w:val="1"/>
                <w:bCs w:val="1"/>
                <w:color w:val="auto"/>
              </w:rPr>
              <w:t>Reconciliation to Adjusted Profit Before Tax:</w:t>
            </w:r>
            <w:r>
              <w:rPr>
                <w:rFonts w:ascii="Arial" w:cs="Arial" w:eastAsia="Arial" w:hAnsi="Arial"/>
                <w:sz w:val="19"/>
                <w:szCs w:val="19"/>
                <w:b w:val="1"/>
                <w:bCs w:val="1"/>
                <w:color w:val="auto"/>
                <w:vertAlign w:val="superscript"/>
              </w:rPr>
              <w:t>1</w:t>
            </w:r>
          </w:p>
        </w:tc>
        <w:tc>
          <w:tcPr>
            <w:tcW w:w="1120" w:type="dxa"/>
            <w:vAlign w:val="bottom"/>
            <w:tcBorders>
              <w:top w:val="single" w:sz="8" w:color="DADAE7"/>
              <w:bottom w:val="single" w:sz="8" w:color="DADAE7"/>
            </w:tcBorders>
            <w:shd w:val="clear" w:color="auto" w:fill="F4EFF6"/>
          </w:tcPr>
          <w:p>
            <w:pPr>
              <w:spacing w:after="0"/>
              <w:rPr>
                <w:sz w:val="24"/>
                <w:szCs w:val="24"/>
                <w:color w:val="auto"/>
              </w:rPr>
            </w:pPr>
          </w:p>
        </w:tc>
        <w:tc>
          <w:tcPr>
            <w:tcW w:w="1740" w:type="dxa"/>
            <w:vAlign w:val="bottom"/>
            <w:tcBorders>
              <w:top w:val="single" w:sz="8" w:color="DADAE7"/>
              <w:bottom w:val="single" w:sz="8" w:color="DADAE7"/>
            </w:tcBorders>
          </w:tcPr>
          <w:p>
            <w:pPr>
              <w:spacing w:after="0"/>
              <w:rPr>
                <w:sz w:val="24"/>
                <w:szCs w:val="24"/>
                <w:color w:val="auto"/>
              </w:rPr>
            </w:pPr>
          </w:p>
        </w:tc>
        <w:tc>
          <w:tcPr>
            <w:tcW w:w="1140" w:type="dxa"/>
            <w:vAlign w:val="bottom"/>
            <w:tcBorders>
              <w:top w:val="single" w:sz="8" w:color="DADAE7"/>
              <w:bottom w:val="single" w:sz="8" w:color="DADAE7"/>
            </w:tcBorders>
          </w:tcPr>
          <w:p>
            <w:pPr>
              <w:spacing w:after="0"/>
              <w:rPr>
                <w:sz w:val="24"/>
                <w:szCs w:val="24"/>
                <w:color w:val="auto"/>
              </w:rPr>
            </w:pPr>
          </w:p>
        </w:tc>
        <w:tc>
          <w:tcPr>
            <w:tcW w:w="1120" w:type="dxa"/>
            <w:vAlign w:val="bottom"/>
            <w:tcBorders>
              <w:top w:val="single" w:sz="8" w:color="DADAE7"/>
              <w:bottom w:val="single" w:sz="8" w:color="DADAE7"/>
              <w:right w:val="single" w:sz="8" w:color="F4EFF6"/>
            </w:tcBorders>
            <w:shd w:val="clear" w:color="auto" w:fill="F4EFF6"/>
          </w:tcPr>
          <w:p>
            <w:pPr>
              <w:spacing w:after="0"/>
              <w:rPr>
                <w:sz w:val="24"/>
                <w:szCs w:val="24"/>
                <w:color w:val="auto"/>
              </w:rPr>
            </w:pPr>
          </w:p>
        </w:tc>
        <w:tc>
          <w:tcPr>
            <w:tcW w:w="1700" w:type="dxa"/>
            <w:vAlign w:val="bottom"/>
            <w:tcBorders>
              <w:top w:val="single" w:sz="8" w:color="DADAE7"/>
              <w:bottom w:val="single" w:sz="8" w:color="DADAE7"/>
            </w:tcBorders>
          </w:tcPr>
          <w:p>
            <w:pPr>
              <w:spacing w:after="0"/>
              <w:rPr>
                <w:sz w:val="24"/>
                <w:szCs w:val="24"/>
                <w:color w:val="auto"/>
              </w:rPr>
            </w:pPr>
          </w:p>
        </w:tc>
        <w:tc>
          <w:tcPr>
            <w:tcW w:w="960" w:type="dxa"/>
            <w:vAlign w:val="bottom"/>
            <w:tcBorders>
              <w:top w:val="single" w:sz="8" w:color="DADAE7"/>
              <w:bottom w:val="single" w:sz="8" w:color="DADAE7"/>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440" w:type="dxa"/>
            <w:vAlign w:val="bottom"/>
          </w:tcPr>
          <w:p>
            <w:pPr>
              <w:ind w:left="20"/>
              <w:spacing w:after="0"/>
              <w:rPr>
                <w:sz w:val="20"/>
                <w:szCs w:val="20"/>
                <w:color w:val="auto"/>
              </w:rPr>
            </w:pPr>
            <w:r>
              <w:rPr>
                <w:rFonts w:ascii="Arial" w:cs="Arial" w:eastAsia="Arial" w:hAnsi="Arial"/>
                <w:sz w:val="15"/>
                <w:szCs w:val="15"/>
                <w:b w:val="1"/>
                <w:bCs w:val="1"/>
                <w:color w:val="auto"/>
              </w:rPr>
              <w:t>Profit Before Tax</w:t>
            </w:r>
          </w:p>
        </w:tc>
        <w:tc>
          <w:tcPr>
            <w:tcW w:w="1120" w:type="dxa"/>
            <w:vAlign w:val="bottom"/>
            <w:tcBorders>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103.6</w:t>
            </w:r>
          </w:p>
        </w:tc>
        <w:tc>
          <w:tcPr>
            <w:tcW w:w="1740" w:type="dxa"/>
            <w:vAlign w:val="bottom"/>
          </w:tcPr>
          <w:p>
            <w:pPr>
              <w:jc w:val="right"/>
              <w:ind w:right="465"/>
              <w:spacing w:after="0"/>
              <w:rPr>
                <w:sz w:val="20"/>
                <w:szCs w:val="20"/>
                <w:color w:val="auto"/>
              </w:rPr>
            </w:pPr>
            <w:r>
              <w:rPr>
                <w:rFonts w:ascii="Arial" w:cs="Arial" w:eastAsia="Arial" w:hAnsi="Arial"/>
                <w:sz w:val="15"/>
                <w:szCs w:val="15"/>
                <w:color w:val="auto"/>
              </w:rPr>
              <w:t>80.1</w:t>
            </w: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29%</w:t>
            </w:r>
          </w:p>
        </w:tc>
        <w:tc>
          <w:tcPr>
            <w:tcW w:w="1120" w:type="dxa"/>
            <w:vAlign w:val="bottom"/>
            <w:tcBorders>
              <w:bottom w:val="single" w:sz="8" w:color="F4EFF6"/>
              <w:right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201.6</w:t>
            </w:r>
          </w:p>
        </w:tc>
        <w:tc>
          <w:tcPr>
            <w:tcW w:w="1700" w:type="dxa"/>
            <w:vAlign w:val="bottom"/>
          </w:tcPr>
          <w:p>
            <w:pPr>
              <w:jc w:val="right"/>
              <w:ind w:right="425"/>
              <w:spacing w:after="0"/>
              <w:rPr>
                <w:sz w:val="20"/>
                <w:szCs w:val="20"/>
                <w:color w:val="auto"/>
              </w:rPr>
            </w:pPr>
            <w:r>
              <w:rPr>
                <w:rFonts w:ascii="Arial" w:cs="Arial" w:eastAsia="Arial" w:hAnsi="Arial"/>
                <w:sz w:val="15"/>
                <w:szCs w:val="15"/>
                <w:color w:val="auto"/>
              </w:rPr>
              <w:t>139.0</w:t>
            </w:r>
          </w:p>
        </w:tc>
        <w:tc>
          <w:tcPr>
            <w:tcW w:w="960" w:type="dxa"/>
            <w:vAlign w:val="bottom"/>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37"/>
        </w:trPr>
        <w:tc>
          <w:tcPr>
            <w:tcW w:w="3440" w:type="dxa"/>
            <w:vAlign w:val="bottom"/>
            <w:tcBorders>
              <w:top w:val="single" w:sz="8" w:color="793690"/>
              <w:bottom w:val="single" w:sz="8" w:color="DADAE7"/>
            </w:tcBorders>
          </w:tcPr>
          <w:p>
            <w:pPr>
              <w:ind w:left="20"/>
              <w:spacing w:after="0"/>
              <w:rPr>
                <w:sz w:val="20"/>
                <w:szCs w:val="20"/>
                <w:color w:val="auto"/>
              </w:rPr>
            </w:pPr>
            <w:r>
              <w:rPr>
                <w:rFonts w:ascii="Arial" w:cs="Arial" w:eastAsia="Arial" w:hAnsi="Arial"/>
                <w:sz w:val="15"/>
                <w:szCs w:val="15"/>
                <w:color w:val="auto"/>
              </w:rPr>
              <w:t>Bargain purchase gain</w:t>
            </w:r>
          </w:p>
        </w:tc>
        <w:tc>
          <w:tcPr>
            <w:tcW w:w="1120" w:type="dxa"/>
            <w:vAlign w:val="bottom"/>
            <w:tcBorders>
              <w:top w:val="single" w:sz="8" w:color="793690"/>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(0.2)</w:t>
            </w:r>
          </w:p>
        </w:tc>
        <w:tc>
          <w:tcPr>
            <w:tcW w:w="1740" w:type="dxa"/>
            <w:vAlign w:val="bottom"/>
            <w:tcBorders>
              <w:top w:val="single" w:sz="8" w:color="793690"/>
              <w:bottom w:val="single" w:sz="8" w:color="DADAE7"/>
            </w:tcBorders>
          </w:tcPr>
          <w:p>
            <w:pPr>
              <w:jc w:val="right"/>
              <w:ind w:right="465"/>
              <w:spacing w:after="0"/>
              <w:rPr>
                <w:sz w:val="20"/>
                <w:szCs w:val="20"/>
                <w:color w:val="auto"/>
              </w:rPr>
            </w:pPr>
            <w:r>
              <w:rPr>
                <w:rFonts w:ascii="Arial" w:cs="Arial" w:eastAsia="Arial" w:hAnsi="Arial"/>
                <w:sz w:val="15"/>
                <w:szCs w:val="15"/>
                <w:color w:val="auto"/>
              </w:rPr>
              <w:t>—</w:t>
            </w:r>
          </w:p>
        </w:tc>
        <w:tc>
          <w:tcPr>
            <w:tcW w:w="1140" w:type="dxa"/>
            <w:vAlign w:val="bottom"/>
            <w:tcBorders>
              <w:top w:val="single" w:sz="8" w:color="793690"/>
              <w:bottom w:val="single" w:sz="8" w:color="DADAE7"/>
            </w:tcBorders>
          </w:tcPr>
          <w:p>
            <w:pPr>
              <w:jc w:val="right"/>
              <w:ind w:right="104"/>
              <w:spacing w:after="0"/>
              <w:rPr>
                <w:sz w:val="20"/>
                <w:szCs w:val="20"/>
                <w:color w:val="auto"/>
              </w:rPr>
            </w:pPr>
            <w:r>
              <w:rPr>
                <w:rFonts w:ascii="Arial" w:cs="Arial" w:eastAsia="Arial" w:hAnsi="Arial"/>
                <w:sz w:val="15"/>
                <w:szCs w:val="15"/>
                <w:color w:val="auto"/>
              </w:rPr>
              <w:t>n.m.</w:t>
            </w:r>
            <w:r>
              <w:rPr>
                <w:rFonts w:ascii="Arial" w:cs="Arial" w:eastAsia="Arial" w:hAnsi="Arial"/>
                <w:sz w:val="19"/>
                <w:szCs w:val="19"/>
                <w:color w:val="auto"/>
                <w:vertAlign w:val="superscript"/>
              </w:rPr>
              <w:t>2</w:t>
            </w:r>
          </w:p>
        </w:tc>
        <w:tc>
          <w:tcPr>
            <w:tcW w:w="1120" w:type="dxa"/>
            <w:vAlign w:val="bottom"/>
            <w:tcBorders>
              <w:top w:val="single" w:sz="8" w:color="793690"/>
              <w:bottom w:val="single" w:sz="8" w:color="DADAE7"/>
              <w:right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(3.6)</w:t>
            </w:r>
          </w:p>
        </w:tc>
        <w:tc>
          <w:tcPr>
            <w:tcW w:w="1700" w:type="dxa"/>
            <w:vAlign w:val="bottom"/>
            <w:tcBorders>
              <w:top w:val="single" w:sz="8" w:color="793690"/>
              <w:bottom w:val="single" w:sz="8" w:color="DADAE7"/>
            </w:tcBorders>
          </w:tcPr>
          <w:p>
            <w:pPr>
              <w:jc w:val="right"/>
              <w:ind w:right="425"/>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793690"/>
              <w:bottom w:val="single" w:sz="8" w:color="DADAE7"/>
            </w:tcBorders>
          </w:tcPr>
          <w:p>
            <w:pPr>
              <w:jc w:val="right"/>
              <w:spacing w:after="0"/>
              <w:rPr>
                <w:sz w:val="20"/>
                <w:szCs w:val="20"/>
                <w:color w:val="auto"/>
              </w:rPr>
            </w:pPr>
            <w:r>
              <w:rPr>
                <w:rFonts w:ascii="Arial" w:cs="Arial" w:eastAsia="Arial" w:hAnsi="Arial"/>
                <w:sz w:val="15"/>
                <w:szCs w:val="15"/>
                <w:color w:val="auto"/>
              </w:rPr>
              <w:t>n.m.</w:t>
            </w:r>
            <w:r>
              <w:rPr>
                <w:rFonts w:ascii="Arial" w:cs="Arial" w:eastAsia="Arial" w:hAnsi="Arial"/>
                <w:sz w:val="19"/>
                <w:szCs w:val="19"/>
                <w:color w:val="auto"/>
                <w:vertAlign w:val="superscript"/>
              </w:rPr>
              <w:t>2</w:t>
            </w:r>
          </w:p>
        </w:tc>
        <w:tc>
          <w:tcPr>
            <w:tcW w:w="0" w:type="dxa"/>
            <w:vAlign w:val="bottom"/>
          </w:tcPr>
          <w:p>
            <w:pPr>
              <w:spacing w:after="0"/>
              <w:rPr>
                <w:sz w:val="1"/>
                <w:szCs w:val="1"/>
                <w:color w:val="auto"/>
              </w:rPr>
            </w:pPr>
          </w:p>
        </w:tc>
      </w:tr>
      <w:tr>
        <w:trPr>
          <w:trHeight w:val="236"/>
        </w:trPr>
        <w:tc>
          <w:tcPr>
            <w:tcW w:w="344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Acquisition related costs</w:t>
            </w:r>
          </w:p>
        </w:tc>
        <w:tc>
          <w:tcPr>
            <w:tcW w:w="1120" w:type="dxa"/>
            <w:vAlign w:val="bottom"/>
            <w:tcBorders>
              <w:bottom w:val="single" w:sz="8" w:color="DADAE7"/>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w:t>
            </w:r>
          </w:p>
        </w:tc>
        <w:tc>
          <w:tcPr>
            <w:tcW w:w="1740" w:type="dxa"/>
            <w:vAlign w:val="bottom"/>
            <w:tcBorders>
              <w:bottom w:val="single" w:sz="8" w:color="DADAE7"/>
            </w:tcBorders>
          </w:tcPr>
          <w:p>
            <w:pPr>
              <w:jc w:val="right"/>
              <w:ind w:right="425"/>
              <w:spacing w:after="0"/>
              <w:rPr>
                <w:sz w:val="20"/>
                <w:szCs w:val="20"/>
                <w:color w:val="auto"/>
              </w:rPr>
            </w:pPr>
            <w:r>
              <w:rPr>
                <w:rFonts w:ascii="Arial" w:cs="Arial" w:eastAsia="Arial" w:hAnsi="Arial"/>
                <w:sz w:val="15"/>
                <w:szCs w:val="15"/>
                <w:color w:val="auto"/>
              </w:rPr>
              <w:t>(0.2)</w:t>
            </w:r>
          </w:p>
        </w:tc>
        <w:tc>
          <w:tcPr>
            <w:tcW w:w="1140" w:type="dxa"/>
            <w:vAlign w:val="bottom"/>
            <w:tcBorders>
              <w:bottom w:val="single" w:sz="8" w:color="DADAE7"/>
            </w:tcBorders>
          </w:tcPr>
          <w:p>
            <w:pPr>
              <w:jc w:val="right"/>
              <w:ind w:right="104"/>
              <w:spacing w:after="0"/>
              <w:rPr>
                <w:sz w:val="20"/>
                <w:szCs w:val="20"/>
                <w:color w:val="auto"/>
              </w:rPr>
            </w:pPr>
            <w:r>
              <w:rPr>
                <w:rFonts w:ascii="Arial" w:cs="Arial" w:eastAsia="Arial" w:hAnsi="Arial"/>
                <w:sz w:val="15"/>
                <w:szCs w:val="15"/>
                <w:color w:val="auto"/>
              </w:rPr>
              <w:t>n.m.</w:t>
            </w:r>
            <w:r>
              <w:rPr>
                <w:rFonts w:ascii="Arial" w:cs="Arial" w:eastAsia="Arial" w:hAnsi="Arial"/>
                <w:sz w:val="19"/>
                <w:szCs w:val="19"/>
                <w:color w:val="auto"/>
                <w:vertAlign w:val="superscript"/>
              </w:rPr>
              <w:t>2</w:t>
            </w:r>
          </w:p>
        </w:tc>
        <w:tc>
          <w:tcPr>
            <w:tcW w:w="1120" w:type="dxa"/>
            <w:vAlign w:val="bottom"/>
            <w:tcBorders>
              <w:bottom w:val="single" w:sz="8" w:color="DADAE7"/>
              <w:right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w:t>
            </w:r>
          </w:p>
        </w:tc>
        <w:tc>
          <w:tcPr>
            <w:tcW w:w="1700" w:type="dxa"/>
            <w:vAlign w:val="bottom"/>
            <w:tcBorders>
              <w:bottom w:val="single" w:sz="8" w:color="DADAE7"/>
            </w:tcBorders>
          </w:tcPr>
          <w:p>
            <w:pPr>
              <w:jc w:val="right"/>
              <w:ind w:right="425"/>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DADAE7"/>
            </w:tcBorders>
          </w:tcPr>
          <w:p>
            <w:pPr>
              <w:jc w:val="right"/>
              <w:spacing w:after="0"/>
              <w:rPr>
                <w:sz w:val="20"/>
                <w:szCs w:val="20"/>
                <w:color w:val="auto"/>
              </w:rPr>
            </w:pPr>
            <w:r>
              <w:rPr>
                <w:rFonts w:ascii="Arial" w:cs="Arial" w:eastAsia="Arial" w:hAnsi="Arial"/>
                <w:sz w:val="15"/>
                <w:szCs w:val="15"/>
                <w:color w:val="auto"/>
              </w:rPr>
              <w:t>n.m.</w:t>
            </w:r>
            <w:r>
              <w:rPr>
                <w:rFonts w:ascii="Arial" w:cs="Arial" w:eastAsia="Arial" w:hAnsi="Arial"/>
                <w:sz w:val="19"/>
                <w:szCs w:val="19"/>
                <w:color w:val="auto"/>
                <w:vertAlign w:val="superscript"/>
              </w:rPr>
              <w:t>2</w:t>
            </w:r>
          </w:p>
        </w:tc>
        <w:tc>
          <w:tcPr>
            <w:tcW w:w="0" w:type="dxa"/>
            <w:vAlign w:val="bottom"/>
          </w:tcPr>
          <w:p>
            <w:pPr>
              <w:spacing w:after="0"/>
              <w:rPr>
                <w:sz w:val="1"/>
                <w:szCs w:val="1"/>
                <w:color w:val="auto"/>
              </w:rPr>
            </w:pPr>
          </w:p>
        </w:tc>
      </w:tr>
      <w:tr>
        <w:trPr>
          <w:trHeight w:val="179"/>
        </w:trPr>
        <w:tc>
          <w:tcPr>
            <w:tcW w:w="3440" w:type="dxa"/>
            <w:vAlign w:val="bottom"/>
          </w:tcPr>
          <w:p>
            <w:pPr>
              <w:ind w:left="20"/>
              <w:spacing w:after="0"/>
              <w:rPr>
                <w:sz w:val="20"/>
                <w:szCs w:val="20"/>
                <w:color w:val="auto"/>
              </w:rPr>
            </w:pPr>
            <w:r>
              <w:rPr>
                <w:rFonts w:ascii="Arial" w:cs="Arial" w:eastAsia="Arial" w:hAnsi="Arial"/>
                <w:sz w:val="15"/>
                <w:szCs w:val="15"/>
                <w:color w:val="auto"/>
              </w:rPr>
              <w:t>Amortisation of acquired brands and customer</w:t>
            </w:r>
          </w:p>
        </w:tc>
        <w:tc>
          <w:tcPr>
            <w:tcW w:w="1120" w:type="dxa"/>
            <w:vAlign w:val="bottom"/>
            <w:vMerge w:val="restart"/>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1.7</w:t>
            </w:r>
          </w:p>
        </w:tc>
        <w:tc>
          <w:tcPr>
            <w:tcW w:w="1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Borders>
              <w:right w:val="single" w:sz="8" w:color="F4EFF6"/>
            </w:tcBorders>
            <w:vMerge w:val="restart"/>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3.0</w:t>
            </w:r>
          </w:p>
        </w:tc>
        <w:tc>
          <w:tcPr>
            <w:tcW w:w="1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440" w:type="dxa"/>
            <w:vAlign w:val="bottom"/>
          </w:tcPr>
          <w:p>
            <w:pPr>
              <w:ind w:left="20"/>
              <w:spacing w:after="0"/>
              <w:rPr>
                <w:sz w:val="20"/>
                <w:szCs w:val="20"/>
                <w:color w:val="auto"/>
              </w:rPr>
            </w:pPr>
            <w:r>
              <w:rPr>
                <w:rFonts w:ascii="Arial" w:cs="Arial" w:eastAsia="Arial" w:hAnsi="Arial"/>
                <w:sz w:val="15"/>
                <w:szCs w:val="15"/>
                <w:color w:val="auto"/>
              </w:rPr>
              <w:t>lists</w:t>
            </w:r>
          </w:p>
        </w:tc>
        <w:tc>
          <w:tcPr>
            <w:tcW w:w="1120" w:type="dxa"/>
            <w:vAlign w:val="bottom"/>
            <w:tcBorders>
              <w:bottom w:val="single" w:sz="8" w:color="F4EFF6"/>
            </w:tcBorders>
            <w:vMerge w:val="continue"/>
            <w:shd w:val="clear" w:color="auto" w:fill="F4EFF6"/>
          </w:tcPr>
          <w:p>
            <w:pPr>
              <w:spacing w:after="0"/>
              <w:rPr>
                <w:sz w:val="20"/>
                <w:szCs w:val="20"/>
                <w:color w:val="auto"/>
              </w:rPr>
            </w:pPr>
          </w:p>
        </w:tc>
        <w:tc>
          <w:tcPr>
            <w:tcW w:w="1740" w:type="dxa"/>
            <w:vAlign w:val="bottom"/>
          </w:tcPr>
          <w:p>
            <w:pPr>
              <w:jc w:val="right"/>
              <w:ind w:right="465"/>
              <w:spacing w:after="0"/>
              <w:rPr>
                <w:sz w:val="20"/>
                <w:szCs w:val="20"/>
                <w:color w:val="auto"/>
              </w:rPr>
            </w:pPr>
            <w:r>
              <w:rPr>
                <w:rFonts w:ascii="Arial" w:cs="Arial" w:eastAsia="Arial" w:hAnsi="Arial"/>
                <w:sz w:val="15"/>
                <w:szCs w:val="15"/>
                <w:color w:val="auto"/>
              </w:rPr>
              <w:t>1.8</w:t>
            </w: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(6%)</w:t>
            </w:r>
          </w:p>
        </w:tc>
        <w:tc>
          <w:tcPr>
            <w:tcW w:w="1120" w:type="dxa"/>
            <w:vAlign w:val="bottom"/>
            <w:tcBorders>
              <w:bottom w:val="single" w:sz="8" w:color="F4EFF6"/>
              <w:right w:val="single" w:sz="8" w:color="F4EFF6"/>
            </w:tcBorders>
            <w:vMerge w:val="continue"/>
            <w:shd w:val="clear" w:color="auto" w:fill="F4EFF6"/>
          </w:tcPr>
          <w:p>
            <w:pPr>
              <w:spacing w:after="0"/>
              <w:rPr>
                <w:sz w:val="20"/>
                <w:szCs w:val="20"/>
                <w:color w:val="auto"/>
              </w:rPr>
            </w:pPr>
          </w:p>
        </w:tc>
        <w:tc>
          <w:tcPr>
            <w:tcW w:w="1700" w:type="dxa"/>
            <w:vAlign w:val="bottom"/>
          </w:tcPr>
          <w:p>
            <w:pPr>
              <w:jc w:val="right"/>
              <w:ind w:right="425"/>
              <w:spacing w:after="0"/>
              <w:rPr>
                <w:sz w:val="20"/>
                <w:szCs w:val="20"/>
                <w:color w:val="auto"/>
              </w:rPr>
            </w:pPr>
            <w:r>
              <w:rPr>
                <w:rFonts w:ascii="Arial" w:cs="Arial" w:eastAsia="Arial" w:hAnsi="Arial"/>
                <w:sz w:val="15"/>
                <w:szCs w:val="15"/>
                <w:color w:val="auto"/>
              </w:rPr>
              <w:t>2.6</w:t>
            </w:r>
          </w:p>
        </w:tc>
        <w:tc>
          <w:tcPr>
            <w:tcW w:w="960" w:type="dxa"/>
            <w:vAlign w:val="bottom"/>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36"/>
        </w:trPr>
        <w:tc>
          <w:tcPr>
            <w:tcW w:w="3440" w:type="dxa"/>
            <w:vAlign w:val="bottom"/>
            <w:tcBorders>
              <w:top w:val="single" w:sz="8" w:color="DADAE7"/>
              <w:bottom w:val="single" w:sz="8" w:color="DADAE7"/>
            </w:tcBorders>
          </w:tcPr>
          <w:p>
            <w:pPr>
              <w:ind w:left="20"/>
              <w:spacing w:after="0"/>
              <w:rPr>
                <w:sz w:val="20"/>
                <w:szCs w:val="20"/>
                <w:color w:val="auto"/>
              </w:rPr>
            </w:pPr>
            <w:r>
              <w:rPr>
                <w:rFonts w:ascii="Arial" w:cs="Arial" w:eastAsia="Arial" w:hAnsi="Arial"/>
                <w:sz w:val="15"/>
                <w:szCs w:val="15"/>
                <w:color w:val="auto"/>
              </w:rPr>
              <w:t>Activities relating to shareholders</w:t>
            </w:r>
          </w:p>
        </w:tc>
        <w:tc>
          <w:tcPr>
            <w:tcW w:w="1120" w:type="dxa"/>
            <w:vAlign w:val="bottom"/>
            <w:tcBorders>
              <w:top w:val="single" w:sz="8" w:color="DADAE7"/>
              <w:bottom w:val="single" w:sz="8" w:color="DADAE7"/>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w:t>
            </w:r>
          </w:p>
        </w:tc>
        <w:tc>
          <w:tcPr>
            <w:tcW w:w="1740" w:type="dxa"/>
            <w:vAlign w:val="bottom"/>
            <w:tcBorders>
              <w:top w:val="single" w:sz="8" w:color="DADAE7"/>
              <w:bottom w:val="single" w:sz="8" w:color="DADAE7"/>
            </w:tcBorders>
          </w:tcPr>
          <w:p>
            <w:pPr>
              <w:jc w:val="right"/>
              <w:ind w:right="465"/>
              <w:spacing w:after="0"/>
              <w:rPr>
                <w:sz w:val="20"/>
                <w:szCs w:val="20"/>
                <w:color w:val="auto"/>
              </w:rPr>
            </w:pPr>
            <w:r>
              <w:rPr>
                <w:rFonts w:ascii="Arial" w:cs="Arial" w:eastAsia="Arial" w:hAnsi="Arial"/>
                <w:sz w:val="15"/>
                <w:szCs w:val="15"/>
                <w:color w:val="auto"/>
              </w:rPr>
              <w:t>—</w:t>
            </w:r>
          </w:p>
        </w:tc>
        <w:tc>
          <w:tcPr>
            <w:tcW w:w="1140" w:type="dxa"/>
            <w:vAlign w:val="bottom"/>
            <w:tcBorders>
              <w:top w:val="single" w:sz="8" w:color="DADAE7"/>
              <w:bottom w:val="single" w:sz="8" w:color="DADAE7"/>
            </w:tcBorders>
          </w:tcPr>
          <w:p>
            <w:pPr>
              <w:jc w:val="right"/>
              <w:ind w:right="104"/>
              <w:spacing w:after="0"/>
              <w:rPr>
                <w:sz w:val="20"/>
                <w:szCs w:val="20"/>
                <w:color w:val="auto"/>
              </w:rPr>
            </w:pPr>
            <w:r>
              <w:rPr>
                <w:rFonts w:ascii="Arial" w:cs="Arial" w:eastAsia="Arial" w:hAnsi="Arial"/>
                <w:sz w:val="15"/>
                <w:szCs w:val="15"/>
                <w:color w:val="auto"/>
              </w:rPr>
              <w:t>n.m.</w:t>
            </w:r>
            <w:r>
              <w:rPr>
                <w:rFonts w:ascii="Arial" w:cs="Arial" w:eastAsia="Arial" w:hAnsi="Arial"/>
                <w:sz w:val="19"/>
                <w:szCs w:val="19"/>
                <w:color w:val="auto"/>
                <w:vertAlign w:val="superscript"/>
              </w:rPr>
              <w:t>2</w:t>
            </w:r>
          </w:p>
        </w:tc>
        <w:tc>
          <w:tcPr>
            <w:tcW w:w="1120" w:type="dxa"/>
            <w:vAlign w:val="bottom"/>
            <w:tcBorders>
              <w:top w:val="single" w:sz="8" w:color="DADAE7"/>
              <w:bottom w:val="single" w:sz="8" w:color="DADAE7"/>
              <w:right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w:t>
            </w:r>
          </w:p>
        </w:tc>
        <w:tc>
          <w:tcPr>
            <w:tcW w:w="1700" w:type="dxa"/>
            <w:vAlign w:val="bottom"/>
            <w:tcBorders>
              <w:top w:val="single" w:sz="8" w:color="DADAE7"/>
              <w:bottom w:val="single" w:sz="8" w:color="DADAE7"/>
            </w:tcBorders>
          </w:tcPr>
          <w:p>
            <w:pPr>
              <w:jc w:val="right"/>
              <w:ind w:right="425"/>
              <w:spacing w:after="0"/>
              <w:rPr>
                <w:sz w:val="20"/>
                <w:szCs w:val="20"/>
                <w:color w:val="auto"/>
              </w:rPr>
            </w:pPr>
            <w:r>
              <w:rPr>
                <w:rFonts w:ascii="Arial" w:cs="Arial" w:eastAsia="Arial" w:hAnsi="Arial"/>
                <w:sz w:val="15"/>
                <w:szCs w:val="15"/>
                <w:color w:val="auto"/>
              </w:rPr>
              <w:t>2.4</w:t>
            </w:r>
          </w:p>
        </w:tc>
        <w:tc>
          <w:tcPr>
            <w:tcW w:w="960" w:type="dxa"/>
            <w:vAlign w:val="bottom"/>
            <w:tcBorders>
              <w:top w:val="single" w:sz="8" w:color="DADAE7"/>
              <w:bottom w:val="single" w:sz="8" w:color="DADAE7"/>
            </w:tcBorders>
          </w:tcPr>
          <w:p>
            <w:pPr>
              <w:jc w:val="right"/>
              <w:spacing w:after="0"/>
              <w:rPr>
                <w:sz w:val="20"/>
                <w:szCs w:val="20"/>
                <w:color w:val="auto"/>
              </w:rPr>
            </w:pPr>
            <w:r>
              <w:rPr>
                <w:rFonts w:ascii="Arial" w:cs="Arial" w:eastAsia="Arial" w:hAnsi="Arial"/>
                <w:sz w:val="15"/>
                <w:szCs w:val="15"/>
                <w:color w:val="auto"/>
              </w:rPr>
              <w:t>n.m.</w:t>
            </w:r>
            <w:r>
              <w:rPr>
                <w:rFonts w:ascii="Arial" w:cs="Arial" w:eastAsia="Arial" w:hAnsi="Arial"/>
                <w:sz w:val="19"/>
                <w:szCs w:val="19"/>
                <w:color w:val="auto"/>
                <w:vertAlign w:val="superscript"/>
              </w:rPr>
              <w:t>2</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Employer tax on vesting of the growth shares</w:t>
            </w:r>
          </w:p>
        </w:tc>
        <w:tc>
          <w:tcPr>
            <w:tcW w:w="1120" w:type="dxa"/>
            <w:vAlign w:val="bottom"/>
            <w:tcBorders>
              <w:bottom w:val="single" w:sz="8" w:color="DADAE7"/>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w:t>
            </w:r>
          </w:p>
        </w:tc>
        <w:tc>
          <w:tcPr>
            <w:tcW w:w="1740" w:type="dxa"/>
            <w:vAlign w:val="bottom"/>
            <w:tcBorders>
              <w:bottom w:val="single" w:sz="8" w:color="DADAE7"/>
            </w:tcBorders>
          </w:tcPr>
          <w:p>
            <w:pPr>
              <w:jc w:val="right"/>
              <w:ind w:right="465"/>
              <w:spacing w:after="0"/>
              <w:rPr>
                <w:sz w:val="20"/>
                <w:szCs w:val="20"/>
                <w:color w:val="auto"/>
              </w:rPr>
            </w:pPr>
            <w:r>
              <w:rPr>
                <w:rFonts w:ascii="Arial" w:cs="Arial" w:eastAsia="Arial" w:hAnsi="Arial"/>
                <w:sz w:val="15"/>
                <w:szCs w:val="15"/>
                <w:color w:val="auto"/>
              </w:rPr>
              <w:t>2.2</w:t>
            </w:r>
          </w:p>
        </w:tc>
        <w:tc>
          <w:tcPr>
            <w:tcW w:w="1140" w:type="dxa"/>
            <w:vAlign w:val="bottom"/>
            <w:tcBorders>
              <w:bottom w:val="single" w:sz="8" w:color="DADAE7"/>
            </w:tcBorders>
          </w:tcPr>
          <w:p>
            <w:pPr>
              <w:jc w:val="right"/>
              <w:ind w:right="104"/>
              <w:spacing w:after="0"/>
              <w:rPr>
                <w:sz w:val="20"/>
                <w:szCs w:val="20"/>
                <w:color w:val="auto"/>
              </w:rPr>
            </w:pPr>
            <w:r>
              <w:rPr>
                <w:rFonts w:ascii="Arial" w:cs="Arial" w:eastAsia="Arial" w:hAnsi="Arial"/>
                <w:sz w:val="15"/>
                <w:szCs w:val="15"/>
                <w:color w:val="auto"/>
              </w:rPr>
              <w:t>n.m.</w:t>
            </w:r>
            <w:r>
              <w:rPr>
                <w:rFonts w:ascii="Arial" w:cs="Arial" w:eastAsia="Arial" w:hAnsi="Arial"/>
                <w:sz w:val="19"/>
                <w:szCs w:val="19"/>
                <w:color w:val="auto"/>
                <w:vertAlign w:val="superscript"/>
              </w:rPr>
              <w:t>2</w:t>
            </w:r>
          </w:p>
        </w:tc>
        <w:tc>
          <w:tcPr>
            <w:tcW w:w="1120" w:type="dxa"/>
            <w:vAlign w:val="bottom"/>
            <w:tcBorders>
              <w:bottom w:val="single" w:sz="8" w:color="DADAE7"/>
              <w:right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w:t>
            </w:r>
          </w:p>
        </w:tc>
        <w:tc>
          <w:tcPr>
            <w:tcW w:w="1700" w:type="dxa"/>
            <w:vAlign w:val="bottom"/>
            <w:tcBorders>
              <w:bottom w:val="single" w:sz="8" w:color="DADAE7"/>
            </w:tcBorders>
          </w:tcPr>
          <w:p>
            <w:pPr>
              <w:jc w:val="right"/>
              <w:ind w:right="425"/>
              <w:spacing w:after="0"/>
              <w:rPr>
                <w:sz w:val="20"/>
                <w:szCs w:val="20"/>
                <w:color w:val="auto"/>
              </w:rPr>
            </w:pPr>
            <w:r>
              <w:rPr>
                <w:rFonts w:ascii="Arial" w:cs="Arial" w:eastAsia="Arial" w:hAnsi="Arial"/>
                <w:sz w:val="15"/>
                <w:szCs w:val="15"/>
                <w:color w:val="auto"/>
              </w:rPr>
              <w:t>2.2</w:t>
            </w:r>
          </w:p>
        </w:tc>
        <w:tc>
          <w:tcPr>
            <w:tcW w:w="960" w:type="dxa"/>
            <w:vAlign w:val="bottom"/>
            <w:tcBorders>
              <w:bottom w:val="single" w:sz="8" w:color="DADAE7"/>
            </w:tcBorders>
          </w:tcPr>
          <w:p>
            <w:pPr>
              <w:jc w:val="right"/>
              <w:spacing w:after="0"/>
              <w:rPr>
                <w:sz w:val="20"/>
                <w:szCs w:val="20"/>
                <w:color w:val="auto"/>
              </w:rPr>
            </w:pPr>
            <w:r>
              <w:rPr>
                <w:rFonts w:ascii="Arial" w:cs="Arial" w:eastAsia="Arial" w:hAnsi="Arial"/>
                <w:sz w:val="15"/>
                <w:szCs w:val="15"/>
                <w:color w:val="auto"/>
              </w:rPr>
              <w:t>n.m.</w:t>
            </w:r>
            <w:r>
              <w:rPr>
                <w:rFonts w:ascii="Arial" w:cs="Arial" w:eastAsia="Arial" w:hAnsi="Arial"/>
                <w:sz w:val="19"/>
                <w:szCs w:val="19"/>
                <w:color w:val="auto"/>
                <w:vertAlign w:val="superscript"/>
              </w:rPr>
              <w:t>2</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Owner fees</w:t>
            </w:r>
          </w:p>
        </w:tc>
        <w:tc>
          <w:tcPr>
            <w:tcW w:w="1120" w:type="dxa"/>
            <w:vAlign w:val="bottom"/>
            <w:tcBorders>
              <w:bottom w:val="single" w:sz="8" w:color="DADAE7"/>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w:t>
            </w:r>
          </w:p>
        </w:tc>
        <w:tc>
          <w:tcPr>
            <w:tcW w:w="1740" w:type="dxa"/>
            <w:vAlign w:val="bottom"/>
            <w:tcBorders>
              <w:bottom w:val="single" w:sz="8" w:color="DADAE7"/>
            </w:tcBorders>
          </w:tcPr>
          <w:p>
            <w:pPr>
              <w:jc w:val="right"/>
              <w:ind w:right="465"/>
              <w:spacing w:after="0"/>
              <w:rPr>
                <w:sz w:val="20"/>
                <w:szCs w:val="20"/>
                <w:color w:val="auto"/>
              </w:rPr>
            </w:pPr>
            <w:r>
              <w:rPr>
                <w:rFonts w:ascii="Arial" w:cs="Arial" w:eastAsia="Arial" w:hAnsi="Arial"/>
                <w:sz w:val="15"/>
                <w:szCs w:val="15"/>
                <w:color w:val="auto"/>
              </w:rPr>
              <w:t>0.7</w:t>
            </w:r>
          </w:p>
        </w:tc>
        <w:tc>
          <w:tcPr>
            <w:tcW w:w="1140" w:type="dxa"/>
            <w:vAlign w:val="bottom"/>
            <w:tcBorders>
              <w:bottom w:val="single" w:sz="8" w:color="DADAE7"/>
            </w:tcBorders>
          </w:tcPr>
          <w:p>
            <w:pPr>
              <w:jc w:val="right"/>
              <w:ind w:right="104"/>
              <w:spacing w:after="0"/>
              <w:rPr>
                <w:sz w:val="20"/>
                <w:szCs w:val="20"/>
                <w:color w:val="auto"/>
              </w:rPr>
            </w:pPr>
            <w:r>
              <w:rPr>
                <w:rFonts w:ascii="Arial" w:cs="Arial" w:eastAsia="Arial" w:hAnsi="Arial"/>
                <w:sz w:val="15"/>
                <w:szCs w:val="15"/>
                <w:color w:val="auto"/>
              </w:rPr>
              <w:t>n.m.</w:t>
            </w:r>
            <w:r>
              <w:rPr>
                <w:rFonts w:ascii="Arial" w:cs="Arial" w:eastAsia="Arial" w:hAnsi="Arial"/>
                <w:sz w:val="19"/>
                <w:szCs w:val="19"/>
                <w:color w:val="auto"/>
                <w:vertAlign w:val="superscript"/>
              </w:rPr>
              <w:t>2</w:t>
            </w:r>
          </w:p>
        </w:tc>
        <w:tc>
          <w:tcPr>
            <w:tcW w:w="1120" w:type="dxa"/>
            <w:vAlign w:val="bottom"/>
            <w:tcBorders>
              <w:bottom w:val="single" w:sz="8" w:color="DADAE7"/>
              <w:right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0.4</w:t>
            </w:r>
          </w:p>
        </w:tc>
        <w:tc>
          <w:tcPr>
            <w:tcW w:w="1700" w:type="dxa"/>
            <w:vAlign w:val="bottom"/>
            <w:tcBorders>
              <w:bottom w:val="single" w:sz="8" w:color="DADAE7"/>
            </w:tcBorders>
          </w:tcPr>
          <w:p>
            <w:pPr>
              <w:jc w:val="right"/>
              <w:ind w:right="425"/>
              <w:spacing w:after="0"/>
              <w:rPr>
                <w:sz w:val="20"/>
                <w:szCs w:val="20"/>
                <w:color w:val="auto"/>
              </w:rPr>
            </w:pPr>
            <w:r>
              <w:rPr>
                <w:rFonts w:ascii="Arial" w:cs="Arial" w:eastAsia="Arial" w:hAnsi="Arial"/>
                <w:sz w:val="15"/>
                <w:szCs w:val="15"/>
                <w:color w:val="auto"/>
              </w:rPr>
              <w:t>2.4</w:t>
            </w:r>
          </w:p>
        </w:tc>
        <w:tc>
          <w:tcPr>
            <w:tcW w:w="960" w:type="dxa"/>
            <w:vAlign w:val="bottom"/>
            <w:tcBorders>
              <w:bottom w:val="single" w:sz="8" w:color="DADAE7"/>
            </w:tcBorders>
          </w:tcPr>
          <w:p>
            <w:pPr>
              <w:jc w:val="right"/>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179"/>
        </w:trPr>
        <w:tc>
          <w:tcPr>
            <w:tcW w:w="3440" w:type="dxa"/>
            <w:vAlign w:val="bottom"/>
          </w:tcPr>
          <w:p>
            <w:pPr>
              <w:ind w:left="20"/>
              <w:spacing w:after="0"/>
              <w:rPr>
                <w:sz w:val="20"/>
                <w:szCs w:val="20"/>
                <w:color w:val="auto"/>
              </w:rPr>
            </w:pPr>
            <w:r>
              <w:rPr>
                <w:rFonts w:ascii="Arial" w:cs="Arial" w:eastAsia="Arial" w:hAnsi="Arial"/>
                <w:sz w:val="15"/>
                <w:szCs w:val="15"/>
                <w:color w:val="auto"/>
              </w:rPr>
              <w:t>IPO preparation and public offering of ordinary</w:t>
            </w:r>
          </w:p>
        </w:tc>
        <w:tc>
          <w:tcPr>
            <w:tcW w:w="1120" w:type="dxa"/>
            <w:vAlign w:val="bottom"/>
            <w:vMerge w:val="restart"/>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w:t>
            </w:r>
          </w:p>
        </w:tc>
        <w:tc>
          <w:tcPr>
            <w:tcW w:w="1740" w:type="dxa"/>
            <w:vAlign w:val="bottom"/>
          </w:tcPr>
          <w:p>
            <w:pPr>
              <w:spacing w:after="0"/>
              <w:rPr>
                <w:sz w:val="15"/>
                <w:szCs w:val="15"/>
                <w:color w:val="auto"/>
              </w:rPr>
            </w:pPr>
          </w:p>
        </w:tc>
        <w:tc>
          <w:tcPr>
            <w:tcW w:w="1140" w:type="dxa"/>
            <w:vAlign w:val="bottom"/>
            <w:vMerge w:val="restart"/>
          </w:tcPr>
          <w:p>
            <w:pPr>
              <w:jc w:val="right"/>
              <w:ind w:right="104"/>
              <w:spacing w:after="0"/>
              <w:rPr>
                <w:sz w:val="20"/>
                <w:szCs w:val="20"/>
                <w:color w:val="auto"/>
              </w:rPr>
            </w:pPr>
            <w:r>
              <w:rPr>
                <w:rFonts w:ascii="Arial" w:cs="Arial" w:eastAsia="Arial" w:hAnsi="Arial"/>
                <w:sz w:val="15"/>
                <w:szCs w:val="15"/>
                <w:color w:val="auto"/>
              </w:rPr>
              <w:t>n.m.</w:t>
            </w:r>
            <w:r>
              <w:rPr>
                <w:rFonts w:ascii="Arial" w:cs="Arial" w:eastAsia="Arial" w:hAnsi="Arial"/>
                <w:sz w:val="19"/>
                <w:szCs w:val="19"/>
                <w:color w:val="auto"/>
                <w:vertAlign w:val="superscript"/>
              </w:rPr>
              <w:t>2</w:t>
            </w:r>
          </w:p>
        </w:tc>
        <w:tc>
          <w:tcPr>
            <w:tcW w:w="1120" w:type="dxa"/>
            <w:vAlign w:val="bottom"/>
            <w:tcBorders>
              <w:right w:val="single" w:sz="8" w:color="F4EFF6"/>
            </w:tcBorders>
            <w:vMerge w:val="restart"/>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w:t>
            </w:r>
          </w:p>
        </w:tc>
        <w:tc>
          <w:tcPr>
            <w:tcW w:w="17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n.m.</w:t>
            </w:r>
            <w:r>
              <w:rPr>
                <w:rFonts w:ascii="Arial" w:cs="Arial" w:eastAsia="Arial" w:hAnsi="Arial"/>
                <w:sz w:val="19"/>
                <w:szCs w:val="19"/>
                <w:color w:val="auto"/>
                <w:vertAlign w:val="superscript"/>
              </w:rPr>
              <w:t>2</w:t>
            </w:r>
          </w:p>
        </w:tc>
        <w:tc>
          <w:tcPr>
            <w:tcW w:w="0" w:type="dxa"/>
            <w:vAlign w:val="bottom"/>
          </w:tcPr>
          <w:p>
            <w:pPr>
              <w:spacing w:after="0"/>
              <w:rPr>
                <w:sz w:val="1"/>
                <w:szCs w:val="1"/>
                <w:color w:val="auto"/>
              </w:rPr>
            </w:pPr>
          </w:p>
        </w:tc>
      </w:tr>
      <w:tr>
        <w:trPr>
          <w:trHeight w:val="233"/>
        </w:trPr>
        <w:tc>
          <w:tcPr>
            <w:tcW w:w="344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shares</w:t>
            </w:r>
          </w:p>
        </w:tc>
        <w:tc>
          <w:tcPr>
            <w:tcW w:w="1120" w:type="dxa"/>
            <w:vAlign w:val="bottom"/>
            <w:tcBorders>
              <w:bottom w:val="single" w:sz="8" w:color="DADAE7"/>
            </w:tcBorders>
            <w:vMerge w:val="continue"/>
            <w:shd w:val="clear" w:color="auto" w:fill="F4EFF6"/>
          </w:tcPr>
          <w:p>
            <w:pPr>
              <w:spacing w:after="0"/>
              <w:rPr>
                <w:sz w:val="20"/>
                <w:szCs w:val="20"/>
                <w:color w:val="auto"/>
              </w:rPr>
            </w:pPr>
          </w:p>
        </w:tc>
        <w:tc>
          <w:tcPr>
            <w:tcW w:w="1740" w:type="dxa"/>
            <w:vAlign w:val="bottom"/>
            <w:tcBorders>
              <w:bottom w:val="single" w:sz="8" w:color="DADAE7"/>
            </w:tcBorders>
          </w:tcPr>
          <w:p>
            <w:pPr>
              <w:jc w:val="right"/>
              <w:ind w:right="465"/>
              <w:spacing w:after="0"/>
              <w:rPr>
                <w:sz w:val="20"/>
                <w:szCs w:val="20"/>
                <w:color w:val="auto"/>
              </w:rPr>
            </w:pPr>
            <w:r>
              <w:rPr>
                <w:rFonts w:ascii="Arial" w:cs="Arial" w:eastAsia="Arial" w:hAnsi="Arial"/>
                <w:sz w:val="15"/>
                <w:szCs w:val="15"/>
                <w:color w:val="auto"/>
              </w:rPr>
              <w:t>4.6</w:t>
            </w:r>
          </w:p>
        </w:tc>
        <w:tc>
          <w:tcPr>
            <w:tcW w:w="1140" w:type="dxa"/>
            <w:vAlign w:val="bottom"/>
            <w:tcBorders>
              <w:bottom w:val="single" w:sz="8" w:color="DADAE7"/>
            </w:tcBorders>
            <w:vMerge w:val="continue"/>
          </w:tcPr>
          <w:p>
            <w:pPr>
              <w:spacing w:after="0"/>
              <w:rPr>
                <w:sz w:val="20"/>
                <w:szCs w:val="20"/>
                <w:color w:val="auto"/>
              </w:rPr>
            </w:pPr>
          </w:p>
        </w:tc>
        <w:tc>
          <w:tcPr>
            <w:tcW w:w="1120" w:type="dxa"/>
            <w:vAlign w:val="bottom"/>
            <w:tcBorders>
              <w:bottom w:val="single" w:sz="8" w:color="DADAE7"/>
              <w:right w:val="single" w:sz="8" w:color="F4EFF6"/>
            </w:tcBorders>
            <w:vMerge w:val="continue"/>
            <w:shd w:val="clear" w:color="auto" w:fill="F4EFF6"/>
          </w:tcPr>
          <w:p>
            <w:pPr>
              <w:spacing w:after="0"/>
              <w:rPr>
                <w:sz w:val="20"/>
                <w:szCs w:val="20"/>
                <w:color w:val="auto"/>
              </w:rPr>
            </w:pPr>
          </w:p>
        </w:tc>
        <w:tc>
          <w:tcPr>
            <w:tcW w:w="1700" w:type="dxa"/>
            <w:vAlign w:val="bottom"/>
            <w:tcBorders>
              <w:bottom w:val="single" w:sz="8" w:color="DADAE7"/>
            </w:tcBorders>
          </w:tcPr>
          <w:p>
            <w:pPr>
              <w:jc w:val="right"/>
              <w:ind w:right="425"/>
              <w:spacing w:after="0"/>
              <w:rPr>
                <w:sz w:val="20"/>
                <w:szCs w:val="20"/>
                <w:color w:val="auto"/>
              </w:rPr>
            </w:pPr>
            <w:r>
              <w:rPr>
                <w:rFonts w:ascii="Arial" w:cs="Arial" w:eastAsia="Arial" w:hAnsi="Arial"/>
                <w:sz w:val="15"/>
                <w:szCs w:val="15"/>
                <w:color w:val="auto"/>
              </w:rPr>
              <w:t>8.3</w:t>
            </w:r>
          </w:p>
        </w:tc>
        <w:tc>
          <w:tcPr>
            <w:tcW w:w="960" w:type="dxa"/>
            <w:vAlign w:val="bottom"/>
            <w:tcBorders>
              <w:bottom w:val="single" w:sz="8" w:color="DADAE7"/>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3440" w:type="dxa"/>
            <w:vAlign w:val="bottom"/>
          </w:tcPr>
          <w:p>
            <w:pPr>
              <w:ind w:left="20"/>
              <w:spacing w:after="0"/>
              <w:rPr>
                <w:sz w:val="20"/>
                <w:szCs w:val="20"/>
                <w:color w:val="auto"/>
              </w:rPr>
            </w:pPr>
            <w:r>
              <w:rPr>
                <w:rFonts w:ascii="Arial" w:cs="Arial" w:eastAsia="Arial" w:hAnsi="Arial"/>
                <w:sz w:val="15"/>
                <w:szCs w:val="15"/>
                <w:color w:val="auto"/>
              </w:rPr>
              <w:t>Fair value of the cash settlement option on the</w:t>
            </w:r>
          </w:p>
        </w:tc>
        <w:tc>
          <w:tcPr>
            <w:tcW w:w="1120" w:type="dxa"/>
            <w:vAlign w:val="bottom"/>
            <w:vMerge w:val="restart"/>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w:t>
            </w:r>
          </w:p>
        </w:tc>
        <w:tc>
          <w:tcPr>
            <w:tcW w:w="1740" w:type="dxa"/>
            <w:vAlign w:val="bottom"/>
          </w:tcPr>
          <w:p>
            <w:pPr>
              <w:spacing w:after="0"/>
              <w:rPr>
                <w:sz w:val="15"/>
                <w:szCs w:val="15"/>
                <w:color w:val="auto"/>
              </w:rPr>
            </w:pPr>
          </w:p>
        </w:tc>
        <w:tc>
          <w:tcPr>
            <w:tcW w:w="1140" w:type="dxa"/>
            <w:vAlign w:val="bottom"/>
            <w:vMerge w:val="restart"/>
          </w:tcPr>
          <w:p>
            <w:pPr>
              <w:jc w:val="right"/>
              <w:ind w:right="104"/>
              <w:spacing w:after="0"/>
              <w:rPr>
                <w:sz w:val="20"/>
                <w:szCs w:val="20"/>
                <w:color w:val="auto"/>
              </w:rPr>
            </w:pPr>
            <w:r>
              <w:rPr>
                <w:rFonts w:ascii="Arial" w:cs="Arial" w:eastAsia="Arial" w:hAnsi="Arial"/>
                <w:sz w:val="15"/>
                <w:szCs w:val="15"/>
                <w:color w:val="auto"/>
              </w:rPr>
              <w:t>n.m.</w:t>
            </w:r>
            <w:r>
              <w:rPr>
                <w:rFonts w:ascii="Arial" w:cs="Arial" w:eastAsia="Arial" w:hAnsi="Arial"/>
                <w:sz w:val="19"/>
                <w:szCs w:val="19"/>
                <w:color w:val="auto"/>
                <w:vertAlign w:val="superscript"/>
              </w:rPr>
              <w:t>2</w:t>
            </w:r>
          </w:p>
        </w:tc>
        <w:tc>
          <w:tcPr>
            <w:tcW w:w="1120" w:type="dxa"/>
            <w:vAlign w:val="bottom"/>
            <w:tcBorders>
              <w:right w:val="single" w:sz="8" w:color="F4EFF6"/>
            </w:tcBorders>
            <w:vMerge w:val="restart"/>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w:t>
            </w:r>
          </w:p>
        </w:tc>
        <w:tc>
          <w:tcPr>
            <w:tcW w:w="17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n.m.</w:t>
            </w:r>
            <w:r>
              <w:rPr>
                <w:rFonts w:ascii="Arial" w:cs="Arial" w:eastAsia="Arial" w:hAnsi="Arial"/>
                <w:sz w:val="19"/>
                <w:szCs w:val="19"/>
                <w:color w:val="auto"/>
                <w:vertAlign w:val="superscript"/>
              </w:rPr>
              <w:t>2</w:t>
            </w:r>
          </w:p>
        </w:tc>
        <w:tc>
          <w:tcPr>
            <w:tcW w:w="0" w:type="dxa"/>
            <w:vAlign w:val="bottom"/>
          </w:tcPr>
          <w:p>
            <w:pPr>
              <w:spacing w:after="0"/>
              <w:rPr>
                <w:sz w:val="1"/>
                <w:szCs w:val="1"/>
                <w:color w:val="auto"/>
              </w:rPr>
            </w:pPr>
          </w:p>
        </w:tc>
      </w:tr>
      <w:tr>
        <w:trPr>
          <w:trHeight w:val="233"/>
        </w:trPr>
        <w:tc>
          <w:tcPr>
            <w:tcW w:w="344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growth shares</w:t>
            </w:r>
          </w:p>
        </w:tc>
        <w:tc>
          <w:tcPr>
            <w:tcW w:w="1120" w:type="dxa"/>
            <w:vAlign w:val="bottom"/>
            <w:tcBorders>
              <w:bottom w:val="single" w:sz="8" w:color="DADAE7"/>
            </w:tcBorders>
            <w:vMerge w:val="continue"/>
            <w:shd w:val="clear" w:color="auto" w:fill="F4EFF6"/>
          </w:tcPr>
          <w:p>
            <w:pPr>
              <w:spacing w:after="0"/>
              <w:rPr>
                <w:sz w:val="20"/>
                <w:szCs w:val="20"/>
                <w:color w:val="auto"/>
              </w:rPr>
            </w:pPr>
          </w:p>
        </w:tc>
        <w:tc>
          <w:tcPr>
            <w:tcW w:w="1740" w:type="dxa"/>
            <w:vAlign w:val="bottom"/>
            <w:tcBorders>
              <w:bottom w:val="single" w:sz="8" w:color="DADAE7"/>
            </w:tcBorders>
          </w:tcPr>
          <w:p>
            <w:pPr>
              <w:jc w:val="right"/>
              <w:ind w:right="465"/>
              <w:spacing w:after="0"/>
              <w:rPr>
                <w:sz w:val="20"/>
                <w:szCs w:val="20"/>
                <w:color w:val="auto"/>
              </w:rPr>
            </w:pPr>
            <w:r>
              <w:rPr>
                <w:rFonts w:ascii="Arial" w:cs="Arial" w:eastAsia="Arial" w:hAnsi="Arial"/>
                <w:sz w:val="15"/>
                <w:szCs w:val="15"/>
                <w:color w:val="auto"/>
              </w:rPr>
              <w:t>2.3</w:t>
            </w:r>
          </w:p>
        </w:tc>
        <w:tc>
          <w:tcPr>
            <w:tcW w:w="1140" w:type="dxa"/>
            <w:vAlign w:val="bottom"/>
            <w:tcBorders>
              <w:bottom w:val="single" w:sz="8" w:color="DADAE7"/>
            </w:tcBorders>
            <w:vMerge w:val="continue"/>
          </w:tcPr>
          <w:p>
            <w:pPr>
              <w:spacing w:after="0"/>
              <w:rPr>
                <w:sz w:val="20"/>
                <w:szCs w:val="20"/>
                <w:color w:val="auto"/>
              </w:rPr>
            </w:pPr>
          </w:p>
        </w:tc>
        <w:tc>
          <w:tcPr>
            <w:tcW w:w="1120" w:type="dxa"/>
            <w:vAlign w:val="bottom"/>
            <w:tcBorders>
              <w:bottom w:val="single" w:sz="8" w:color="DADAE7"/>
              <w:right w:val="single" w:sz="8" w:color="F4EFF6"/>
            </w:tcBorders>
            <w:vMerge w:val="continue"/>
            <w:shd w:val="clear" w:color="auto" w:fill="F4EFF6"/>
          </w:tcPr>
          <w:p>
            <w:pPr>
              <w:spacing w:after="0"/>
              <w:rPr>
                <w:sz w:val="20"/>
                <w:szCs w:val="20"/>
                <w:color w:val="auto"/>
              </w:rPr>
            </w:pPr>
          </w:p>
        </w:tc>
        <w:tc>
          <w:tcPr>
            <w:tcW w:w="1700" w:type="dxa"/>
            <w:vAlign w:val="bottom"/>
            <w:tcBorders>
              <w:bottom w:val="single" w:sz="8" w:color="DADAE7"/>
            </w:tcBorders>
          </w:tcPr>
          <w:p>
            <w:pPr>
              <w:jc w:val="right"/>
              <w:ind w:right="425"/>
              <w:spacing w:after="0"/>
              <w:rPr>
                <w:sz w:val="20"/>
                <w:szCs w:val="20"/>
                <w:color w:val="auto"/>
              </w:rPr>
            </w:pPr>
            <w:r>
              <w:rPr>
                <w:rFonts w:ascii="Arial" w:cs="Arial" w:eastAsia="Arial" w:hAnsi="Arial"/>
                <w:sz w:val="15"/>
                <w:szCs w:val="15"/>
                <w:color w:val="auto"/>
              </w:rPr>
              <w:t>2.3</w:t>
            </w:r>
          </w:p>
        </w:tc>
        <w:tc>
          <w:tcPr>
            <w:tcW w:w="960" w:type="dxa"/>
            <w:vAlign w:val="bottom"/>
            <w:tcBorders>
              <w:bottom w:val="single" w:sz="8" w:color="DADAE7"/>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793690"/>
            </w:tcBorders>
          </w:tcPr>
          <w:p>
            <w:pPr>
              <w:ind w:left="20"/>
              <w:spacing w:after="0"/>
              <w:rPr>
                <w:sz w:val="20"/>
                <w:szCs w:val="20"/>
                <w:color w:val="auto"/>
              </w:rPr>
            </w:pPr>
            <w:r>
              <w:rPr>
                <w:rFonts w:ascii="Arial" w:cs="Arial" w:eastAsia="Arial" w:hAnsi="Arial"/>
                <w:sz w:val="15"/>
                <w:szCs w:val="15"/>
                <w:color w:val="auto"/>
              </w:rPr>
              <w:t>Equity issuance</w:t>
            </w:r>
          </w:p>
        </w:tc>
        <w:tc>
          <w:tcPr>
            <w:tcW w:w="1120" w:type="dxa"/>
            <w:vAlign w:val="bottom"/>
            <w:tcBorders>
              <w:bottom w:val="single" w:sz="8" w:color="793690"/>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1.3</w:t>
            </w:r>
          </w:p>
        </w:tc>
        <w:tc>
          <w:tcPr>
            <w:tcW w:w="1740" w:type="dxa"/>
            <w:vAlign w:val="bottom"/>
            <w:tcBorders>
              <w:bottom w:val="single" w:sz="8" w:color="793690"/>
            </w:tcBorders>
          </w:tcPr>
          <w:p>
            <w:pPr>
              <w:jc w:val="right"/>
              <w:ind w:right="465"/>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793690"/>
            </w:tcBorders>
          </w:tcPr>
          <w:p>
            <w:pPr>
              <w:jc w:val="right"/>
              <w:ind w:right="104"/>
              <w:spacing w:after="0"/>
              <w:rPr>
                <w:sz w:val="20"/>
                <w:szCs w:val="20"/>
                <w:color w:val="auto"/>
              </w:rPr>
            </w:pPr>
            <w:r>
              <w:rPr>
                <w:rFonts w:ascii="Arial" w:cs="Arial" w:eastAsia="Arial" w:hAnsi="Arial"/>
                <w:sz w:val="15"/>
                <w:szCs w:val="15"/>
                <w:color w:val="auto"/>
              </w:rPr>
              <w:t>n.m.</w:t>
            </w:r>
            <w:r>
              <w:rPr>
                <w:rFonts w:ascii="Arial" w:cs="Arial" w:eastAsia="Arial" w:hAnsi="Arial"/>
                <w:sz w:val="19"/>
                <w:szCs w:val="19"/>
                <w:color w:val="auto"/>
                <w:vertAlign w:val="superscript"/>
              </w:rPr>
              <w:t>2</w:t>
            </w:r>
          </w:p>
        </w:tc>
        <w:tc>
          <w:tcPr>
            <w:tcW w:w="1120" w:type="dxa"/>
            <w:vAlign w:val="bottom"/>
            <w:tcBorders>
              <w:bottom w:val="single" w:sz="8" w:color="793690"/>
              <w:right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1.3</w:t>
            </w:r>
          </w:p>
        </w:tc>
        <w:tc>
          <w:tcPr>
            <w:tcW w:w="1700" w:type="dxa"/>
            <w:vAlign w:val="bottom"/>
            <w:tcBorders>
              <w:bottom w:val="single" w:sz="8" w:color="793690"/>
            </w:tcBorders>
          </w:tcPr>
          <w:p>
            <w:pPr>
              <w:jc w:val="right"/>
              <w:ind w:right="425"/>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793690"/>
            </w:tcBorders>
          </w:tcPr>
          <w:p>
            <w:pPr>
              <w:jc w:val="right"/>
              <w:spacing w:after="0"/>
              <w:rPr>
                <w:sz w:val="20"/>
                <w:szCs w:val="20"/>
                <w:color w:val="auto"/>
              </w:rPr>
            </w:pPr>
            <w:r>
              <w:rPr>
                <w:rFonts w:ascii="Arial" w:cs="Arial" w:eastAsia="Arial" w:hAnsi="Arial"/>
                <w:sz w:val="15"/>
                <w:szCs w:val="15"/>
                <w:color w:val="auto"/>
              </w:rPr>
              <w:t>n.m.</w:t>
            </w:r>
            <w:r>
              <w:rPr>
                <w:rFonts w:ascii="Arial" w:cs="Arial" w:eastAsia="Arial" w:hAnsi="Arial"/>
                <w:sz w:val="19"/>
                <w:szCs w:val="19"/>
                <w:color w:val="auto"/>
                <w:vertAlign w:val="superscript"/>
              </w:rPr>
              <w:t>2</w:t>
            </w:r>
          </w:p>
        </w:tc>
        <w:tc>
          <w:tcPr>
            <w:tcW w:w="0" w:type="dxa"/>
            <w:vAlign w:val="bottom"/>
          </w:tcPr>
          <w:p>
            <w:pPr>
              <w:spacing w:after="0"/>
              <w:rPr>
                <w:sz w:val="1"/>
                <w:szCs w:val="1"/>
                <w:color w:val="auto"/>
              </w:rPr>
            </w:pPr>
          </w:p>
        </w:tc>
      </w:tr>
      <w:tr>
        <w:trPr>
          <w:trHeight w:val="236"/>
        </w:trPr>
        <w:tc>
          <w:tcPr>
            <w:tcW w:w="3440" w:type="dxa"/>
            <w:vAlign w:val="bottom"/>
          </w:tcPr>
          <w:p>
            <w:pPr>
              <w:ind w:left="20"/>
              <w:spacing w:after="0"/>
              <w:rPr>
                <w:sz w:val="20"/>
                <w:szCs w:val="20"/>
                <w:color w:val="auto"/>
              </w:rPr>
            </w:pPr>
            <w:r>
              <w:rPr>
                <w:rFonts w:ascii="Arial" w:cs="Arial" w:eastAsia="Arial" w:hAnsi="Arial"/>
                <w:sz w:val="15"/>
                <w:szCs w:val="15"/>
                <w:b w:val="1"/>
                <w:bCs w:val="1"/>
                <w:color w:val="auto"/>
              </w:rPr>
              <w:t>Adjusting items</w:t>
            </w:r>
          </w:p>
        </w:tc>
        <w:tc>
          <w:tcPr>
            <w:tcW w:w="1120" w:type="dxa"/>
            <w:vAlign w:val="bottom"/>
            <w:tcBorders>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2.8</w:t>
            </w:r>
          </w:p>
        </w:tc>
        <w:tc>
          <w:tcPr>
            <w:tcW w:w="1740" w:type="dxa"/>
            <w:vAlign w:val="bottom"/>
          </w:tcPr>
          <w:p>
            <w:pPr>
              <w:jc w:val="right"/>
              <w:ind w:right="465"/>
              <w:spacing w:after="0"/>
              <w:rPr>
                <w:sz w:val="20"/>
                <w:szCs w:val="20"/>
                <w:color w:val="auto"/>
              </w:rPr>
            </w:pPr>
            <w:r>
              <w:rPr>
                <w:rFonts w:ascii="Arial" w:cs="Arial" w:eastAsia="Arial" w:hAnsi="Arial"/>
                <w:sz w:val="15"/>
                <w:szCs w:val="15"/>
                <w:color w:val="auto"/>
              </w:rPr>
              <w:t>11.4</w:t>
            </w: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(75)%</w:t>
            </w:r>
          </w:p>
        </w:tc>
        <w:tc>
          <w:tcPr>
            <w:tcW w:w="1120" w:type="dxa"/>
            <w:vAlign w:val="bottom"/>
            <w:tcBorders>
              <w:bottom w:val="single" w:sz="8" w:color="F4EFF6"/>
              <w:right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1.1</w:t>
            </w:r>
          </w:p>
        </w:tc>
        <w:tc>
          <w:tcPr>
            <w:tcW w:w="1700" w:type="dxa"/>
            <w:vAlign w:val="bottom"/>
          </w:tcPr>
          <w:p>
            <w:pPr>
              <w:jc w:val="right"/>
              <w:ind w:right="425"/>
              <w:spacing w:after="0"/>
              <w:rPr>
                <w:sz w:val="20"/>
                <w:szCs w:val="20"/>
                <w:color w:val="auto"/>
              </w:rPr>
            </w:pPr>
            <w:r>
              <w:rPr>
                <w:rFonts w:ascii="Arial" w:cs="Arial" w:eastAsia="Arial" w:hAnsi="Arial"/>
                <w:sz w:val="15"/>
                <w:szCs w:val="15"/>
                <w:color w:val="auto"/>
              </w:rPr>
              <w:t>20.2</w:t>
            </w:r>
          </w:p>
        </w:tc>
        <w:tc>
          <w:tcPr>
            <w:tcW w:w="960" w:type="dxa"/>
            <w:vAlign w:val="bottom"/>
          </w:tcPr>
          <w:p>
            <w:pPr>
              <w:jc w:val="right"/>
              <w:spacing w:after="0"/>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r>
        <w:trPr>
          <w:trHeight w:val="237"/>
        </w:trPr>
        <w:tc>
          <w:tcPr>
            <w:tcW w:w="3440" w:type="dxa"/>
            <w:vAlign w:val="bottom"/>
            <w:tcBorders>
              <w:top w:val="single" w:sz="8" w:color="793690"/>
              <w:bottom w:val="single" w:sz="8" w:color="793690"/>
            </w:tcBorders>
          </w:tcPr>
          <w:p>
            <w:pPr>
              <w:ind w:left="20"/>
              <w:spacing w:after="0"/>
              <w:rPr>
                <w:sz w:val="20"/>
                <w:szCs w:val="20"/>
                <w:color w:val="auto"/>
              </w:rPr>
            </w:pPr>
            <w:r>
              <w:rPr>
                <w:rFonts w:ascii="Arial" w:cs="Arial" w:eastAsia="Arial" w:hAnsi="Arial"/>
                <w:sz w:val="15"/>
                <w:szCs w:val="15"/>
                <w:b w:val="1"/>
                <w:bCs w:val="1"/>
                <w:color w:val="auto"/>
              </w:rPr>
              <w:t>Adjusted Profit Before Tax</w:t>
            </w:r>
            <w:r>
              <w:rPr>
                <w:rFonts w:ascii="Arial" w:cs="Arial" w:eastAsia="Arial" w:hAnsi="Arial"/>
                <w:sz w:val="19"/>
                <w:szCs w:val="19"/>
                <w:b w:val="1"/>
                <w:bCs w:val="1"/>
                <w:color w:val="auto"/>
                <w:vertAlign w:val="superscript"/>
              </w:rPr>
              <w:t>1</w:t>
            </w:r>
          </w:p>
        </w:tc>
        <w:tc>
          <w:tcPr>
            <w:tcW w:w="1120" w:type="dxa"/>
            <w:vAlign w:val="bottom"/>
            <w:tcBorders>
              <w:top w:val="single" w:sz="8" w:color="793690"/>
              <w:bottom w:val="single" w:sz="8" w:color="793690"/>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106.4</w:t>
            </w:r>
          </w:p>
        </w:tc>
        <w:tc>
          <w:tcPr>
            <w:tcW w:w="1740" w:type="dxa"/>
            <w:vAlign w:val="bottom"/>
            <w:tcBorders>
              <w:top w:val="single" w:sz="8" w:color="793690"/>
              <w:bottom w:val="single" w:sz="8" w:color="793690"/>
            </w:tcBorders>
          </w:tcPr>
          <w:p>
            <w:pPr>
              <w:jc w:val="right"/>
              <w:ind w:right="465"/>
              <w:spacing w:after="0"/>
              <w:rPr>
                <w:sz w:val="20"/>
                <w:szCs w:val="20"/>
                <w:color w:val="auto"/>
              </w:rPr>
            </w:pPr>
            <w:r>
              <w:rPr>
                <w:rFonts w:ascii="Arial" w:cs="Arial" w:eastAsia="Arial" w:hAnsi="Arial"/>
                <w:sz w:val="15"/>
                <w:szCs w:val="15"/>
                <w:color w:val="auto"/>
              </w:rPr>
              <w:t>91.5</w:t>
            </w:r>
          </w:p>
        </w:tc>
        <w:tc>
          <w:tcPr>
            <w:tcW w:w="1140" w:type="dxa"/>
            <w:vAlign w:val="bottom"/>
            <w:tcBorders>
              <w:top w:val="single" w:sz="8" w:color="793690"/>
              <w:bottom w:val="single" w:sz="8" w:color="793690"/>
            </w:tcBorders>
          </w:tcPr>
          <w:p>
            <w:pPr>
              <w:jc w:val="right"/>
              <w:ind w:right="104"/>
              <w:spacing w:after="0"/>
              <w:rPr>
                <w:sz w:val="20"/>
                <w:szCs w:val="20"/>
                <w:color w:val="auto"/>
              </w:rPr>
            </w:pPr>
            <w:r>
              <w:rPr>
                <w:rFonts w:ascii="Arial" w:cs="Arial" w:eastAsia="Arial" w:hAnsi="Arial"/>
                <w:sz w:val="15"/>
                <w:szCs w:val="15"/>
                <w:color w:val="auto"/>
              </w:rPr>
              <w:t>16%</w:t>
            </w:r>
          </w:p>
        </w:tc>
        <w:tc>
          <w:tcPr>
            <w:tcW w:w="1120" w:type="dxa"/>
            <w:vAlign w:val="bottom"/>
            <w:tcBorders>
              <w:top w:val="single" w:sz="8" w:color="793690"/>
              <w:bottom w:val="single" w:sz="8" w:color="793690"/>
              <w:right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202.7</w:t>
            </w:r>
          </w:p>
        </w:tc>
        <w:tc>
          <w:tcPr>
            <w:tcW w:w="1700" w:type="dxa"/>
            <w:vAlign w:val="bottom"/>
            <w:tcBorders>
              <w:top w:val="single" w:sz="8" w:color="793690"/>
              <w:bottom w:val="single" w:sz="8" w:color="793690"/>
            </w:tcBorders>
          </w:tcPr>
          <w:p>
            <w:pPr>
              <w:jc w:val="right"/>
              <w:ind w:right="425"/>
              <w:spacing w:after="0"/>
              <w:rPr>
                <w:sz w:val="20"/>
                <w:szCs w:val="20"/>
                <w:color w:val="auto"/>
              </w:rPr>
            </w:pPr>
            <w:r>
              <w:rPr>
                <w:rFonts w:ascii="Arial" w:cs="Arial" w:eastAsia="Arial" w:hAnsi="Arial"/>
                <w:sz w:val="15"/>
                <w:szCs w:val="15"/>
                <w:color w:val="auto"/>
              </w:rPr>
              <w:t>159.2</w:t>
            </w:r>
          </w:p>
        </w:tc>
        <w:tc>
          <w:tcPr>
            <w:tcW w:w="960" w:type="dxa"/>
            <w:vAlign w:val="bottom"/>
            <w:tcBorders>
              <w:top w:val="single" w:sz="8" w:color="793690"/>
              <w:bottom w:val="single" w:sz="8" w:color="793690"/>
            </w:tcBorders>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160" w:right="60" w:hanging="152"/>
        <w:spacing w:after="0" w:line="285" w:lineRule="auto"/>
        <w:tabs>
          <w:tab w:leader="none" w:pos="138" w:val="left"/>
        </w:tabs>
        <w:numPr>
          <w:ilvl w:val="0"/>
          <w:numId w:val="6"/>
        </w:numPr>
        <w:rPr>
          <w:rFonts w:ascii="Arial" w:cs="Arial" w:eastAsia="Arial" w:hAnsi="Arial"/>
          <w:sz w:val="11"/>
          <w:szCs w:val="11"/>
          <w:color w:val="auto"/>
        </w:rPr>
      </w:pPr>
      <w:r>
        <w:rPr>
          <w:rFonts w:ascii="Arial" w:cs="Arial" w:eastAsia="Arial" w:hAnsi="Arial"/>
          <w:sz w:val="11"/>
          <w:szCs w:val="11"/>
          <w:color w:val="auto"/>
        </w:rPr>
        <w:t>These are non-IFRS financial measures. See Appendix 1 “Non-IFRS Financial Measures and Key Performance Indicators” for additional information and for a reconciliation of each such IFRS measure to its most directly comparable IFRS measure.</w:t>
      </w:r>
    </w:p>
    <w:p>
      <w:pPr>
        <w:spacing w:after="0" w:line="10" w:lineRule="exact"/>
        <w:rPr>
          <w:rFonts w:ascii="Arial" w:cs="Arial" w:eastAsia="Arial" w:hAnsi="Arial"/>
          <w:sz w:val="11"/>
          <w:szCs w:val="11"/>
          <w:color w:val="auto"/>
        </w:rPr>
      </w:pPr>
    </w:p>
    <w:p>
      <w:pPr>
        <w:ind w:left="120" w:hanging="112"/>
        <w:spacing w:after="0"/>
        <w:tabs>
          <w:tab w:leader="none" w:pos="120" w:val="left"/>
        </w:tabs>
        <w:numPr>
          <w:ilvl w:val="0"/>
          <w:numId w:val="6"/>
        </w:numPr>
        <w:rPr>
          <w:rFonts w:ascii="Arial" w:cs="Arial" w:eastAsia="Arial" w:hAnsi="Arial"/>
          <w:sz w:val="11"/>
          <w:szCs w:val="11"/>
          <w:color w:val="auto"/>
        </w:rPr>
      </w:pPr>
      <w:r>
        <w:rPr>
          <w:rFonts w:ascii="Arial" w:cs="Arial" w:eastAsia="Arial" w:hAnsi="Arial"/>
          <w:sz w:val="11"/>
          <w:szCs w:val="11"/>
          <w:color w:val="auto"/>
        </w:rPr>
        <w:t>n.m = not meaningful as a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3</w:t>
      </w:r>
    </w:p>
    <w:p>
      <w:pPr>
        <w:sectPr>
          <w:pgSz w:w="11900" w:h="16838" w:orient="portrait"/>
          <w:cols w:equalWidth="0" w:num="1">
            <w:col w:w="11220"/>
          </w:cols>
          <w:pgMar w:left="320" w:top="1353" w:right="35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793690"/>
        </w:rPr>
        <w:t xml:space="preserve">Financial Review </w:t>
      </w:r>
      <w:r>
        <w:rPr>
          <w:rFonts w:ascii="Arial" w:cs="Arial" w:eastAsia="Arial" w:hAnsi="Arial"/>
          <w:sz w:val="22"/>
          <w:szCs w:val="22"/>
          <w:color w:val="793690"/>
        </w:rPr>
        <w:t>(continued)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Summary Financial Results (continued)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Costs and Group Headcount</w:t>
      </w:r>
    </w:p>
    <w:p>
      <w:pPr>
        <w:spacing w:after="0" w:line="17" w:lineRule="exact"/>
        <w:rPr>
          <w:sz w:val="20"/>
          <w:szCs w:val="20"/>
          <w:color w:val="auto"/>
        </w:rPr>
      </w:pPr>
    </w:p>
    <w:p>
      <w:pPr>
        <w:ind w:right="920"/>
        <w:spacing w:after="0" w:line="263" w:lineRule="auto"/>
        <w:rPr>
          <w:sz w:val="20"/>
          <w:szCs w:val="20"/>
          <w:color w:val="auto"/>
        </w:rPr>
      </w:pPr>
      <w:r>
        <w:rPr>
          <w:rFonts w:ascii="Arial" w:cs="Arial" w:eastAsia="Arial" w:hAnsi="Arial"/>
          <w:sz w:val="15"/>
          <w:szCs w:val="15"/>
          <w:color w:val="auto"/>
        </w:rPr>
        <w:t>The Board and Senior Management also monitor costs split between Front Office Costs and Control and Support Costs to better understand the Group's performance. The table below provides the Group's management view of costs: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11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 months ended</w:t>
            </w:r>
          </w:p>
        </w:tc>
        <w:tc>
          <w:tcPr>
            <w:tcW w:w="1700" w:type="dxa"/>
            <w:vAlign w:val="bottom"/>
          </w:tcPr>
          <w:p>
            <w:pPr>
              <w:jc w:val="right"/>
              <w:ind w:right="349"/>
              <w:spacing w:after="0"/>
              <w:rPr>
                <w:sz w:val="20"/>
                <w:szCs w:val="20"/>
                <w:color w:val="auto"/>
              </w:rPr>
            </w:pPr>
            <w:r>
              <w:rPr>
                <w:rFonts w:ascii="Arial" w:cs="Arial" w:eastAsia="Arial" w:hAnsi="Arial"/>
                <w:sz w:val="13"/>
                <w:szCs w:val="13"/>
                <w:b w:val="1"/>
                <w:bCs w:val="1"/>
                <w:color w:val="auto"/>
              </w:rPr>
              <w:t>3 months ended</w:t>
            </w:r>
          </w:p>
        </w:tc>
        <w:tc>
          <w:tcPr>
            <w:tcW w:w="1040" w:type="dxa"/>
            <w:vAlign w:val="bottom"/>
          </w:tcPr>
          <w:p>
            <w:pPr>
              <w:spacing w:after="0"/>
              <w:rPr>
                <w:sz w:val="16"/>
                <w:szCs w:val="16"/>
                <w:color w:val="auto"/>
              </w:rPr>
            </w:pPr>
          </w:p>
        </w:tc>
        <w:tc>
          <w:tcPr>
            <w:tcW w:w="116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6 months ended</w:t>
            </w:r>
          </w:p>
        </w:tc>
        <w:tc>
          <w:tcPr>
            <w:tcW w:w="1680" w:type="dxa"/>
            <w:vAlign w:val="bottom"/>
          </w:tcPr>
          <w:p>
            <w:pPr>
              <w:jc w:val="right"/>
              <w:ind w:right="329"/>
              <w:spacing w:after="0"/>
              <w:rPr>
                <w:sz w:val="20"/>
                <w:szCs w:val="20"/>
                <w:color w:val="auto"/>
              </w:rPr>
            </w:pPr>
            <w:r>
              <w:rPr>
                <w:rFonts w:ascii="Arial" w:cs="Arial" w:eastAsia="Arial" w:hAnsi="Arial"/>
                <w:sz w:val="13"/>
                <w:szCs w:val="13"/>
                <w:b w:val="1"/>
                <w:bCs w:val="1"/>
                <w:color w:val="auto"/>
              </w:rPr>
              <w:t>6 months ended</w:t>
            </w:r>
          </w:p>
        </w:tc>
        <w:tc>
          <w:tcPr>
            <w:tcW w:w="900" w:type="dxa"/>
            <w:vAlign w:val="bottom"/>
          </w:tcPr>
          <w:p>
            <w:pPr>
              <w:spacing w:after="0"/>
              <w:rPr>
                <w:sz w:val="16"/>
                <w:szCs w:val="16"/>
                <w:color w:val="auto"/>
              </w:rPr>
            </w:pPr>
          </w:p>
        </w:tc>
      </w:tr>
      <w:tr>
        <w:trPr>
          <w:trHeight w:val="192"/>
        </w:trPr>
        <w:tc>
          <w:tcPr>
            <w:tcW w:w="3600" w:type="dxa"/>
            <w:vAlign w:val="bottom"/>
          </w:tcPr>
          <w:p>
            <w:pPr>
              <w:spacing w:after="0"/>
              <w:rPr>
                <w:sz w:val="16"/>
                <w:szCs w:val="16"/>
                <w:color w:val="auto"/>
              </w:rPr>
            </w:pPr>
          </w:p>
        </w:tc>
        <w:tc>
          <w:tcPr>
            <w:tcW w:w="11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700" w:type="dxa"/>
            <w:vAlign w:val="bottom"/>
          </w:tcPr>
          <w:p>
            <w:pPr>
              <w:jc w:val="right"/>
              <w:ind w:right="349"/>
              <w:spacing w:after="0"/>
              <w:rPr>
                <w:sz w:val="20"/>
                <w:szCs w:val="20"/>
                <w:color w:val="auto"/>
              </w:rPr>
            </w:pPr>
            <w:r>
              <w:rPr>
                <w:rFonts w:ascii="Arial" w:cs="Arial" w:eastAsia="Arial" w:hAnsi="Arial"/>
                <w:sz w:val="13"/>
                <w:szCs w:val="13"/>
                <w:b w:val="1"/>
                <w:bCs w:val="1"/>
                <w:color w:val="auto"/>
              </w:rPr>
              <w:t>30 June 2024</w:t>
            </w:r>
          </w:p>
        </w:tc>
        <w:tc>
          <w:tcPr>
            <w:tcW w:w="1040" w:type="dxa"/>
            <w:vAlign w:val="bottom"/>
          </w:tcPr>
          <w:p>
            <w:pPr>
              <w:jc w:val="right"/>
              <w:ind w:right="86"/>
              <w:spacing w:after="0"/>
              <w:rPr>
                <w:sz w:val="20"/>
                <w:szCs w:val="20"/>
                <w:color w:val="auto"/>
              </w:rPr>
            </w:pPr>
            <w:r>
              <w:rPr>
                <w:rFonts w:ascii="Arial" w:cs="Arial" w:eastAsia="Arial" w:hAnsi="Arial"/>
                <w:sz w:val="13"/>
                <w:szCs w:val="13"/>
                <w:b w:val="1"/>
                <w:bCs w:val="1"/>
                <w:color w:val="auto"/>
              </w:rPr>
              <w:t>Change</w:t>
            </w:r>
          </w:p>
        </w:tc>
        <w:tc>
          <w:tcPr>
            <w:tcW w:w="116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680" w:type="dxa"/>
            <w:vAlign w:val="bottom"/>
          </w:tcPr>
          <w:p>
            <w:pPr>
              <w:jc w:val="right"/>
              <w:ind w:right="329"/>
              <w:spacing w:after="0"/>
              <w:rPr>
                <w:sz w:val="20"/>
                <w:szCs w:val="20"/>
                <w:color w:val="auto"/>
              </w:rPr>
            </w:pPr>
            <w:r>
              <w:rPr>
                <w:rFonts w:ascii="Arial" w:cs="Arial" w:eastAsia="Arial" w:hAnsi="Arial"/>
                <w:sz w:val="13"/>
                <w:szCs w:val="13"/>
                <w:b w:val="1"/>
                <w:bCs w:val="1"/>
                <w:color w:val="auto"/>
              </w:rPr>
              <w:t>30 June 2024</w:t>
            </w:r>
          </w:p>
        </w:tc>
        <w:tc>
          <w:tcPr>
            <w:tcW w:w="900" w:type="dxa"/>
            <w:vAlign w:val="bottom"/>
          </w:tcPr>
          <w:p>
            <w:pPr>
              <w:spacing w:after="0"/>
              <w:rPr>
                <w:sz w:val="16"/>
                <w:szCs w:val="16"/>
                <w:color w:val="auto"/>
              </w:rPr>
            </w:pPr>
          </w:p>
        </w:tc>
      </w:tr>
      <w:tr>
        <w:trPr>
          <w:trHeight w:val="224"/>
        </w:trPr>
        <w:tc>
          <w:tcPr>
            <w:tcW w:w="3600" w:type="dxa"/>
            <w:vAlign w:val="bottom"/>
          </w:tcPr>
          <w:p>
            <w:pPr>
              <w:spacing w:after="0"/>
              <w:rPr>
                <w:sz w:val="19"/>
                <w:szCs w:val="19"/>
                <w:color w:val="auto"/>
              </w:rPr>
            </w:pPr>
          </w:p>
        </w:tc>
        <w:tc>
          <w:tcPr>
            <w:tcW w:w="114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700" w:type="dxa"/>
            <w:vAlign w:val="bottom"/>
          </w:tcPr>
          <w:p>
            <w:pPr>
              <w:jc w:val="right"/>
              <w:ind w:right="349"/>
              <w:spacing w:after="0"/>
              <w:rPr>
                <w:sz w:val="20"/>
                <w:szCs w:val="20"/>
                <w:color w:val="auto"/>
              </w:rPr>
            </w:pPr>
            <w:r>
              <w:rPr>
                <w:rFonts w:ascii="Arial" w:cs="Arial" w:eastAsia="Arial" w:hAnsi="Arial"/>
                <w:sz w:val="13"/>
                <w:szCs w:val="13"/>
                <w:b w:val="1"/>
                <w:bCs w:val="1"/>
                <w:color w:val="auto"/>
              </w:rPr>
              <w:t>$m</w:t>
            </w:r>
          </w:p>
        </w:tc>
        <w:tc>
          <w:tcPr>
            <w:tcW w:w="1040" w:type="dxa"/>
            <w:vAlign w:val="bottom"/>
          </w:tcPr>
          <w:p>
            <w:pPr>
              <w:spacing w:after="0"/>
              <w:rPr>
                <w:sz w:val="19"/>
                <w:szCs w:val="19"/>
                <w:color w:val="auto"/>
              </w:rPr>
            </w:pPr>
          </w:p>
        </w:tc>
        <w:tc>
          <w:tcPr>
            <w:tcW w:w="116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680" w:type="dxa"/>
            <w:vAlign w:val="bottom"/>
          </w:tcPr>
          <w:p>
            <w:pPr>
              <w:jc w:val="right"/>
              <w:ind w:right="329"/>
              <w:spacing w:after="0"/>
              <w:rPr>
                <w:sz w:val="20"/>
                <w:szCs w:val="20"/>
                <w:color w:val="auto"/>
              </w:rPr>
            </w:pPr>
            <w:r>
              <w:rPr>
                <w:rFonts w:ascii="Arial" w:cs="Arial" w:eastAsia="Arial" w:hAnsi="Arial"/>
                <w:sz w:val="13"/>
                <w:szCs w:val="13"/>
                <w:b w:val="1"/>
                <w:bCs w:val="1"/>
                <w:color w:val="auto"/>
              </w:rPr>
              <w:t>$m</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Change</w:t>
            </w:r>
          </w:p>
        </w:tc>
      </w:tr>
      <w:tr>
        <w:trPr>
          <w:trHeight w:val="236"/>
        </w:trPr>
        <w:tc>
          <w:tcPr>
            <w:tcW w:w="3600" w:type="dxa"/>
            <w:vAlign w:val="bottom"/>
            <w:tcBorders>
              <w:top w:val="single" w:sz="8" w:color="793690"/>
              <w:bottom w:val="single" w:sz="8" w:color="DADAE7"/>
            </w:tcBorders>
          </w:tcPr>
          <w:p>
            <w:pPr>
              <w:ind w:left="20"/>
              <w:spacing w:after="0"/>
              <w:rPr>
                <w:sz w:val="20"/>
                <w:szCs w:val="20"/>
                <w:color w:val="auto"/>
              </w:rPr>
            </w:pPr>
            <w:r>
              <w:rPr>
                <w:rFonts w:ascii="Arial" w:cs="Arial" w:eastAsia="Arial" w:hAnsi="Arial"/>
                <w:sz w:val="15"/>
                <w:szCs w:val="15"/>
                <w:color w:val="auto"/>
              </w:rPr>
              <w:t>Front office costs</w:t>
            </w:r>
            <w:r>
              <w:rPr>
                <w:rFonts w:ascii="Arial" w:cs="Arial" w:eastAsia="Arial" w:hAnsi="Arial"/>
                <w:sz w:val="19"/>
                <w:szCs w:val="19"/>
                <w:color w:val="auto"/>
                <w:vertAlign w:val="superscript"/>
              </w:rPr>
              <w:t>1</w:t>
            </w:r>
          </w:p>
        </w:tc>
        <w:tc>
          <w:tcPr>
            <w:tcW w:w="1140" w:type="dxa"/>
            <w:vAlign w:val="bottom"/>
            <w:tcBorders>
              <w:top w:val="single" w:sz="8" w:color="793690"/>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(272.2)</w:t>
            </w:r>
          </w:p>
        </w:tc>
        <w:tc>
          <w:tcPr>
            <w:tcW w:w="1700" w:type="dxa"/>
            <w:vAlign w:val="bottom"/>
            <w:tcBorders>
              <w:top w:val="single" w:sz="8" w:color="793690"/>
              <w:bottom w:val="single" w:sz="8" w:color="DADAE7"/>
            </w:tcBorders>
          </w:tcPr>
          <w:p>
            <w:pPr>
              <w:jc w:val="right"/>
              <w:ind w:right="349"/>
              <w:spacing w:after="0"/>
              <w:rPr>
                <w:sz w:val="20"/>
                <w:szCs w:val="20"/>
                <w:color w:val="auto"/>
              </w:rPr>
            </w:pPr>
            <w:r>
              <w:rPr>
                <w:rFonts w:ascii="Arial" w:cs="Arial" w:eastAsia="Arial" w:hAnsi="Arial"/>
                <w:sz w:val="15"/>
                <w:szCs w:val="15"/>
                <w:color w:val="auto"/>
              </w:rPr>
              <w:t>(224.8)</w:t>
            </w:r>
          </w:p>
        </w:tc>
        <w:tc>
          <w:tcPr>
            <w:tcW w:w="1040" w:type="dxa"/>
            <w:vAlign w:val="bottom"/>
            <w:tcBorders>
              <w:top w:val="single" w:sz="8" w:color="793690"/>
              <w:bottom w:val="single" w:sz="8" w:color="DADAE7"/>
            </w:tcBorders>
          </w:tcPr>
          <w:p>
            <w:pPr>
              <w:jc w:val="right"/>
              <w:ind w:right="86"/>
              <w:spacing w:after="0"/>
              <w:rPr>
                <w:sz w:val="20"/>
                <w:szCs w:val="20"/>
                <w:color w:val="auto"/>
              </w:rPr>
            </w:pPr>
            <w:r>
              <w:rPr>
                <w:rFonts w:ascii="Arial" w:cs="Arial" w:eastAsia="Arial" w:hAnsi="Arial"/>
                <w:sz w:val="15"/>
                <w:szCs w:val="15"/>
                <w:color w:val="auto"/>
              </w:rPr>
              <w:t>21%</w:t>
            </w:r>
          </w:p>
        </w:tc>
        <w:tc>
          <w:tcPr>
            <w:tcW w:w="1160" w:type="dxa"/>
            <w:vAlign w:val="bottom"/>
            <w:tcBorders>
              <w:top w:val="single" w:sz="8" w:color="793690"/>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(530.6)</w:t>
            </w:r>
          </w:p>
        </w:tc>
        <w:tc>
          <w:tcPr>
            <w:tcW w:w="1680" w:type="dxa"/>
            <w:vAlign w:val="bottom"/>
            <w:tcBorders>
              <w:top w:val="single" w:sz="8" w:color="793690"/>
              <w:bottom w:val="single" w:sz="8" w:color="DADAE7"/>
            </w:tcBorders>
          </w:tcPr>
          <w:p>
            <w:pPr>
              <w:jc w:val="right"/>
              <w:ind w:right="349"/>
              <w:spacing w:after="0"/>
              <w:rPr>
                <w:sz w:val="20"/>
                <w:szCs w:val="20"/>
                <w:color w:val="auto"/>
              </w:rPr>
            </w:pPr>
            <w:r>
              <w:rPr>
                <w:rFonts w:ascii="Arial" w:cs="Arial" w:eastAsia="Arial" w:hAnsi="Arial"/>
                <w:sz w:val="15"/>
                <w:szCs w:val="15"/>
                <w:color w:val="auto"/>
              </w:rPr>
              <w:t>(434.9)</w:t>
            </w:r>
          </w:p>
        </w:tc>
        <w:tc>
          <w:tcPr>
            <w:tcW w:w="900" w:type="dxa"/>
            <w:vAlign w:val="bottom"/>
            <w:tcBorders>
              <w:top w:val="single" w:sz="8" w:color="793690"/>
              <w:bottom w:val="single" w:sz="8" w:color="DADAE7"/>
            </w:tcBorders>
          </w:tcPr>
          <w:p>
            <w:pPr>
              <w:jc w:val="right"/>
              <w:spacing w:after="0"/>
              <w:rPr>
                <w:sz w:val="20"/>
                <w:szCs w:val="20"/>
                <w:color w:val="auto"/>
              </w:rPr>
            </w:pPr>
            <w:r>
              <w:rPr>
                <w:rFonts w:ascii="Arial" w:cs="Arial" w:eastAsia="Arial" w:hAnsi="Arial"/>
                <w:sz w:val="15"/>
                <w:szCs w:val="15"/>
                <w:color w:val="auto"/>
              </w:rPr>
              <w:t>22%</w:t>
            </w:r>
          </w:p>
        </w:tc>
      </w:tr>
      <w:tr>
        <w:trPr>
          <w:trHeight w:val="237"/>
        </w:trPr>
        <w:tc>
          <w:tcPr>
            <w:tcW w:w="360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Control and support costs</w:t>
            </w:r>
            <w:r>
              <w:rPr>
                <w:rFonts w:ascii="Arial" w:cs="Arial" w:eastAsia="Arial" w:hAnsi="Arial"/>
                <w:sz w:val="19"/>
                <w:szCs w:val="19"/>
                <w:color w:val="auto"/>
                <w:vertAlign w:val="superscript"/>
              </w:rPr>
              <w:t>2</w:t>
            </w:r>
          </w:p>
        </w:tc>
        <w:tc>
          <w:tcPr>
            <w:tcW w:w="114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(116.0)</w:t>
            </w:r>
          </w:p>
        </w:tc>
        <w:tc>
          <w:tcPr>
            <w:tcW w:w="1700" w:type="dxa"/>
            <w:vAlign w:val="bottom"/>
            <w:tcBorders>
              <w:bottom w:val="single" w:sz="8" w:color="DADAE7"/>
            </w:tcBorders>
          </w:tcPr>
          <w:p>
            <w:pPr>
              <w:jc w:val="right"/>
              <w:ind w:right="349"/>
              <w:spacing w:after="0"/>
              <w:rPr>
                <w:sz w:val="20"/>
                <w:szCs w:val="20"/>
                <w:color w:val="auto"/>
              </w:rPr>
            </w:pPr>
            <w:r>
              <w:rPr>
                <w:rFonts w:ascii="Arial" w:cs="Arial" w:eastAsia="Arial" w:hAnsi="Arial"/>
                <w:sz w:val="15"/>
                <w:szCs w:val="15"/>
                <w:color w:val="auto"/>
              </w:rPr>
              <w:t>(100.4)</w:t>
            </w:r>
          </w:p>
        </w:tc>
        <w:tc>
          <w:tcPr>
            <w:tcW w:w="1040" w:type="dxa"/>
            <w:vAlign w:val="bottom"/>
            <w:tcBorders>
              <w:bottom w:val="single" w:sz="8" w:color="DADAE7"/>
            </w:tcBorders>
          </w:tcPr>
          <w:p>
            <w:pPr>
              <w:jc w:val="right"/>
              <w:ind w:right="86"/>
              <w:spacing w:after="0"/>
              <w:rPr>
                <w:sz w:val="20"/>
                <w:szCs w:val="20"/>
                <w:color w:val="auto"/>
              </w:rPr>
            </w:pPr>
            <w:r>
              <w:rPr>
                <w:rFonts w:ascii="Arial" w:cs="Arial" w:eastAsia="Arial" w:hAnsi="Arial"/>
                <w:sz w:val="15"/>
                <w:szCs w:val="15"/>
                <w:color w:val="auto"/>
              </w:rPr>
              <w:t>16%</w:t>
            </w:r>
          </w:p>
        </w:tc>
        <w:tc>
          <w:tcPr>
            <w:tcW w:w="116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(222.8)</w:t>
            </w:r>
          </w:p>
        </w:tc>
        <w:tc>
          <w:tcPr>
            <w:tcW w:w="1680" w:type="dxa"/>
            <w:vAlign w:val="bottom"/>
            <w:tcBorders>
              <w:bottom w:val="single" w:sz="8" w:color="DADAE7"/>
            </w:tcBorders>
          </w:tcPr>
          <w:p>
            <w:pPr>
              <w:jc w:val="right"/>
              <w:ind w:right="349"/>
              <w:spacing w:after="0"/>
              <w:rPr>
                <w:sz w:val="20"/>
                <w:szCs w:val="20"/>
                <w:color w:val="auto"/>
              </w:rPr>
            </w:pPr>
            <w:r>
              <w:rPr>
                <w:rFonts w:ascii="Arial" w:cs="Arial" w:eastAsia="Arial" w:hAnsi="Arial"/>
                <w:sz w:val="15"/>
                <w:szCs w:val="15"/>
                <w:color w:val="auto"/>
              </w:rPr>
              <w:t>(181.0)</w:t>
            </w:r>
          </w:p>
        </w:tc>
        <w:tc>
          <w:tcPr>
            <w:tcW w:w="900" w:type="dxa"/>
            <w:vAlign w:val="bottom"/>
            <w:tcBorders>
              <w:bottom w:val="single" w:sz="8" w:color="DADAE7"/>
            </w:tcBorders>
          </w:tcPr>
          <w:p>
            <w:pPr>
              <w:jc w:val="right"/>
              <w:spacing w:after="0"/>
              <w:rPr>
                <w:sz w:val="20"/>
                <w:szCs w:val="20"/>
                <w:color w:val="auto"/>
              </w:rPr>
            </w:pPr>
            <w:r>
              <w:rPr>
                <w:rFonts w:ascii="Arial" w:cs="Arial" w:eastAsia="Arial" w:hAnsi="Arial"/>
                <w:sz w:val="15"/>
                <w:szCs w:val="15"/>
                <w:color w:val="auto"/>
              </w:rPr>
              <w:t>23%</w:t>
            </w:r>
          </w:p>
        </w:tc>
      </w:tr>
      <w:tr>
        <w:trPr>
          <w:trHeight w:val="237"/>
        </w:trPr>
        <w:tc>
          <w:tcPr>
            <w:tcW w:w="3600" w:type="dxa"/>
            <w:vAlign w:val="bottom"/>
          </w:tcPr>
          <w:p>
            <w:pPr>
              <w:ind w:left="20"/>
              <w:spacing w:after="0"/>
              <w:rPr>
                <w:sz w:val="20"/>
                <w:szCs w:val="20"/>
                <w:color w:val="auto"/>
              </w:rPr>
            </w:pPr>
            <w:r>
              <w:rPr>
                <w:rFonts w:ascii="Arial" w:cs="Arial" w:eastAsia="Arial" w:hAnsi="Arial"/>
                <w:sz w:val="15"/>
                <w:szCs w:val="15"/>
                <w:color w:val="auto"/>
              </w:rPr>
              <w:t>Other</w:t>
            </w:r>
          </w:p>
        </w:tc>
        <w:tc>
          <w:tcPr>
            <w:tcW w:w="114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(1.3)</w:t>
            </w:r>
          </w:p>
        </w:tc>
        <w:tc>
          <w:tcPr>
            <w:tcW w:w="1700" w:type="dxa"/>
            <w:vAlign w:val="bottom"/>
          </w:tcPr>
          <w:p>
            <w:pPr>
              <w:jc w:val="right"/>
              <w:ind w:right="349"/>
              <w:spacing w:after="0"/>
              <w:rPr>
                <w:sz w:val="20"/>
                <w:szCs w:val="20"/>
                <w:color w:val="auto"/>
              </w:rPr>
            </w:pPr>
            <w:r>
              <w:rPr>
                <w:rFonts w:ascii="Arial" w:cs="Arial" w:eastAsia="Arial" w:hAnsi="Arial"/>
                <w:sz w:val="15"/>
                <w:szCs w:val="15"/>
                <w:color w:val="auto"/>
              </w:rPr>
              <w:t>(11.4)</w:t>
            </w:r>
          </w:p>
        </w:tc>
        <w:tc>
          <w:tcPr>
            <w:tcW w:w="1040" w:type="dxa"/>
            <w:vAlign w:val="bottom"/>
          </w:tcPr>
          <w:p>
            <w:pPr>
              <w:jc w:val="right"/>
              <w:ind w:right="86"/>
              <w:spacing w:after="0"/>
              <w:rPr>
                <w:sz w:val="20"/>
                <w:szCs w:val="20"/>
                <w:color w:val="auto"/>
              </w:rPr>
            </w:pPr>
            <w:r>
              <w:rPr>
                <w:rFonts w:ascii="Arial" w:cs="Arial" w:eastAsia="Arial" w:hAnsi="Arial"/>
                <w:sz w:val="15"/>
                <w:szCs w:val="15"/>
                <w:color w:val="auto"/>
              </w:rPr>
              <w:t>(89)%</w:t>
            </w:r>
          </w:p>
        </w:tc>
        <w:tc>
          <w:tcPr>
            <w:tcW w:w="116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(1.7)</w:t>
            </w:r>
          </w:p>
        </w:tc>
        <w:tc>
          <w:tcPr>
            <w:tcW w:w="1680" w:type="dxa"/>
            <w:vAlign w:val="bottom"/>
          </w:tcPr>
          <w:p>
            <w:pPr>
              <w:jc w:val="right"/>
              <w:ind w:right="349"/>
              <w:spacing w:after="0"/>
              <w:rPr>
                <w:sz w:val="20"/>
                <w:szCs w:val="20"/>
                <w:color w:val="auto"/>
              </w:rPr>
            </w:pPr>
            <w:r>
              <w:rPr>
                <w:rFonts w:ascii="Arial" w:cs="Arial" w:eastAsia="Arial" w:hAnsi="Arial"/>
                <w:sz w:val="15"/>
                <w:szCs w:val="15"/>
                <w:color w:val="auto"/>
              </w:rPr>
              <w:t>(20.2)</w:t>
            </w:r>
          </w:p>
        </w:tc>
        <w:tc>
          <w:tcPr>
            <w:tcW w:w="900" w:type="dxa"/>
            <w:vAlign w:val="bottom"/>
          </w:tcPr>
          <w:p>
            <w:pPr>
              <w:jc w:val="right"/>
              <w:spacing w:after="0"/>
              <w:rPr>
                <w:sz w:val="20"/>
                <w:szCs w:val="20"/>
                <w:color w:val="auto"/>
              </w:rPr>
            </w:pPr>
            <w:r>
              <w:rPr>
                <w:rFonts w:ascii="Arial" w:cs="Arial" w:eastAsia="Arial" w:hAnsi="Arial"/>
                <w:sz w:val="15"/>
                <w:szCs w:val="15"/>
                <w:color w:val="auto"/>
              </w:rPr>
              <w:t>(92)%</w:t>
            </w:r>
          </w:p>
        </w:tc>
      </w:tr>
      <w:tr>
        <w:trPr>
          <w:trHeight w:val="217"/>
        </w:trPr>
        <w:tc>
          <w:tcPr>
            <w:tcW w:w="360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Total Reported Costs</w:t>
            </w:r>
          </w:p>
        </w:tc>
        <w:tc>
          <w:tcPr>
            <w:tcW w:w="11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(389.5)</w:t>
            </w:r>
          </w:p>
        </w:tc>
        <w:tc>
          <w:tcPr>
            <w:tcW w:w="1700" w:type="dxa"/>
            <w:vAlign w:val="bottom"/>
            <w:tcBorders>
              <w:top w:val="single" w:sz="8" w:color="793690"/>
            </w:tcBorders>
          </w:tcPr>
          <w:p>
            <w:pPr>
              <w:jc w:val="right"/>
              <w:ind w:right="349"/>
              <w:spacing w:after="0"/>
              <w:rPr>
                <w:sz w:val="20"/>
                <w:szCs w:val="20"/>
                <w:color w:val="auto"/>
              </w:rPr>
            </w:pPr>
            <w:r>
              <w:rPr>
                <w:rFonts w:ascii="Arial" w:cs="Arial" w:eastAsia="Arial" w:hAnsi="Arial"/>
                <w:sz w:val="15"/>
                <w:szCs w:val="15"/>
                <w:color w:val="auto"/>
              </w:rPr>
              <w:t>(336.6)</w:t>
            </w:r>
          </w:p>
        </w:tc>
        <w:tc>
          <w:tcPr>
            <w:tcW w:w="1040" w:type="dxa"/>
            <w:vAlign w:val="bottom"/>
            <w:tcBorders>
              <w:top w:val="single" w:sz="8" w:color="793690"/>
            </w:tcBorders>
          </w:tcPr>
          <w:p>
            <w:pPr>
              <w:jc w:val="right"/>
              <w:ind w:right="86"/>
              <w:spacing w:after="0"/>
              <w:rPr>
                <w:sz w:val="20"/>
                <w:szCs w:val="20"/>
                <w:color w:val="auto"/>
              </w:rPr>
            </w:pPr>
            <w:r>
              <w:rPr>
                <w:rFonts w:ascii="Arial" w:cs="Arial" w:eastAsia="Arial" w:hAnsi="Arial"/>
                <w:sz w:val="15"/>
                <w:szCs w:val="15"/>
                <w:color w:val="auto"/>
              </w:rPr>
              <w:t>16%</w:t>
            </w:r>
          </w:p>
        </w:tc>
        <w:tc>
          <w:tcPr>
            <w:tcW w:w="116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(755.1)</w:t>
            </w:r>
          </w:p>
        </w:tc>
        <w:tc>
          <w:tcPr>
            <w:tcW w:w="1680" w:type="dxa"/>
            <w:vAlign w:val="bottom"/>
            <w:tcBorders>
              <w:top w:val="single" w:sz="8" w:color="793690"/>
            </w:tcBorders>
          </w:tcPr>
          <w:p>
            <w:pPr>
              <w:jc w:val="right"/>
              <w:ind w:right="349"/>
              <w:spacing w:after="0"/>
              <w:rPr>
                <w:sz w:val="20"/>
                <w:szCs w:val="20"/>
                <w:color w:val="auto"/>
              </w:rPr>
            </w:pPr>
            <w:r>
              <w:rPr>
                <w:rFonts w:ascii="Arial" w:cs="Arial" w:eastAsia="Arial" w:hAnsi="Arial"/>
                <w:sz w:val="15"/>
                <w:szCs w:val="15"/>
                <w:color w:val="auto"/>
              </w:rPr>
              <w:t>(636.1)</w:t>
            </w:r>
          </w:p>
        </w:tc>
        <w:tc>
          <w:tcPr>
            <w:tcW w:w="90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19%</w:t>
            </w:r>
          </w:p>
        </w:tc>
      </w:tr>
      <w:tr>
        <w:trPr>
          <w:trHeight w:val="20"/>
        </w:trPr>
        <w:tc>
          <w:tcPr>
            <w:tcW w:w="3600" w:type="dxa"/>
            <w:vAlign w:val="bottom"/>
            <w:shd w:val="clear" w:color="auto" w:fill="793690"/>
          </w:tcPr>
          <w:p>
            <w:pPr>
              <w:spacing w:after="0" w:line="20" w:lineRule="exact"/>
              <w:rPr>
                <w:sz w:val="1"/>
                <w:szCs w:val="1"/>
                <w:color w:val="auto"/>
              </w:rPr>
            </w:pPr>
          </w:p>
        </w:tc>
        <w:tc>
          <w:tcPr>
            <w:tcW w:w="1140" w:type="dxa"/>
            <w:vAlign w:val="bottom"/>
            <w:shd w:val="clear" w:color="auto" w:fill="793690"/>
          </w:tcPr>
          <w:p>
            <w:pPr>
              <w:spacing w:after="0" w:line="20" w:lineRule="exact"/>
              <w:rPr>
                <w:sz w:val="1"/>
                <w:szCs w:val="1"/>
                <w:color w:val="auto"/>
              </w:rPr>
            </w:pPr>
          </w:p>
        </w:tc>
        <w:tc>
          <w:tcPr>
            <w:tcW w:w="1700" w:type="dxa"/>
            <w:vAlign w:val="bottom"/>
            <w:shd w:val="clear" w:color="auto" w:fill="793690"/>
          </w:tcPr>
          <w:p>
            <w:pPr>
              <w:spacing w:after="0" w:line="20" w:lineRule="exact"/>
              <w:rPr>
                <w:sz w:val="1"/>
                <w:szCs w:val="1"/>
                <w:color w:val="auto"/>
              </w:rPr>
            </w:pPr>
          </w:p>
        </w:tc>
        <w:tc>
          <w:tcPr>
            <w:tcW w:w="1040" w:type="dxa"/>
            <w:vAlign w:val="bottom"/>
            <w:shd w:val="clear" w:color="auto" w:fill="793690"/>
          </w:tcPr>
          <w:p>
            <w:pPr>
              <w:spacing w:after="0" w:line="20" w:lineRule="exact"/>
              <w:rPr>
                <w:sz w:val="1"/>
                <w:szCs w:val="1"/>
                <w:color w:val="auto"/>
              </w:rPr>
            </w:pPr>
          </w:p>
        </w:tc>
        <w:tc>
          <w:tcPr>
            <w:tcW w:w="1160" w:type="dxa"/>
            <w:vAlign w:val="bottom"/>
            <w:shd w:val="clear" w:color="auto" w:fill="793690"/>
          </w:tcPr>
          <w:p>
            <w:pPr>
              <w:spacing w:after="0" w:line="20" w:lineRule="exact"/>
              <w:rPr>
                <w:sz w:val="1"/>
                <w:szCs w:val="1"/>
                <w:color w:val="auto"/>
              </w:rPr>
            </w:pPr>
          </w:p>
        </w:tc>
        <w:tc>
          <w:tcPr>
            <w:tcW w:w="1680" w:type="dxa"/>
            <w:vAlign w:val="bottom"/>
            <w:shd w:val="clear" w:color="auto" w:fill="793690"/>
          </w:tcPr>
          <w:p>
            <w:pPr>
              <w:spacing w:after="0" w:line="20" w:lineRule="exact"/>
              <w:rPr>
                <w:sz w:val="1"/>
                <w:szCs w:val="1"/>
                <w:color w:val="auto"/>
              </w:rPr>
            </w:pPr>
          </w:p>
        </w:tc>
        <w:tc>
          <w:tcPr>
            <w:tcW w:w="900" w:type="dxa"/>
            <w:vAlign w:val="bottom"/>
            <w:shd w:val="clear" w:color="auto" w:fill="793690"/>
          </w:tcPr>
          <w:p>
            <w:pPr>
              <w:spacing w:after="0" w:line="20" w:lineRule="exact"/>
              <w:rPr>
                <w:sz w:val="1"/>
                <w:szCs w:val="1"/>
                <w:color w:val="auto"/>
              </w:rPr>
            </w:pPr>
          </w:p>
        </w:tc>
      </w:tr>
    </w:tbl>
    <w:p>
      <w:pPr>
        <w:spacing w:after="0" w:line="284"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1"/>
          <w:szCs w:val="11"/>
          <w:color w:val="auto"/>
        </w:rPr>
      </w:pPr>
      <w:r>
        <w:rPr>
          <w:rFonts w:ascii="Arial" w:cs="Arial" w:eastAsia="Arial" w:hAnsi="Arial"/>
          <w:sz w:val="11"/>
          <w:szCs w:val="11"/>
          <w:color w:val="auto"/>
        </w:rPr>
        <w:t>These costs are the total of compensation and benefits and other expenses in the Statutory Income Statement provided above.</w:t>
      </w:r>
    </w:p>
    <w:p>
      <w:pPr>
        <w:spacing w:after="0" w:line="15" w:lineRule="exact"/>
        <w:rPr>
          <w:rFonts w:ascii="Arial" w:cs="Arial" w:eastAsia="Arial" w:hAnsi="Arial"/>
          <w:sz w:val="11"/>
          <w:szCs w:val="11"/>
          <w:color w:val="auto"/>
        </w:rPr>
      </w:pPr>
    </w:p>
    <w:p>
      <w:pPr>
        <w:ind w:left="120" w:hanging="112"/>
        <w:spacing w:after="0"/>
        <w:tabs>
          <w:tab w:leader="none" w:pos="120" w:val="left"/>
        </w:tabs>
        <w:numPr>
          <w:ilvl w:val="0"/>
          <w:numId w:val="7"/>
        </w:numPr>
        <w:rPr>
          <w:rFonts w:ascii="Arial" w:cs="Arial" w:eastAsia="Arial" w:hAnsi="Arial"/>
          <w:sz w:val="11"/>
          <w:szCs w:val="11"/>
          <w:color w:val="auto"/>
        </w:rPr>
      </w:pPr>
      <w:r>
        <w:rPr>
          <w:rFonts w:ascii="Arial" w:cs="Arial" w:eastAsia="Arial" w:hAnsi="Arial"/>
          <w:sz w:val="11"/>
          <w:szCs w:val="11"/>
          <w:color w:val="auto"/>
        </w:rPr>
        <w:t>Management review Front Office Costs and Control and Support Costs when assessing Adjusted Profit Before Tax performance.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a breakdown of Front Office and Control and Support Headcount: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11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700" w:type="dxa"/>
            <w:vAlign w:val="bottom"/>
          </w:tcPr>
          <w:p>
            <w:pPr>
              <w:jc w:val="right"/>
              <w:ind w:right="351"/>
              <w:spacing w:after="0"/>
              <w:rPr>
                <w:sz w:val="20"/>
                <w:szCs w:val="20"/>
                <w:color w:val="auto"/>
              </w:rPr>
            </w:pPr>
            <w:r>
              <w:rPr>
                <w:rFonts w:ascii="Arial" w:cs="Arial" w:eastAsia="Arial" w:hAnsi="Arial"/>
                <w:sz w:val="13"/>
                <w:szCs w:val="13"/>
                <w:b w:val="1"/>
                <w:bCs w:val="1"/>
                <w:color w:val="auto"/>
              </w:rPr>
              <w:t>30 June 2024</w:t>
            </w:r>
          </w:p>
        </w:tc>
        <w:tc>
          <w:tcPr>
            <w:tcW w:w="1040" w:type="dxa"/>
            <w:vAlign w:val="bottom"/>
          </w:tcPr>
          <w:p>
            <w:pPr>
              <w:spacing w:after="0"/>
              <w:rPr>
                <w:sz w:val="16"/>
                <w:szCs w:val="16"/>
                <w:color w:val="auto"/>
              </w:rPr>
            </w:pPr>
          </w:p>
        </w:tc>
        <w:tc>
          <w:tcPr>
            <w:tcW w:w="116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680" w:type="dxa"/>
            <w:vAlign w:val="bottom"/>
          </w:tcPr>
          <w:p>
            <w:pPr>
              <w:jc w:val="right"/>
              <w:ind w:right="330"/>
              <w:spacing w:after="0"/>
              <w:rPr>
                <w:sz w:val="20"/>
                <w:szCs w:val="20"/>
                <w:color w:val="auto"/>
              </w:rPr>
            </w:pPr>
            <w:r>
              <w:rPr>
                <w:rFonts w:ascii="Arial" w:cs="Arial" w:eastAsia="Arial" w:hAnsi="Arial"/>
                <w:sz w:val="13"/>
                <w:szCs w:val="13"/>
                <w:b w:val="1"/>
                <w:bCs w:val="1"/>
                <w:color w:val="auto"/>
              </w:rPr>
              <w:t>30 June 2024</w:t>
            </w:r>
          </w:p>
        </w:tc>
        <w:tc>
          <w:tcPr>
            <w:tcW w:w="900" w:type="dxa"/>
            <w:vAlign w:val="bottom"/>
          </w:tcPr>
          <w:p>
            <w:pPr>
              <w:spacing w:after="0"/>
              <w:rPr>
                <w:sz w:val="16"/>
                <w:szCs w:val="16"/>
                <w:color w:val="auto"/>
              </w:rPr>
            </w:pPr>
          </w:p>
        </w:tc>
      </w:tr>
      <w:tr>
        <w:trPr>
          <w:trHeight w:val="168"/>
        </w:trPr>
        <w:tc>
          <w:tcPr>
            <w:tcW w:w="3600" w:type="dxa"/>
            <w:vAlign w:val="bottom"/>
          </w:tcPr>
          <w:p>
            <w:pPr>
              <w:spacing w:after="0"/>
              <w:rPr>
                <w:sz w:val="14"/>
                <w:szCs w:val="14"/>
                <w:color w:val="auto"/>
              </w:rPr>
            </w:pPr>
          </w:p>
        </w:tc>
        <w:tc>
          <w:tcPr>
            <w:tcW w:w="11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Average for the</w:t>
            </w:r>
          </w:p>
        </w:tc>
        <w:tc>
          <w:tcPr>
            <w:tcW w:w="1700" w:type="dxa"/>
            <w:vAlign w:val="bottom"/>
          </w:tcPr>
          <w:p>
            <w:pPr>
              <w:jc w:val="right"/>
              <w:ind w:right="351"/>
              <w:spacing w:after="0"/>
              <w:rPr>
                <w:sz w:val="20"/>
                <w:szCs w:val="20"/>
                <w:color w:val="auto"/>
              </w:rPr>
            </w:pPr>
            <w:r>
              <w:rPr>
                <w:rFonts w:ascii="Arial" w:cs="Arial" w:eastAsia="Arial" w:hAnsi="Arial"/>
                <w:sz w:val="13"/>
                <w:szCs w:val="13"/>
                <w:b w:val="1"/>
                <w:bCs w:val="1"/>
                <w:color w:val="auto"/>
              </w:rPr>
              <w:t>Average for the</w:t>
            </w:r>
          </w:p>
        </w:tc>
        <w:tc>
          <w:tcPr>
            <w:tcW w:w="1040" w:type="dxa"/>
            <w:vAlign w:val="bottom"/>
          </w:tcPr>
          <w:p>
            <w:pPr>
              <w:spacing w:after="0"/>
              <w:rPr>
                <w:sz w:val="14"/>
                <w:szCs w:val="14"/>
                <w:color w:val="auto"/>
              </w:rPr>
            </w:pPr>
          </w:p>
        </w:tc>
        <w:tc>
          <w:tcPr>
            <w:tcW w:w="1160" w:type="dxa"/>
            <w:vAlign w:val="bottom"/>
            <w:shd w:val="clear" w:color="auto" w:fill="F4EFF6"/>
          </w:tcPr>
          <w:p>
            <w:pPr>
              <w:spacing w:after="0"/>
              <w:rPr>
                <w:sz w:val="14"/>
                <w:szCs w:val="14"/>
                <w:color w:val="auto"/>
              </w:rPr>
            </w:pPr>
          </w:p>
        </w:tc>
        <w:tc>
          <w:tcPr>
            <w:tcW w:w="16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11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three-month</w:t>
            </w:r>
          </w:p>
        </w:tc>
        <w:tc>
          <w:tcPr>
            <w:tcW w:w="1700" w:type="dxa"/>
            <w:vAlign w:val="bottom"/>
          </w:tcPr>
          <w:p>
            <w:pPr>
              <w:jc w:val="right"/>
              <w:ind w:right="351"/>
              <w:spacing w:after="0"/>
              <w:rPr>
                <w:sz w:val="20"/>
                <w:szCs w:val="20"/>
                <w:color w:val="auto"/>
              </w:rPr>
            </w:pPr>
            <w:r>
              <w:rPr>
                <w:rFonts w:ascii="Arial" w:cs="Arial" w:eastAsia="Arial" w:hAnsi="Arial"/>
                <w:sz w:val="13"/>
                <w:szCs w:val="13"/>
                <w:b w:val="1"/>
                <w:bCs w:val="1"/>
                <w:color w:val="auto"/>
              </w:rPr>
              <w:t>three-month</w:t>
            </w:r>
          </w:p>
        </w:tc>
        <w:tc>
          <w:tcPr>
            <w:tcW w:w="1040" w:type="dxa"/>
            <w:vAlign w:val="bottom"/>
          </w:tcPr>
          <w:p>
            <w:pPr>
              <w:spacing w:after="0"/>
              <w:rPr>
                <w:sz w:val="14"/>
                <w:szCs w:val="14"/>
                <w:color w:val="auto"/>
              </w:rPr>
            </w:pPr>
          </w:p>
        </w:tc>
        <w:tc>
          <w:tcPr>
            <w:tcW w:w="116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Average for the</w:t>
            </w:r>
          </w:p>
        </w:tc>
        <w:tc>
          <w:tcPr>
            <w:tcW w:w="1680" w:type="dxa"/>
            <w:vAlign w:val="bottom"/>
          </w:tcPr>
          <w:p>
            <w:pPr>
              <w:jc w:val="right"/>
              <w:ind w:right="330"/>
              <w:spacing w:after="0"/>
              <w:rPr>
                <w:sz w:val="20"/>
                <w:szCs w:val="20"/>
                <w:color w:val="auto"/>
              </w:rPr>
            </w:pPr>
            <w:r>
              <w:rPr>
                <w:rFonts w:ascii="Arial" w:cs="Arial" w:eastAsia="Arial" w:hAnsi="Arial"/>
                <w:sz w:val="13"/>
                <w:szCs w:val="13"/>
                <w:b w:val="1"/>
                <w:bCs w:val="1"/>
                <w:color w:val="auto"/>
              </w:rPr>
              <w:t>Average for the</w:t>
            </w:r>
          </w:p>
        </w:tc>
        <w:tc>
          <w:tcPr>
            <w:tcW w:w="900" w:type="dxa"/>
            <w:vAlign w:val="bottom"/>
          </w:tcPr>
          <w:p>
            <w:pPr>
              <w:spacing w:after="0"/>
              <w:rPr>
                <w:sz w:val="14"/>
                <w:szCs w:val="14"/>
                <w:color w:val="auto"/>
              </w:rPr>
            </w:pPr>
          </w:p>
        </w:tc>
      </w:tr>
      <w:tr>
        <w:trPr>
          <w:trHeight w:val="193"/>
        </w:trPr>
        <w:tc>
          <w:tcPr>
            <w:tcW w:w="3600" w:type="dxa"/>
            <w:vAlign w:val="bottom"/>
            <w:tcBorders>
              <w:bottom w:val="single" w:sz="8" w:color="793690"/>
            </w:tcBorders>
          </w:tcPr>
          <w:p>
            <w:pPr>
              <w:ind w:left="20"/>
              <w:spacing w:after="0"/>
              <w:rPr>
                <w:sz w:val="20"/>
                <w:szCs w:val="20"/>
                <w:color w:val="auto"/>
              </w:rPr>
            </w:pPr>
            <w:r>
              <w:rPr>
                <w:rFonts w:ascii="Arial" w:cs="Arial" w:eastAsia="Arial" w:hAnsi="Arial"/>
                <w:sz w:val="13"/>
                <w:szCs w:val="13"/>
                <w:b w:val="1"/>
                <w:bCs w:val="1"/>
                <w:color w:val="auto"/>
              </w:rPr>
              <w:t>Full Time Equivalent (‘FTE’) headcount</w:t>
            </w:r>
            <w:r>
              <w:rPr>
                <w:rFonts w:ascii="Arial" w:cs="Arial" w:eastAsia="Arial" w:hAnsi="Arial"/>
                <w:sz w:val="16"/>
                <w:szCs w:val="16"/>
                <w:b w:val="1"/>
                <w:bCs w:val="1"/>
                <w:color w:val="auto"/>
                <w:vertAlign w:val="superscript"/>
              </w:rPr>
              <w:t>1</w:t>
            </w:r>
          </w:p>
        </w:tc>
        <w:tc>
          <w:tcPr>
            <w:tcW w:w="1140" w:type="dxa"/>
            <w:vAlign w:val="bottom"/>
            <w:tcBorders>
              <w:bottom w:val="single" w:sz="8" w:color="793690"/>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period</w:t>
            </w:r>
          </w:p>
        </w:tc>
        <w:tc>
          <w:tcPr>
            <w:tcW w:w="1700" w:type="dxa"/>
            <w:vAlign w:val="bottom"/>
            <w:tcBorders>
              <w:bottom w:val="single" w:sz="8" w:color="793690"/>
            </w:tcBorders>
          </w:tcPr>
          <w:p>
            <w:pPr>
              <w:jc w:val="right"/>
              <w:ind w:right="351"/>
              <w:spacing w:after="0"/>
              <w:rPr>
                <w:sz w:val="20"/>
                <w:szCs w:val="20"/>
                <w:color w:val="auto"/>
              </w:rPr>
            </w:pPr>
            <w:r>
              <w:rPr>
                <w:rFonts w:ascii="Arial" w:cs="Arial" w:eastAsia="Arial" w:hAnsi="Arial"/>
                <w:sz w:val="13"/>
                <w:szCs w:val="13"/>
                <w:b w:val="1"/>
                <w:bCs w:val="1"/>
                <w:color w:val="auto"/>
              </w:rPr>
              <w:t>period</w:t>
            </w:r>
          </w:p>
        </w:tc>
        <w:tc>
          <w:tcPr>
            <w:tcW w:w="1040" w:type="dxa"/>
            <w:vAlign w:val="bottom"/>
            <w:tcBorders>
              <w:bottom w:val="single" w:sz="8" w:color="793690"/>
            </w:tcBorders>
          </w:tcPr>
          <w:p>
            <w:pPr>
              <w:jc w:val="right"/>
              <w:ind w:right="87"/>
              <w:spacing w:after="0"/>
              <w:rPr>
                <w:sz w:val="20"/>
                <w:szCs w:val="20"/>
                <w:color w:val="auto"/>
              </w:rPr>
            </w:pPr>
            <w:r>
              <w:rPr>
                <w:rFonts w:ascii="Arial" w:cs="Arial" w:eastAsia="Arial" w:hAnsi="Arial"/>
                <w:sz w:val="13"/>
                <w:szCs w:val="13"/>
                <w:b w:val="1"/>
                <w:bCs w:val="1"/>
                <w:color w:val="auto"/>
              </w:rPr>
              <w:t>Change</w:t>
            </w:r>
          </w:p>
        </w:tc>
        <w:tc>
          <w:tcPr>
            <w:tcW w:w="1160" w:type="dxa"/>
            <w:vAlign w:val="bottom"/>
            <w:tcBorders>
              <w:bottom w:val="single" w:sz="8" w:color="793690"/>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six-month period</w:t>
            </w:r>
          </w:p>
        </w:tc>
        <w:tc>
          <w:tcPr>
            <w:tcW w:w="1680" w:type="dxa"/>
            <w:vAlign w:val="bottom"/>
            <w:tcBorders>
              <w:bottom w:val="single" w:sz="8" w:color="793690"/>
            </w:tcBorders>
          </w:tcPr>
          <w:p>
            <w:pPr>
              <w:jc w:val="right"/>
              <w:ind w:right="330"/>
              <w:spacing w:after="0"/>
              <w:rPr>
                <w:sz w:val="20"/>
                <w:szCs w:val="20"/>
                <w:color w:val="auto"/>
              </w:rPr>
            </w:pPr>
            <w:r>
              <w:rPr>
                <w:rFonts w:ascii="Arial" w:cs="Arial" w:eastAsia="Arial" w:hAnsi="Arial"/>
                <w:sz w:val="13"/>
                <w:szCs w:val="13"/>
                <w:b w:val="1"/>
                <w:bCs w:val="1"/>
                <w:color w:val="auto"/>
              </w:rPr>
              <w:t>six-month period</w:t>
            </w:r>
          </w:p>
        </w:tc>
        <w:tc>
          <w:tcPr>
            <w:tcW w:w="900" w:type="dxa"/>
            <w:vAlign w:val="bottom"/>
            <w:tcBorders>
              <w:bottom w:val="single" w:sz="8" w:color="793690"/>
            </w:tcBorders>
          </w:tcPr>
          <w:p>
            <w:pPr>
              <w:jc w:val="right"/>
              <w:spacing w:after="0"/>
              <w:rPr>
                <w:sz w:val="20"/>
                <w:szCs w:val="20"/>
                <w:color w:val="auto"/>
              </w:rPr>
            </w:pPr>
            <w:r>
              <w:rPr>
                <w:rFonts w:ascii="Arial" w:cs="Arial" w:eastAsia="Arial" w:hAnsi="Arial"/>
                <w:sz w:val="13"/>
                <w:szCs w:val="13"/>
                <w:b w:val="1"/>
                <w:bCs w:val="1"/>
                <w:color w:val="auto"/>
              </w:rPr>
              <w:t>Change</w:t>
            </w:r>
          </w:p>
        </w:tc>
      </w:tr>
      <w:tr>
        <w:trPr>
          <w:trHeight w:val="237"/>
        </w:trPr>
        <w:tc>
          <w:tcPr>
            <w:tcW w:w="3600" w:type="dxa"/>
            <w:vAlign w:val="bottom"/>
          </w:tcPr>
          <w:p>
            <w:pPr>
              <w:ind w:left="20"/>
              <w:spacing w:after="0"/>
              <w:rPr>
                <w:sz w:val="20"/>
                <w:szCs w:val="20"/>
                <w:color w:val="auto"/>
              </w:rPr>
            </w:pPr>
            <w:r>
              <w:rPr>
                <w:rFonts w:ascii="Arial" w:cs="Arial" w:eastAsia="Arial" w:hAnsi="Arial"/>
                <w:sz w:val="15"/>
                <w:szCs w:val="15"/>
                <w:color w:val="auto"/>
              </w:rPr>
              <w:t>Front office</w:t>
            </w:r>
          </w:p>
        </w:tc>
        <w:tc>
          <w:tcPr>
            <w:tcW w:w="114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1,318</w:t>
            </w:r>
          </w:p>
        </w:tc>
        <w:tc>
          <w:tcPr>
            <w:tcW w:w="1700" w:type="dxa"/>
            <w:vAlign w:val="bottom"/>
          </w:tcPr>
          <w:p>
            <w:pPr>
              <w:jc w:val="right"/>
              <w:ind w:right="391"/>
              <w:spacing w:after="0"/>
              <w:rPr>
                <w:sz w:val="20"/>
                <w:szCs w:val="20"/>
                <w:color w:val="auto"/>
              </w:rPr>
            </w:pPr>
            <w:r>
              <w:rPr>
                <w:rFonts w:ascii="Arial" w:cs="Arial" w:eastAsia="Arial" w:hAnsi="Arial"/>
                <w:sz w:val="15"/>
                <w:szCs w:val="15"/>
                <w:color w:val="auto"/>
              </w:rPr>
              <w:t>1,256</w:t>
            </w:r>
          </w:p>
        </w:tc>
        <w:tc>
          <w:tcPr>
            <w:tcW w:w="1040" w:type="dxa"/>
            <w:vAlign w:val="bottom"/>
          </w:tcPr>
          <w:p>
            <w:pPr>
              <w:jc w:val="right"/>
              <w:ind w:right="87"/>
              <w:spacing w:after="0"/>
              <w:rPr>
                <w:sz w:val="20"/>
                <w:szCs w:val="20"/>
                <w:color w:val="auto"/>
              </w:rPr>
            </w:pPr>
            <w:r>
              <w:rPr>
                <w:rFonts w:ascii="Arial" w:cs="Arial" w:eastAsia="Arial" w:hAnsi="Arial"/>
                <w:sz w:val="15"/>
                <w:szCs w:val="15"/>
                <w:color w:val="auto"/>
              </w:rPr>
              <w:t>5%</w:t>
            </w:r>
          </w:p>
        </w:tc>
        <w:tc>
          <w:tcPr>
            <w:tcW w:w="1160" w:type="dxa"/>
            <w:vAlign w:val="bottom"/>
            <w:tcBorders>
              <w:bottom w:val="single" w:sz="8" w:color="F4EFF6"/>
            </w:tcBorders>
            <w:shd w:val="clear" w:color="auto" w:fill="F4EFF6"/>
          </w:tcPr>
          <w:p>
            <w:pPr>
              <w:jc w:val="right"/>
              <w:ind w:right="10"/>
              <w:spacing w:after="0"/>
              <w:rPr>
                <w:sz w:val="20"/>
                <w:szCs w:val="20"/>
                <w:color w:val="auto"/>
              </w:rPr>
            </w:pPr>
            <w:r>
              <w:rPr>
                <w:rFonts w:ascii="Arial" w:cs="Arial" w:eastAsia="Arial" w:hAnsi="Arial"/>
                <w:sz w:val="15"/>
                <w:szCs w:val="15"/>
                <w:b w:val="1"/>
                <w:bCs w:val="1"/>
                <w:color w:val="auto"/>
              </w:rPr>
              <w:t>1,301</w:t>
            </w:r>
          </w:p>
        </w:tc>
        <w:tc>
          <w:tcPr>
            <w:tcW w:w="1680" w:type="dxa"/>
            <w:vAlign w:val="bottom"/>
          </w:tcPr>
          <w:p>
            <w:pPr>
              <w:jc w:val="right"/>
              <w:ind w:right="390"/>
              <w:spacing w:after="0"/>
              <w:rPr>
                <w:sz w:val="20"/>
                <w:szCs w:val="20"/>
                <w:color w:val="auto"/>
              </w:rPr>
            </w:pPr>
            <w:r>
              <w:rPr>
                <w:rFonts w:ascii="Arial" w:cs="Arial" w:eastAsia="Arial" w:hAnsi="Arial"/>
                <w:sz w:val="15"/>
                <w:szCs w:val="15"/>
                <w:color w:val="auto"/>
              </w:rPr>
              <w:t>1,247</w:t>
            </w:r>
          </w:p>
        </w:tc>
        <w:tc>
          <w:tcPr>
            <w:tcW w:w="90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237"/>
        </w:trPr>
        <w:tc>
          <w:tcPr>
            <w:tcW w:w="36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Control and support</w:t>
            </w: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1,259</w:t>
            </w:r>
          </w:p>
        </w:tc>
        <w:tc>
          <w:tcPr>
            <w:tcW w:w="1700" w:type="dxa"/>
            <w:vAlign w:val="bottom"/>
            <w:tcBorders>
              <w:top w:val="single" w:sz="8" w:color="DADAE7"/>
            </w:tcBorders>
          </w:tcPr>
          <w:p>
            <w:pPr>
              <w:jc w:val="right"/>
              <w:ind w:right="391"/>
              <w:spacing w:after="0"/>
              <w:rPr>
                <w:sz w:val="20"/>
                <w:szCs w:val="20"/>
                <w:color w:val="auto"/>
              </w:rPr>
            </w:pPr>
            <w:r>
              <w:rPr>
                <w:rFonts w:ascii="Arial" w:cs="Arial" w:eastAsia="Arial" w:hAnsi="Arial"/>
                <w:sz w:val="15"/>
                <w:szCs w:val="15"/>
                <w:color w:val="auto"/>
              </w:rPr>
              <w:t>1,066</w:t>
            </w:r>
          </w:p>
        </w:tc>
        <w:tc>
          <w:tcPr>
            <w:tcW w:w="1040" w:type="dxa"/>
            <w:vAlign w:val="bottom"/>
            <w:tcBorders>
              <w:top w:val="single" w:sz="8" w:color="DADAE7"/>
            </w:tcBorders>
          </w:tcPr>
          <w:p>
            <w:pPr>
              <w:jc w:val="right"/>
              <w:ind w:right="87"/>
              <w:spacing w:after="0"/>
              <w:rPr>
                <w:sz w:val="20"/>
                <w:szCs w:val="20"/>
                <w:color w:val="auto"/>
              </w:rPr>
            </w:pPr>
            <w:r>
              <w:rPr>
                <w:rFonts w:ascii="Arial" w:cs="Arial" w:eastAsia="Arial" w:hAnsi="Arial"/>
                <w:sz w:val="15"/>
                <w:szCs w:val="15"/>
                <w:color w:val="auto"/>
              </w:rPr>
              <w:t>18%</w:t>
            </w:r>
          </w:p>
        </w:tc>
        <w:tc>
          <w:tcPr>
            <w:tcW w:w="1160" w:type="dxa"/>
            <w:vAlign w:val="bottom"/>
            <w:tcBorders>
              <w:top w:val="single" w:sz="8" w:color="DADAE7"/>
              <w:bottom w:val="single" w:sz="8" w:color="F4EFF6"/>
            </w:tcBorders>
            <w:shd w:val="clear" w:color="auto" w:fill="F4EFF6"/>
          </w:tcPr>
          <w:p>
            <w:pPr>
              <w:jc w:val="right"/>
              <w:ind w:right="10"/>
              <w:spacing w:after="0"/>
              <w:rPr>
                <w:sz w:val="20"/>
                <w:szCs w:val="20"/>
                <w:color w:val="auto"/>
              </w:rPr>
            </w:pPr>
            <w:r>
              <w:rPr>
                <w:rFonts w:ascii="Arial" w:cs="Arial" w:eastAsia="Arial" w:hAnsi="Arial"/>
                <w:sz w:val="15"/>
                <w:szCs w:val="15"/>
                <w:b w:val="1"/>
                <w:bCs w:val="1"/>
                <w:color w:val="auto"/>
              </w:rPr>
              <w:t>1,221</w:t>
            </w:r>
          </w:p>
        </w:tc>
        <w:tc>
          <w:tcPr>
            <w:tcW w:w="1680" w:type="dxa"/>
            <w:vAlign w:val="bottom"/>
            <w:tcBorders>
              <w:top w:val="single" w:sz="8" w:color="DADAE7"/>
            </w:tcBorders>
          </w:tcPr>
          <w:p>
            <w:pPr>
              <w:jc w:val="right"/>
              <w:ind w:right="390"/>
              <w:spacing w:after="0"/>
              <w:rPr>
                <w:sz w:val="20"/>
                <w:szCs w:val="20"/>
                <w:color w:val="auto"/>
              </w:rPr>
            </w:pPr>
            <w:r>
              <w:rPr>
                <w:rFonts w:ascii="Arial" w:cs="Arial" w:eastAsia="Arial" w:hAnsi="Arial"/>
                <w:sz w:val="15"/>
                <w:szCs w:val="15"/>
                <w:color w:val="auto"/>
              </w:rPr>
              <w:t>1,040</w:t>
            </w:r>
          </w:p>
        </w:tc>
        <w:tc>
          <w:tcPr>
            <w:tcW w:w="90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17%</w:t>
            </w:r>
          </w:p>
        </w:tc>
      </w:tr>
      <w:tr>
        <w:trPr>
          <w:trHeight w:val="216"/>
        </w:trPr>
        <w:tc>
          <w:tcPr>
            <w:tcW w:w="360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Total</w:t>
            </w:r>
          </w:p>
        </w:tc>
        <w:tc>
          <w:tcPr>
            <w:tcW w:w="11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2,577</w:t>
            </w:r>
          </w:p>
        </w:tc>
        <w:tc>
          <w:tcPr>
            <w:tcW w:w="1700" w:type="dxa"/>
            <w:vAlign w:val="bottom"/>
            <w:tcBorders>
              <w:top w:val="single" w:sz="8" w:color="793690"/>
            </w:tcBorders>
          </w:tcPr>
          <w:p>
            <w:pPr>
              <w:jc w:val="right"/>
              <w:ind w:right="391"/>
              <w:spacing w:after="0"/>
              <w:rPr>
                <w:sz w:val="20"/>
                <w:szCs w:val="20"/>
                <w:color w:val="auto"/>
              </w:rPr>
            </w:pPr>
            <w:r>
              <w:rPr>
                <w:rFonts w:ascii="Arial" w:cs="Arial" w:eastAsia="Arial" w:hAnsi="Arial"/>
                <w:sz w:val="15"/>
                <w:szCs w:val="15"/>
                <w:color w:val="auto"/>
              </w:rPr>
              <w:t>2,322</w:t>
            </w:r>
          </w:p>
        </w:tc>
        <w:tc>
          <w:tcPr>
            <w:tcW w:w="1040" w:type="dxa"/>
            <w:vAlign w:val="bottom"/>
            <w:tcBorders>
              <w:top w:val="single" w:sz="8" w:color="793690"/>
            </w:tcBorders>
          </w:tcPr>
          <w:p>
            <w:pPr>
              <w:jc w:val="right"/>
              <w:ind w:right="87"/>
              <w:spacing w:after="0"/>
              <w:rPr>
                <w:sz w:val="20"/>
                <w:szCs w:val="20"/>
                <w:color w:val="auto"/>
              </w:rPr>
            </w:pPr>
            <w:r>
              <w:rPr>
                <w:rFonts w:ascii="Arial" w:cs="Arial" w:eastAsia="Arial" w:hAnsi="Arial"/>
                <w:sz w:val="15"/>
                <w:szCs w:val="15"/>
                <w:color w:val="auto"/>
              </w:rPr>
              <w:t>11%</w:t>
            </w:r>
          </w:p>
        </w:tc>
        <w:tc>
          <w:tcPr>
            <w:tcW w:w="1160" w:type="dxa"/>
            <w:vAlign w:val="bottom"/>
            <w:tcBorders>
              <w:top w:val="single" w:sz="8" w:color="793690"/>
              <w:bottom w:val="single" w:sz="8" w:color="F4EFF6"/>
            </w:tcBorders>
            <w:shd w:val="clear" w:color="auto" w:fill="F4EFF6"/>
          </w:tcPr>
          <w:p>
            <w:pPr>
              <w:jc w:val="right"/>
              <w:ind w:right="10"/>
              <w:spacing w:after="0"/>
              <w:rPr>
                <w:sz w:val="20"/>
                <w:szCs w:val="20"/>
                <w:color w:val="auto"/>
              </w:rPr>
            </w:pPr>
            <w:r>
              <w:rPr>
                <w:rFonts w:ascii="Arial" w:cs="Arial" w:eastAsia="Arial" w:hAnsi="Arial"/>
                <w:sz w:val="15"/>
                <w:szCs w:val="15"/>
                <w:b w:val="1"/>
                <w:bCs w:val="1"/>
                <w:color w:val="auto"/>
              </w:rPr>
              <w:t>2,522</w:t>
            </w:r>
          </w:p>
        </w:tc>
        <w:tc>
          <w:tcPr>
            <w:tcW w:w="1680" w:type="dxa"/>
            <w:vAlign w:val="bottom"/>
            <w:tcBorders>
              <w:top w:val="single" w:sz="8" w:color="793690"/>
            </w:tcBorders>
          </w:tcPr>
          <w:p>
            <w:pPr>
              <w:jc w:val="right"/>
              <w:ind w:right="390"/>
              <w:spacing w:after="0"/>
              <w:rPr>
                <w:sz w:val="20"/>
                <w:szCs w:val="20"/>
                <w:color w:val="auto"/>
              </w:rPr>
            </w:pPr>
            <w:r>
              <w:rPr>
                <w:rFonts w:ascii="Arial" w:cs="Arial" w:eastAsia="Arial" w:hAnsi="Arial"/>
                <w:sz w:val="15"/>
                <w:szCs w:val="15"/>
                <w:color w:val="auto"/>
              </w:rPr>
              <w:t>2,287</w:t>
            </w:r>
          </w:p>
        </w:tc>
        <w:tc>
          <w:tcPr>
            <w:tcW w:w="90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10%</w:t>
            </w:r>
          </w:p>
        </w:tc>
      </w:tr>
      <w:tr>
        <w:trPr>
          <w:trHeight w:val="20"/>
        </w:trPr>
        <w:tc>
          <w:tcPr>
            <w:tcW w:w="3600" w:type="dxa"/>
            <w:vAlign w:val="bottom"/>
            <w:shd w:val="clear" w:color="auto" w:fill="793690"/>
          </w:tcPr>
          <w:p>
            <w:pPr>
              <w:spacing w:after="0" w:line="20" w:lineRule="exact"/>
              <w:rPr>
                <w:sz w:val="1"/>
                <w:szCs w:val="1"/>
                <w:color w:val="auto"/>
              </w:rPr>
            </w:pPr>
          </w:p>
        </w:tc>
        <w:tc>
          <w:tcPr>
            <w:tcW w:w="1140" w:type="dxa"/>
            <w:vAlign w:val="bottom"/>
            <w:shd w:val="clear" w:color="auto" w:fill="793690"/>
          </w:tcPr>
          <w:p>
            <w:pPr>
              <w:spacing w:after="0" w:line="20" w:lineRule="exact"/>
              <w:rPr>
                <w:sz w:val="1"/>
                <w:szCs w:val="1"/>
                <w:color w:val="auto"/>
              </w:rPr>
            </w:pPr>
          </w:p>
        </w:tc>
        <w:tc>
          <w:tcPr>
            <w:tcW w:w="1700" w:type="dxa"/>
            <w:vAlign w:val="bottom"/>
            <w:shd w:val="clear" w:color="auto" w:fill="793690"/>
          </w:tcPr>
          <w:p>
            <w:pPr>
              <w:spacing w:after="0" w:line="20" w:lineRule="exact"/>
              <w:rPr>
                <w:sz w:val="1"/>
                <w:szCs w:val="1"/>
                <w:color w:val="auto"/>
              </w:rPr>
            </w:pPr>
          </w:p>
        </w:tc>
        <w:tc>
          <w:tcPr>
            <w:tcW w:w="1040" w:type="dxa"/>
            <w:vAlign w:val="bottom"/>
            <w:shd w:val="clear" w:color="auto" w:fill="793690"/>
          </w:tcPr>
          <w:p>
            <w:pPr>
              <w:spacing w:after="0" w:line="20" w:lineRule="exact"/>
              <w:rPr>
                <w:sz w:val="1"/>
                <w:szCs w:val="1"/>
                <w:color w:val="auto"/>
              </w:rPr>
            </w:pPr>
          </w:p>
        </w:tc>
        <w:tc>
          <w:tcPr>
            <w:tcW w:w="1160" w:type="dxa"/>
            <w:vAlign w:val="bottom"/>
            <w:shd w:val="clear" w:color="auto" w:fill="793690"/>
          </w:tcPr>
          <w:p>
            <w:pPr>
              <w:spacing w:after="0" w:line="20" w:lineRule="exact"/>
              <w:rPr>
                <w:sz w:val="1"/>
                <w:szCs w:val="1"/>
                <w:color w:val="auto"/>
              </w:rPr>
            </w:pPr>
          </w:p>
        </w:tc>
        <w:tc>
          <w:tcPr>
            <w:tcW w:w="1680" w:type="dxa"/>
            <w:vAlign w:val="bottom"/>
            <w:shd w:val="clear" w:color="auto" w:fill="793690"/>
          </w:tcPr>
          <w:p>
            <w:pPr>
              <w:spacing w:after="0" w:line="20" w:lineRule="exact"/>
              <w:rPr>
                <w:sz w:val="1"/>
                <w:szCs w:val="1"/>
                <w:color w:val="auto"/>
              </w:rPr>
            </w:pPr>
          </w:p>
        </w:tc>
        <w:tc>
          <w:tcPr>
            <w:tcW w:w="900" w:type="dxa"/>
            <w:vAlign w:val="bottom"/>
            <w:shd w:val="clear" w:color="auto" w:fill="793690"/>
          </w:tcPr>
          <w:p>
            <w:pPr>
              <w:spacing w:after="0" w:line="20" w:lineRule="exact"/>
              <w:rPr>
                <w:sz w:val="1"/>
                <w:szCs w:val="1"/>
                <w:color w:val="auto"/>
              </w:rPr>
            </w:pPr>
          </w:p>
        </w:tc>
      </w:tr>
    </w:tbl>
    <w:p>
      <w:pPr>
        <w:spacing w:after="0" w:line="297"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1"/>
          <w:szCs w:val="11"/>
          <w:color w:val="auto"/>
        </w:rPr>
      </w:pPr>
      <w:r>
        <w:rPr>
          <w:rFonts w:ascii="Arial" w:cs="Arial" w:eastAsia="Arial" w:hAnsi="Arial"/>
          <w:sz w:val="11"/>
          <w:szCs w:val="11"/>
          <w:color w:val="auto"/>
        </w:rPr>
        <w:t>For analysis purposes, average headcount is used in the performance commentary outlined below.</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Performance for the three months ended 30 June 2025</w:t>
      </w:r>
    </w:p>
    <w:p>
      <w:pPr>
        <w:spacing w:after="0" w:line="33" w:lineRule="exact"/>
        <w:rPr>
          <w:sz w:val="20"/>
          <w:szCs w:val="20"/>
          <w:color w:val="auto"/>
        </w:rPr>
      </w:pPr>
    </w:p>
    <w:p>
      <w:pPr>
        <w:ind w:right="420"/>
        <w:spacing w:after="0" w:line="282" w:lineRule="auto"/>
        <w:rPr>
          <w:sz w:val="20"/>
          <w:szCs w:val="20"/>
          <w:color w:val="auto"/>
        </w:rPr>
      </w:pPr>
      <w:r>
        <w:rPr>
          <w:rFonts w:ascii="Arial" w:cs="Arial" w:eastAsia="Arial" w:hAnsi="Arial"/>
          <w:sz w:val="15"/>
          <w:szCs w:val="15"/>
          <w:color w:val="auto"/>
        </w:rPr>
        <w:t>Revenue grew by 18% to $500.1m (Q2 2024: $422.1m), driven by a strong performance in Agency and Execution across both Securities and Energy, as well as Clearing.</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Net commission income increased by $48.7m to $257.1m (Q2 2024: $208.4m). The growth was driven mainly by Agency and Execution, which grew $43.2m to</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$187.2m (Q2 2024: $144.0m), reflecting strong performance in Securities and Energy, supported by higher transaction volumes.</w:t>
      </w:r>
    </w:p>
    <w:p>
      <w:pPr>
        <w:spacing w:after="0" w:line="100" w:lineRule="exact"/>
        <w:rPr>
          <w:sz w:val="20"/>
          <w:szCs w:val="20"/>
          <w:color w:val="auto"/>
        </w:rPr>
      </w:pPr>
    </w:p>
    <w:p>
      <w:pPr>
        <w:ind w:right="320"/>
        <w:spacing w:after="0" w:line="282" w:lineRule="auto"/>
        <w:rPr>
          <w:sz w:val="20"/>
          <w:szCs w:val="20"/>
          <w:color w:val="auto"/>
        </w:rPr>
      </w:pPr>
      <w:r>
        <w:rPr>
          <w:rFonts w:ascii="Arial" w:cs="Arial" w:eastAsia="Arial" w:hAnsi="Arial"/>
          <w:sz w:val="15"/>
          <w:szCs w:val="15"/>
          <w:color w:val="auto"/>
        </w:rPr>
        <w:t>Net trading income rose by $66.8m to $203.3m (Q2 2024: $136.5m). The growth was driven by a $65.4m increase in Agency and Execution to $76.2m (Q2 2024: $10.8m), with strong performance across all asset classes. The most significant contribution came from the continued strategic expansion of our Prime Services capabilities, including growth in our securities based swaps offering.</w:t>
      </w:r>
    </w:p>
    <w:p>
      <w:pPr>
        <w:spacing w:after="0" w:line="53" w:lineRule="exact"/>
        <w:rPr>
          <w:sz w:val="20"/>
          <w:szCs w:val="20"/>
          <w:color w:val="auto"/>
        </w:rPr>
      </w:pPr>
    </w:p>
    <w:p>
      <w:pPr>
        <w:ind w:right="100"/>
        <w:spacing w:after="0" w:line="301" w:lineRule="auto"/>
        <w:rPr>
          <w:sz w:val="20"/>
          <w:szCs w:val="20"/>
          <w:color w:val="auto"/>
        </w:rPr>
      </w:pPr>
      <w:r>
        <w:rPr>
          <w:rFonts w:ascii="Arial" w:cs="Arial" w:eastAsia="Arial" w:hAnsi="Arial"/>
          <w:sz w:val="15"/>
          <w:szCs w:val="15"/>
          <w:color w:val="auto"/>
        </w:rPr>
        <w:t>Net Interest Income has decreased by 47% to $34.6m (Q2 2024:$65.4m) driven by a 100 bps reduction in the average fed rates and higher interest expense relating to senior debt issuances in November 2024 ($600m) and May 2025 ($500m), ongoing structured note issuance, partially offset by an increase in client balances.</w:t>
      </w:r>
    </w:p>
    <w:p>
      <w:pPr>
        <w:spacing w:after="0" w:line="40" w:lineRule="exact"/>
        <w:rPr>
          <w:sz w:val="20"/>
          <w:szCs w:val="20"/>
          <w:color w:val="auto"/>
        </w:rPr>
      </w:pPr>
    </w:p>
    <w:p>
      <w:pPr>
        <w:jc w:val="both"/>
        <w:ind w:right="120"/>
        <w:spacing w:after="0" w:line="268" w:lineRule="auto"/>
        <w:rPr>
          <w:sz w:val="20"/>
          <w:szCs w:val="20"/>
          <w:color w:val="auto"/>
        </w:rPr>
      </w:pPr>
      <w:r>
        <w:rPr>
          <w:rFonts w:ascii="Arial" w:cs="Arial" w:eastAsia="Arial" w:hAnsi="Arial"/>
          <w:sz w:val="15"/>
          <w:szCs w:val="15"/>
          <w:color w:val="auto"/>
        </w:rPr>
        <w:t>Total reported costs increased by 16% from $336.6m in Q2 2024 to $389.5m in Q2 2025 driven by both higher front office and control and support costs. Front office costs increased by $47.4m to $272.2m (Q2 2024: $224.8m), largely reflecting higher compensation costs on strong revenue performance, a 5% increase in average front office headcount and growth in direct costs reflecting higher front office technology investment to support future growth. Front office headcount growth reflected restructuring activity in Agency and Execution and reallocation of FTE from front office to control and support in Q2 2024. Excluding these, average front office FTE headcount grew by 9% year on year.</w:t>
      </w:r>
    </w:p>
    <w:p>
      <w:pPr>
        <w:spacing w:after="0" w:line="63" w:lineRule="exact"/>
        <w:rPr>
          <w:sz w:val="20"/>
          <w:szCs w:val="20"/>
          <w:color w:val="auto"/>
        </w:rPr>
      </w:pPr>
    </w:p>
    <w:p>
      <w:pPr>
        <w:ind w:right="180"/>
        <w:spacing w:after="0" w:line="282" w:lineRule="auto"/>
        <w:rPr>
          <w:sz w:val="20"/>
          <w:szCs w:val="20"/>
          <w:color w:val="auto"/>
        </w:rPr>
      </w:pPr>
      <w:r>
        <w:rPr>
          <w:rFonts w:ascii="Arial" w:cs="Arial" w:eastAsia="Arial" w:hAnsi="Arial"/>
          <w:sz w:val="15"/>
          <w:szCs w:val="15"/>
          <w:color w:val="auto"/>
        </w:rPr>
        <w:t>Control and Support costs increased $15.6m to $116.0m (Q2 2024: $100.4m), primarily reflecting an increase in investment in our finance, risk, technology and compliance functions, as we continue to invest in our people and systems to support future growth. This increase also included specific investment in relation to our compliance with the Sarbanes-Oxley Act of 2002, and an increase in professional fees due to the debt issuance and our recent acquisitions.</w:t>
      </w:r>
    </w:p>
    <w:p>
      <w:pPr>
        <w:spacing w:after="0" w:line="53" w:lineRule="exact"/>
        <w:rPr>
          <w:sz w:val="20"/>
          <w:szCs w:val="20"/>
          <w:color w:val="auto"/>
        </w:rPr>
      </w:pPr>
    </w:p>
    <w:p>
      <w:pPr>
        <w:ind w:right="100"/>
        <w:spacing w:after="0" w:line="269" w:lineRule="auto"/>
        <w:rPr>
          <w:sz w:val="20"/>
          <w:szCs w:val="20"/>
          <w:color w:val="auto"/>
        </w:rPr>
      </w:pPr>
      <w:r>
        <w:rPr>
          <w:rFonts w:ascii="Arial" w:cs="Arial" w:eastAsia="Arial" w:hAnsi="Arial"/>
          <w:sz w:val="15"/>
          <w:szCs w:val="15"/>
          <w:color w:val="auto"/>
        </w:rPr>
        <w:t>Reported Profit Before Tax increased by $23.5m to $103.6m (Q2 2024: $80.1m), driven by strong revenue growth and improved operating margins. The Group's Reported Profit Before Tax margin increased from 19.0% in Q2 2024 to 20.7% in Q2 2025 reflecting margin expansion in Agency and Execution due to the growth of higher margin products including Prime Services and the restructuring of underperforming desks while Q2 2024 was also impacted by a number of adjusting items related to the IPO and owner fees.</w:t>
      </w:r>
    </w:p>
    <w:p>
      <w:pPr>
        <w:spacing w:after="0" w:line="77"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auto"/>
        </w:rPr>
        <w:t>Adjusting items reduced by $8.6m to $2.8m (Q2 2024: $11.4m). These costs are primarily related to corporate activities and are recognised within our Corporate segment. Adjusting items reduced mainly due to the non-recurrence of costs incurred in preparation for and associated with our successful IPO and owner fees in the prior period.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As a result of the revenue and cost trends noted above, Adjusted Profit Before Tax</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increased $14.9m to $106.4m (Q2 2024: $91.5m) while Adjusted Profit Before Tax</w:t>
      </w:r>
    </w:p>
    <w:p>
      <w:pPr>
        <w:spacing w:after="0"/>
        <w:rPr>
          <w:sz w:val="20"/>
          <w:szCs w:val="20"/>
          <w:color w:val="auto"/>
        </w:rPr>
      </w:pPr>
      <w:r>
        <w:rPr>
          <w:rFonts w:ascii="Arial" w:cs="Arial" w:eastAsia="Arial" w:hAnsi="Arial"/>
          <w:sz w:val="15"/>
          <w:szCs w:val="15"/>
          <w:color w:val="auto"/>
        </w:rPr>
        <w:t>Margin</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remained broadly stable at 21.3% (Q2 2024: 21.7%) reflecting the higher adjusting items removed in the prior period.</w:t>
      </w:r>
    </w:p>
    <w:p>
      <w:pPr>
        <w:sectPr>
          <w:pgSz w:w="11900" w:h="16838" w:orient="portrait"/>
          <w:cols w:equalWidth="0" w:num="1">
            <w:col w:w="11220"/>
          </w:cols>
          <w:pgMar w:left="320" w:top="1353" w:right="359" w:bottom="1440" w:gutter="0" w:footer="0" w:header="0"/>
        </w:sect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4</w:t>
      </w:r>
    </w:p>
    <w:p>
      <w:pPr>
        <w:sectPr>
          <w:pgSz w:w="11900" w:h="16838" w:orient="portrait"/>
          <w:cols w:equalWidth="0" w:num="1">
            <w:col w:w="11220"/>
          </w:cols>
          <w:pgMar w:left="320" w:top="1353" w:right="3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2"/>
          <w:szCs w:val="22"/>
          <w:b w:val="1"/>
          <w:bCs w:val="1"/>
          <w:color w:val="793690"/>
        </w:rPr>
        <w:t xml:space="preserve">Financial Review </w:t>
      </w:r>
      <w:r>
        <w:rPr>
          <w:rFonts w:ascii="Arial" w:cs="Arial" w:eastAsia="Arial" w:hAnsi="Arial"/>
          <w:sz w:val="22"/>
          <w:szCs w:val="22"/>
          <w:color w:val="793690"/>
        </w:rPr>
        <w:t>(continued)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Summary Financial Results (continued)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Performance for the six months ended 30 June 2025</w:t>
      </w:r>
    </w:p>
    <w:p>
      <w:pPr>
        <w:spacing w:after="0" w:line="17"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Revenue grew by 23% to $967.4m (H1 2024: $787.9m) underpinned by an increase in net trading income of $119.7m driven primarily by Securities within Agency and Execution, alongside an increase in net commission income of $80.5m reflecting growth in both Securities and Energy.</w:t>
      </w:r>
    </w:p>
    <w:p>
      <w:pPr>
        <w:spacing w:after="0" w:line="80" w:lineRule="exact"/>
        <w:rPr>
          <w:sz w:val="20"/>
          <w:szCs w:val="20"/>
          <w:color w:val="auto"/>
        </w:rPr>
      </w:pPr>
    </w:p>
    <w:p>
      <w:pPr>
        <w:ind w:right="360"/>
        <w:spacing w:after="0" w:line="283" w:lineRule="auto"/>
        <w:rPr>
          <w:sz w:val="20"/>
          <w:szCs w:val="20"/>
          <w:color w:val="auto"/>
        </w:rPr>
      </w:pPr>
      <w:r>
        <w:rPr>
          <w:rFonts w:ascii="Arial" w:cs="Arial" w:eastAsia="Arial" w:hAnsi="Arial"/>
          <w:sz w:val="15"/>
          <w:szCs w:val="15"/>
          <w:color w:val="auto"/>
        </w:rPr>
        <w:t>Net interest income decreased 13% to $88.0m (H1 2024 $101.0m) driven by a 100 bps reduction in the average fed rates and higher interest expense relating to senior debt issuances in November 2024 ($600m) and May 2025 ($500m), ongoing structured note issuance, partially offset by an increase in client balances.</w:t>
      </w:r>
    </w:p>
    <w:p>
      <w:pPr>
        <w:spacing w:after="0" w:line="66" w:lineRule="exact"/>
        <w:rPr>
          <w:sz w:val="20"/>
          <w:szCs w:val="20"/>
          <w:color w:val="auto"/>
        </w:rPr>
      </w:pPr>
    </w:p>
    <w:p>
      <w:pPr>
        <w:ind w:right="180"/>
        <w:spacing w:after="0" w:line="273" w:lineRule="auto"/>
        <w:rPr>
          <w:sz w:val="20"/>
          <w:szCs w:val="20"/>
          <w:color w:val="auto"/>
        </w:rPr>
      </w:pPr>
      <w:r>
        <w:rPr>
          <w:rFonts w:ascii="Arial" w:cs="Arial" w:eastAsia="Arial" w:hAnsi="Arial"/>
          <w:sz w:val="15"/>
          <w:szCs w:val="15"/>
          <w:color w:val="auto"/>
        </w:rPr>
        <w:t>Total reported costs increased by 19% from $636.1m in H1 2024 to $755.1m in H1 2025. This increase was driven by higher front office costs which increased by 22% to $530.6m (H1 2024: $434.9m) while control and support costs increased by 23% to $222.8m (H1 2024: $181.0m). Growth in the Group’s cost base reflected headcount growth of 10%, strong revenue driving higher performance costs and an increase in investment across our functions including technology.</w:t>
      </w:r>
    </w:p>
    <w:p>
      <w:pPr>
        <w:spacing w:after="0" w:line="73"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auto"/>
        </w:rPr>
        <w:t>Reported Profit Before Tax increased 45% to $201.6m (H1 2024: $139.0m), driven by strong revenue growth and improved operating margins. The Group's Reported Profit Before Tax margin increased from 17.6% in H1 2024 to 20.8% in H1 2025 reflecting margin expansion in Agency and Execution due to the growth of higher margin products, including Prime Services, and the restructuring of underperforming desks.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As a result of the revenue and cost trends noted above, Adjusted Profit Before Tax</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increased 27% to $202.7m (H1 2024: $159.2m) and Adjusted Profit Before Tax</w:t>
      </w:r>
    </w:p>
    <w:p>
      <w:pPr>
        <w:spacing w:after="0"/>
        <w:rPr>
          <w:sz w:val="20"/>
          <w:szCs w:val="20"/>
          <w:color w:val="auto"/>
        </w:rPr>
      </w:pPr>
      <w:r>
        <w:rPr>
          <w:rFonts w:ascii="Arial" w:cs="Arial" w:eastAsia="Arial" w:hAnsi="Arial"/>
          <w:sz w:val="15"/>
          <w:szCs w:val="15"/>
          <w:color w:val="auto"/>
        </w:rPr>
        <w:t>Margin</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increased to 21.0% (H1 2024: 20.2%).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interest income</w:t>
      </w:r>
      <w:r>
        <w:rPr>
          <w:rFonts w:ascii="Arial" w:cs="Arial" w:eastAsia="Arial" w:hAnsi="Arial"/>
          <w:sz w:val="19"/>
          <w:szCs w:val="19"/>
          <w:b w:val="1"/>
          <w:bCs w:val="1"/>
          <w:color w:val="auto"/>
          <w:vertAlign w:val="superscript"/>
        </w:rPr>
        <w:t>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240" w:type="dxa"/>
            <w:vAlign w:val="bottom"/>
            <w:gridSpan w:val="2"/>
            <w:shd w:val="clear" w:color="auto" w:fill="F4EFF6"/>
          </w:tcPr>
          <w:p>
            <w:pPr>
              <w:jc w:val="right"/>
              <w:spacing w:after="0"/>
              <w:rPr>
                <w:sz w:val="20"/>
                <w:szCs w:val="20"/>
                <w:color w:val="auto"/>
              </w:rPr>
            </w:pPr>
            <w:r>
              <w:rPr>
                <w:rFonts w:ascii="Arial" w:cs="Arial" w:eastAsia="Arial" w:hAnsi="Arial"/>
                <w:sz w:val="13"/>
                <w:szCs w:val="13"/>
                <w:b w:val="1"/>
                <w:bCs w:val="1"/>
                <w:color w:val="auto"/>
              </w:rPr>
              <w:t>3 months ended</w:t>
            </w:r>
          </w:p>
        </w:tc>
        <w:tc>
          <w:tcPr>
            <w:tcW w:w="1660" w:type="dxa"/>
            <w:vAlign w:val="bottom"/>
          </w:tcPr>
          <w:p>
            <w:pPr>
              <w:jc w:val="right"/>
              <w:ind w:right="226"/>
              <w:spacing w:after="0"/>
              <w:rPr>
                <w:sz w:val="20"/>
                <w:szCs w:val="20"/>
                <w:color w:val="auto"/>
              </w:rPr>
            </w:pPr>
            <w:r>
              <w:rPr>
                <w:rFonts w:ascii="Arial" w:cs="Arial" w:eastAsia="Arial" w:hAnsi="Arial"/>
                <w:sz w:val="13"/>
                <w:szCs w:val="13"/>
                <w:b w:val="1"/>
                <w:bCs w:val="1"/>
                <w:color w:val="auto"/>
              </w:rPr>
              <w:t>3 months ended</w:t>
            </w:r>
          </w:p>
        </w:tc>
        <w:tc>
          <w:tcPr>
            <w:tcW w:w="1120" w:type="dxa"/>
            <w:vAlign w:val="bottom"/>
          </w:tcPr>
          <w:p>
            <w:pPr>
              <w:spacing w:after="0"/>
              <w:rPr>
                <w:sz w:val="16"/>
                <w:szCs w:val="16"/>
                <w:color w:val="auto"/>
              </w:rPr>
            </w:pPr>
          </w:p>
        </w:tc>
        <w:tc>
          <w:tcPr>
            <w:tcW w:w="1240" w:type="dxa"/>
            <w:vAlign w:val="bottom"/>
            <w:gridSpan w:val="2"/>
            <w:shd w:val="clear" w:color="auto" w:fill="F4EFF6"/>
          </w:tcPr>
          <w:p>
            <w:pPr>
              <w:jc w:val="right"/>
              <w:spacing w:after="0"/>
              <w:rPr>
                <w:sz w:val="20"/>
                <w:szCs w:val="20"/>
                <w:color w:val="auto"/>
              </w:rPr>
            </w:pPr>
            <w:r>
              <w:rPr>
                <w:rFonts w:ascii="Arial" w:cs="Arial" w:eastAsia="Arial" w:hAnsi="Arial"/>
                <w:sz w:val="13"/>
                <w:szCs w:val="13"/>
                <w:b w:val="1"/>
                <w:bCs w:val="1"/>
                <w:color w:val="auto"/>
              </w:rPr>
              <w:t>6 months ended</w:t>
            </w:r>
          </w:p>
        </w:tc>
        <w:tc>
          <w:tcPr>
            <w:tcW w:w="1680" w:type="dxa"/>
            <w:vAlign w:val="bottom"/>
          </w:tcPr>
          <w:p>
            <w:pPr>
              <w:jc w:val="right"/>
              <w:ind w:right="226"/>
              <w:spacing w:after="0"/>
              <w:rPr>
                <w:sz w:val="20"/>
                <w:szCs w:val="20"/>
                <w:color w:val="auto"/>
              </w:rPr>
            </w:pPr>
            <w:r>
              <w:rPr>
                <w:rFonts w:ascii="Arial" w:cs="Arial" w:eastAsia="Arial" w:hAnsi="Arial"/>
                <w:sz w:val="13"/>
                <w:szCs w:val="13"/>
                <w:b w:val="1"/>
                <w:bCs w:val="1"/>
                <w:color w:val="auto"/>
              </w:rPr>
              <w:t>6 months ended</w:t>
            </w:r>
          </w:p>
        </w:tc>
        <w:tc>
          <w:tcPr>
            <w:tcW w:w="960" w:type="dxa"/>
            <w:vAlign w:val="bottom"/>
          </w:tcPr>
          <w:p>
            <w:pPr>
              <w:spacing w:after="0"/>
              <w:rPr>
                <w:sz w:val="16"/>
                <w:szCs w:val="16"/>
                <w:color w:val="auto"/>
              </w:rPr>
            </w:pPr>
          </w:p>
        </w:tc>
      </w:tr>
      <w:tr>
        <w:trPr>
          <w:trHeight w:val="193"/>
        </w:trPr>
        <w:tc>
          <w:tcPr>
            <w:tcW w:w="3320" w:type="dxa"/>
            <w:vAlign w:val="bottom"/>
          </w:tcPr>
          <w:p>
            <w:pPr>
              <w:spacing w:after="0"/>
              <w:rPr>
                <w:sz w:val="16"/>
                <w:szCs w:val="16"/>
                <w:color w:val="auto"/>
              </w:rPr>
            </w:pPr>
          </w:p>
        </w:tc>
        <w:tc>
          <w:tcPr>
            <w:tcW w:w="1240" w:type="dxa"/>
            <w:vAlign w:val="bottom"/>
            <w:tcBorders>
              <w:bottom w:val="single" w:sz="8" w:color="F4EFF6"/>
            </w:tcBorders>
            <w:gridSpan w:val="2"/>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660" w:type="dxa"/>
            <w:vAlign w:val="bottom"/>
          </w:tcPr>
          <w:p>
            <w:pPr>
              <w:jc w:val="right"/>
              <w:ind w:right="226"/>
              <w:spacing w:after="0"/>
              <w:rPr>
                <w:sz w:val="20"/>
                <w:szCs w:val="20"/>
                <w:color w:val="auto"/>
              </w:rPr>
            </w:pPr>
            <w:r>
              <w:rPr>
                <w:rFonts w:ascii="Arial" w:cs="Arial" w:eastAsia="Arial" w:hAnsi="Arial"/>
                <w:sz w:val="13"/>
                <w:szCs w:val="13"/>
                <w:b w:val="1"/>
                <w:bCs w:val="1"/>
                <w:color w:val="auto"/>
              </w:rPr>
              <w:t>30 June 2024</w:t>
            </w:r>
          </w:p>
        </w:tc>
        <w:tc>
          <w:tcPr>
            <w:tcW w:w="1120" w:type="dxa"/>
            <w:vAlign w:val="bottom"/>
          </w:tcPr>
          <w:p>
            <w:pPr>
              <w:jc w:val="right"/>
              <w:ind w:right="85"/>
              <w:spacing w:after="0"/>
              <w:rPr>
                <w:sz w:val="20"/>
                <w:szCs w:val="20"/>
                <w:color w:val="auto"/>
              </w:rPr>
            </w:pPr>
            <w:r>
              <w:rPr>
                <w:rFonts w:ascii="Arial" w:cs="Arial" w:eastAsia="Arial" w:hAnsi="Arial"/>
                <w:sz w:val="13"/>
                <w:szCs w:val="13"/>
                <w:b w:val="1"/>
                <w:bCs w:val="1"/>
                <w:color w:val="auto"/>
              </w:rPr>
              <w:t>Change</w:t>
            </w:r>
          </w:p>
        </w:tc>
        <w:tc>
          <w:tcPr>
            <w:tcW w:w="1240" w:type="dxa"/>
            <w:vAlign w:val="bottom"/>
            <w:tcBorders>
              <w:bottom w:val="single" w:sz="8" w:color="F4EFF6"/>
            </w:tcBorders>
            <w:gridSpan w:val="2"/>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680" w:type="dxa"/>
            <w:vAlign w:val="bottom"/>
          </w:tcPr>
          <w:p>
            <w:pPr>
              <w:jc w:val="right"/>
              <w:ind w:right="226"/>
              <w:spacing w:after="0"/>
              <w:rPr>
                <w:sz w:val="20"/>
                <w:szCs w:val="20"/>
                <w:color w:val="auto"/>
              </w:rPr>
            </w:pPr>
            <w:r>
              <w:rPr>
                <w:rFonts w:ascii="Arial" w:cs="Arial" w:eastAsia="Arial" w:hAnsi="Arial"/>
                <w:sz w:val="13"/>
                <w:szCs w:val="13"/>
                <w:b w:val="1"/>
                <w:bCs w:val="1"/>
                <w:color w:val="auto"/>
              </w:rPr>
              <w:t>30 June 2024</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Change</w:t>
            </w:r>
          </w:p>
        </w:tc>
      </w:tr>
      <w:tr>
        <w:trPr>
          <w:trHeight w:val="211"/>
        </w:trPr>
        <w:tc>
          <w:tcPr>
            <w:tcW w:w="332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Average Fed Funds %</w:t>
            </w:r>
          </w:p>
        </w:tc>
        <w:tc>
          <w:tcPr>
            <w:tcW w:w="1240" w:type="dxa"/>
            <w:vAlign w:val="bottom"/>
            <w:tcBorders>
              <w:top w:val="single" w:sz="8" w:color="793690"/>
            </w:tcBorders>
            <w:gridSpan w:val="2"/>
            <w:shd w:val="clear" w:color="auto" w:fill="F4EFF6"/>
          </w:tcPr>
          <w:p>
            <w:pPr>
              <w:jc w:val="right"/>
              <w:spacing w:after="0"/>
              <w:rPr>
                <w:sz w:val="20"/>
                <w:szCs w:val="20"/>
                <w:color w:val="auto"/>
              </w:rPr>
            </w:pPr>
            <w:r>
              <w:rPr>
                <w:rFonts w:ascii="Arial" w:cs="Arial" w:eastAsia="Arial" w:hAnsi="Arial"/>
                <w:sz w:val="15"/>
                <w:szCs w:val="15"/>
                <w:b w:val="1"/>
                <w:bCs w:val="1"/>
                <w:color w:val="auto"/>
              </w:rPr>
              <w:t>4.3%</w:t>
            </w:r>
          </w:p>
        </w:tc>
        <w:tc>
          <w:tcPr>
            <w:tcW w:w="1660" w:type="dxa"/>
            <w:vAlign w:val="bottom"/>
            <w:tcBorders>
              <w:top w:val="single" w:sz="8" w:color="793690"/>
            </w:tcBorders>
          </w:tcPr>
          <w:p>
            <w:pPr>
              <w:jc w:val="right"/>
              <w:ind w:right="226"/>
              <w:spacing w:after="0"/>
              <w:rPr>
                <w:sz w:val="20"/>
                <w:szCs w:val="20"/>
                <w:color w:val="auto"/>
              </w:rPr>
            </w:pPr>
            <w:r>
              <w:rPr>
                <w:rFonts w:ascii="Arial" w:cs="Arial" w:eastAsia="Arial" w:hAnsi="Arial"/>
                <w:sz w:val="15"/>
                <w:szCs w:val="15"/>
                <w:color w:val="auto"/>
              </w:rPr>
              <w:t>5.3%</w:t>
            </w:r>
          </w:p>
        </w:tc>
        <w:tc>
          <w:tcPr>
            <w:tcW w:w="1120" w:type="dxa"/>
            <w:vAlign w:val="bottom"/>
            <w:tcBorders>
              <w:top w:val="single" w:sz="8" w:color="793690"/>
            </w:tcBorders>
          </w:tcPr>
          <w:p>
            <w:pPr>
              <w:jc w:val="right"/>
              <w:ind w:right="85"/>
              <w:spacing w:after="0"/>
              <w:rPr>
                <w:sz w:val="20"/>
                <w:szCs w:val="20"/>
                <w:color w:val="auto"/>
              </w:rPr>
            </w:pPr>
            <w:r>
              <w:rPr>
                <w:rFonts w:ascii="Arial" w:cs="Arial" w:eastAsia="Arial" w:hAnsi="Arial"/>
                <w:sz w:val="15"/>
                <w:szCs w:val="15"/>
                <w:color w:val="auto"/>
              </w:rPr>
              <w:t>(100) bps</w:t>
            </w:r>
          </w:p>
        </w:tc>
        <w:tc>
          <w:tcPr>
            <w:tcW w:w="1240" w:type="dxa"/>
            <w:vAlign w:val="bottom"/>
            <w:tcBorders>
              <w:top w:val="single" w:sz="8" w:color="793690"/>
            </w:tcBorders>
            <w:gridSpan w:val="2"/>
            <w:shd w:val="clear" w:color="auto" w:fill="F4EFF6"/>
          </w:tcPr>
          <w:p>
            <w:pPr>
              <w:jc w:val="right"/>
              <w:spacing w:after="0"/>
              <w:rPr>
                <w:sz w:val="20"/>
                <w:szCs w:val="20"/>
                <w:color w:val="auto"/>
              </w:rPr>
            </w:pPr>
            <w:r>
              <w:rPr>
                <w:rFonts w:ascii="Arial" w:cs="Arial" w:eastAsia="Arial" w:hAnsi="Arial"/>
                <w:sz w:val="15"/>
                <w:szCs w:val="15"/>
                <w:b w:val="1"/>
                <w:bCs w:val="1"/>
                <w:color w:val="auto"/>
              </w:rPr>
              <w:t>4.3%</w:t>
            </w:r>
          </w:p>
        </w:tc>
        <w:tc>
          <w:tcPr>
            <w:tcW w:w="1680" w:type="dxa"/>
            <w:vAlign w:val="bottom"/>
            <w:tcBorders>
              <w:top w:val="single" w:sz="8" w:color="793690"/>
            </w:tcBorders>
          </w:tcPr>
          <w:p>
            <w:pPr>
              <w:jc w:val="right"/>
              <w:ind w:right="226"/>
              <w:spacing w:after="0"/>
              <w:rPr>
                <w:sz w:val="20"/>
                <w:szCs w:val="20"/>
                <w:color w:val="auto"/>
              </w:rPr>
            </w:pPr>
            <w:r>
              <w:rPr>
                <w:rFonts w:ascii="Arial" w:cs="Arial" w:eastAsia="Arial" w:hAnsi="Arial"/>
                <w:sz w:val="15"/>
                <w:szCs w:val="15"/>
                <w:color w:val="auto"/>
              </w:rPr>
              <w:t>5.3%</w:t>
            </w:r>
          </w:p>
        </w:tc>
        <w:tc>
          <w:tcPr>
            <w:tcW w:w="96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(100) bps</w:t>
            </w:r>
          </w:p>
        </w:tc>
      </w:tr>
      <w:tr>
        <w:trPr>
          <w:trHeight w:val="268"/>
        </w:trPr>
        <w:tc>
          <w:tcPr>
            <w:tcW w:w="3320" w:type="dxa"/>
            <w:vAlign w:val="bottom"/>
          </w:tcPr>
          <w:p>
            <w:pPr>
              <w:ind w:left="20"/>
              <w:spacing w:after="0"/>
              <w:rPr>
                <w:sz w:val="20"/>
                <w:szCs w:val="20"/>
                <w:color w:val="auto"/>
              </w:rPr>
            </w:pPr>
            <w:r>
              <w:rPr>
                <w:rFonts w:ascii="Arial" w:cs="Arial" w:eastAsia="Arial" w:hAnsi="Arial"/>
                <w:sz w:val="15"/>
                <w:szCs w:val="15"/>
                <w:b w:val="1"/>
                <w:bCs w:val="1"/>
                <w:color w:val="auto"/>
              </w:rPr>
              <w:t>Average balances ($bn)</w:t>
            </w:r>
            <w:r>
              <w:rPr>
                <w:rFonts w:ascii="Arial" w:cs="Arial" w:eastAsia="Arial" w:hAnsi="Arial"/>
                <w:sz w:val="19"/>
                <w:szCs w:val="19"/>
                <w:b w:val="1"/>
                <w:bCs w:val="1"/>
                <w:color w:val="auto"/>
                <w:vertAlign w:val="superscript"/>
              </w:rPr>
              <w:t>2</w:t>
            </w:r>
          </w:p>
        </w:tc>
        <w:tc>
          <w:tcPr>
            <w:tcW w:w="1080" w:type="dxa"/>
            <w:vAlign w:val="bottom"/>
            <w:shd w:val="clear" w:color="auto" w:fill="F4EFF6"/>
          </w:tcPr>
          <w:p>
            <w:pPr>
              <w:jc w:val="right"/>
              <w:spacing w:after="0"/>
              <w:rPr>
                <w:sz w:val="20"/>
                <w:szCs w:val="20"/>
                <w:color w:val="auto"/>
              </w:rPr>
            </w:pPr>
            <w:r>
              <w:rPr>
                <w:rFonts w:ascii="Arial" w:cs="Arial" w:eastAsia="Arial" w:hAnsi="Arial"/>
                <w:sz w:val="15"/>
                <w:szCs w:val="15"/>
                <w:b w:val="1"/>
                <w:bCs w:val="1"/>
                <w:color w:val="auto"/>
              </w:rPr>
              <w:t>18.0</w:t>
            </w:r>
          </w:p>
        </w:tc>
        <w:tc>
          <w:tcPr>
            <w:tcW w:w="160" w:type="dxa"/>
            <w:vAlign w:val="bottom"/>
            <w:shd w:val="clear" w:color="auto" w:fill="F4EFF6"/>
          </w:tcPr>
          <w:p>
            <w:pPr>
              <w:spacing w:after="0"/>
              <w:rPr>
                <w:sz w:val="23"/>
                <w:szCs w:val="23"/>
                <w:color w:val="auto"/>
              </w:rPr>
            </w:pPr>
          </w:p>
        </w:tc>
        <w:tc>
          <w:tcPr>
            <w:tcW w:w="1660" w:type="dxa"/>
            <w:vAlign w:val="bottom"/>
          </w:tcPr>
          <w:p>
            <w:pPr>
              <w:jc w:val="right"/>
              <w:ind w:right="406"/>
              <w:spacing w:after="0"/>
              <w:rPr>
                <w:sz w:val="20"/>
                <w:szCs w:val="20"/>
                <w:color w:val="auto"/>
              </w:rPr>
            </w:pPr>
            <w:r>
              <w:rPr>
                <w:rFonts w:ascii="Arial" w:cs="Arial" w:eastAsia="Arial" w:hAnsi="Arial"/>
                <w:sz w:val="15"/>
                <w:szCs w:val="15"/>
                <w:color w:val="auto"/>
              </w:rPr>
              <w:t>13.5</w:t>
            </w:r>
          </w:p>
        </w:tc>
        <w:tc>
          <w:tcPr>
            <w:tcW w:w="1120" w:type="dxa"/>
            <w:vAlign w:val="bottom"/>
          </w:tcPr>
          <w:p>
            <w:pPr>
              <w:jc w:val="right"/>
              <w:ind w:right="145"/>
              <w:spacing w:after="0"/>
              <w:rPr>
                <w:sz w:val="20"/>
                <w:szCs w:val="20"/>
                <w:color w:val="auto"/>
              </w:rPr>
            </w:pPr>
            <w:r>
              <w:rPr>
                <w:rFonts w:ascii="Arial" w:cs="Arial" w:eastAsia="Arial" w:hAnsi="Arial"/>
                <w:sz w:val="15"/>
                <w:szCs w:val="15"/>
                <w:color w:val="auto"/>
              </w:rPr>
              <w:t>4.5</w:t>
            </w:r>
          </w:p>
        </w:tc>
        <w:tc>
          <w:tcPr>
            <w:tcW w:w="1080" w:type="dxa"/>
            <w:vAlign w:val="bottom"/>
            <w:shd w:val="clear" w:color="auto" w:fill="F4EFF6"/>
          </w:tcPr>
          <w:p>
            <w:pPr>
              <w:jc w:val="right"/>
              <w:spacing w:after="0"/>
              <w:rPr>
                <w:sz w:val="20"/>
                <w:szCs w:val="20"/>
                <w:color w:val="auto"/>
              </w:rPr>
            </w:pPr>
            <w:r>
              <w:rPr>
                <w:rFonts w:ascii="Arial" w:cs="Arial" w:eastAsia="Arial" w:hAnsi="Arial"/>
                <w:sz w:val="15"/>
                <w:szCs w:val="15"/>
                <w:b w:val="1"/>
                <w:bCs w:val="1"/>
                <w:color w:val="auto"/>
              </w:rPr>
              <w:t>17.6</w:t>
            </w:r>
          </w:p>
        </w:tc>
        <w:tc>
          <w:tcPr>
            <w:tcW w:w="160" w:type="dxa"/>
            <w:vAlign w:val="bottom"/>
            <w:shd w:val="clear" w:color="auto" w:fill="F4EFF6"/>
          </w:tcPr>
          <w:p>
            <w:pPr>
              <w:spacing w:after="0"/>
              <w:rPr>
                <w:sz w:val="23"/>
                <w:szCs w:val="23"/>
                <w:color w:val="auto"/>
              </w:rPr>
            </w:pPr>
          </w:p>
        </w:tc>
        <w:tc>
          <w:tcPr>
            <w:tcW w:w="1680" w:type="dxa"/>
            <w:vAlign w:val="bottom"/>
          </w:tcPr>
          <w:p>
            <w:pPr>
              <w:jc w:val="right"/>
              <w:ind w:right="426"/>
              <w:spacing w:after="0"/>
              <w:rPr>
                <w:sz w:val="20"/>
                <w:szCs w:val="20"/>
                <w:color w:val="auto"/>
              </w:rPr>
            </w:pPr>
            <w:r>
              <w:rPr>
                <w:rFonts w:ascii="Arial" w:cs="Arial" w:eastAsia="Arial" w:hAnsi="Arial"/>
                <w:sz w:val="15"/>
                <w:szCs w:val="15"/>
                <w:color w:val="auto"/>
              </w:rPr>
              <w:t>12.4</w:t>
            </w:r>
          </w:p>
        </w:tc>
        <w:tc>
          <w:tcPr>
            <w:tcW w:w="960" w:type="dxa"/>
            <w:vAlign w:val="bottom"/>
          </w:tcPr>
          <w:p>
            <w:pPr>
              <w:jc w:val="right"/>
              <w:spacing w:after="0"/>
              <w:rPr>
                <w:sz w:val="20"/>
                <w:szCs w:val="20"/>
                <w:color w:val="auto"/>
              </w:rPr>
            </w:pPr>
            <w:r>
              <w:rPr>
                <w:rFonts w:ascii="Arial" w:cs="Arial" w:eastAsia="Arial" w:hAnsi="Arial"/>
                <w:sz w:val="15"/>
                <w:szCs w:val="15"/>
                <w:color w:val="auto"/>
              </w:rPr>
              <w:t>5.2</w:t>
            </w:r>
          </w:p>
        </w:tc>
      </w:tr>
      <w:tr>
        <w:trPr>
          <w:trHeight w:val="243"/>
        </w:trPr>
        <w:tc>
          <w:tcPr>
            <w:tcW w:w="3320" w:type="dxa"/>
            <w:vAlign w:val="bottom"/>
          </w:tcPr>
          <w:p>
            <w:pPr>
              <w:ind w:left="20"/>
              <w:spacing w:after="0"/>
              <w:rPr>
                <w:sz w:val="20"/>
                <w:szCs w:val="20"/>
                <w:color w:val="auto"/>
              </w:rPr>
            </w:pPr>
            <w:r>
              <w:rPr>
                <w:rFonts w:ascii="Arial" w:cs="Arial" w:eastAsia="Arial" w:hAnsi="Arial"/>
                <w:sz w:val="15"/>
                <w:szCs w:val="15"/>
                <w:color w:val="auto"/>
              </w:rPr>
              <w:t>Interest Income ($m)</w:t>
            </w:r>
          </w:p>
        </w:tc>
        <w:tc>
          <w:tcPr>
            <w:tcW w:w="108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181.4</w:t>
            </w:r>
          </w:p>
        </w:tc>
        <w:tc>
          <w:tcPr>
            <w:tcW w:w="160" w:type="dxa"/>
            <w:vAlign w:val="bottom"/>
            <w:tcBorders>
              <w:bottom w:val="single" w:sz="8" w:color="F4EFF6"/>
            </w:tcBorders>
            <w:shd w:val="clear" w:color="auto" w:fill="F4EFF6"/>
          </w:tcPr>
          <w:p>
            <w:pPr>
              <w:spacing w:after="0"/>
              <w:rPr>
                <w:sz w:val="21"/>
                <w:szCs w:val="21"/>
                <w:color w:val="auto"/>
              </w:rPr>
            </w:pPr>
          </w:p>
        </w:tc>
        <w:tc>
          <w:tcPr>
            <w:tcW w:w="1660" w:type="dxa"/>
            <w:vAlign w:val="bottom"/>
          </w:tcPr>
          <w:p>
            <w:pPr>
              <w:jc w:val="right"/>
              <w:ind w:right="406"/>
              <w:spacing w:after="0"/>
              <w:rPr>
                <w:sz w:val="20"/>
                <w:szCs w:val="20"/>
                <w:color w:val="auto"/>
              </w:rPr>
            </w:pPr>
            <w:r>
              <w:rPr>
                <w:rFonts w:ascii="Arial" w:cs="Arial" w:eastAsia="Arial" w:hAnsi="Arial"/>
                <w:sz w:val="15"/>
                <w:szCs w:val="15"/>
                <w:color w:val="auto"/>
              </w:rPr>
              <w:t>184.2</w:t>
            </w:r>
          </w:p>
        </w:tc>
        <w:tc>
          <w:tcPr>
            <w:tcW w:w="1120" w:type="dxa"/>
            <w:vAlign w:val="bottom"/>
          </w:tcPr>
          <w:p>
            <w:pPr>
              <w:jc w:val="right"/>
              <w:ind w:right="105"/>
              <w:spacing w:after="0"/>
              <w:rPr>
                <w:sz w:val="20"/>
                <w:szCs w:val="20"/>
                <w:color w:val="auto"/>
              </w:rPr>
            </w:pPr>
            <w:r>
              <w:rPr>
                <w:rFonts w:ascii="Arial" w:cs="Arial" w:eastAsia="Arial" w:hAnsi="Arial"/>
                <w:sz w:val="15"/>
                <w:szCs w:val="15"/>
                <w:color w:val="auto"/>
              </w:rPr>
              <w:t>(2.8)</w:t>
            </w:r>
          </w:p>
        </w:tc>
        <w:tc>
          <w:tcPr>
            <w:tcW w:w="108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360.2</w:t>
            </w:r>
          </w:p>
        </w:tc>
        <w:tc>
          <w:tcPr>
            <w:tcW w:w="160" w:type="dxa"/>
            <w:vAlign w:val="bottom"/>
            <w:tcBorders>
              <w:bottom w:val="single" w:sz="8" w:color="F4EFF6"/>
            </w:tcBorders>
            <w:shd w:val="clear" w:color="auto" w:fill="F4EFF6"/>
          </w:tcPr>
          <w:p>
            <w:pPr>
              <w:spacing w:after="0"/>
              <w:rPr>
                <w:sz w:val="21"/>
                <w:szCs w:val="21"/>
                <w:color w:val="auto"/>
              </w:rPr>
            </w:pPr>
          </w:p>
        </w:tc>
        <w:tc>
          <w:tcPr>
            <w:tcW w:w="1680" w:type="dxa"/>
            <w:vAlign w:val="bottom"/>
          </w:tcPr>
          <w:p>
            <w:pPr>
              <w:jc w:val="right"/>
              <w:ind w:right="426"/>
              <w:spacing w:after="0"/>
              <w:rPr>
                <w:sz w:val="20"/>
                <w:szCs w:val="20"/>
                <w:color w:val="auto"/>
              </w:rPr>
            </w:pPr>
            <w:r>
              <w:rPr>
                <w:rFonts w:ascii="Arial" w:cs="Arial" w:eastAsia="Arial" w:hAnsi="Arial"/>
                <w:sz w:val="15"/>
                <w:szCs w:val="15"/>
                <w:color w:val="auto"/>
              </w:rPr>
              <w:t>331.5</w:t>
            </w:r>
          </w:p>
        </w:tc>
        <w:tc>
          <w:tcPr>
            <w:tcW w:w="960" w:type="dxa"/>
            <w:vAlign w:val="bottom"/>
          </w:tcPr>
          <w:p>
            <w:pPr>
              <w:jc w:val="right"/>
              <w:spacing w:after="0"/>
              <w:rPr>
                <w:sz w:val="20"/>
                <w:szCs w:val="20"/>
                <w:color w:val="auto"/>
              </w:rPr>
            </w:pPr>
            <w:r>
              <w:rPr>
                <w:rFonts w:ascii="Arial" w:cs="Arial" w:eastAsia="Arial" w:hAnsi="Arial"/>
                <w:sz w:val="15"/>
                <w:szCs w:val="15"/>
                <w:color w:val="auto"/>
              </w:rPr>
              <w:t>28.7</w:t>
            </w:r>
          </w:p>
        </w:tc>
      </w:tr>
      <w:tr>
        <w:trPr>
          <w:trHeight w:val="236"/>
        </w:trPr>
        <w:tc>
          <w:tcPr>
            <w:tcW w:w="33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Interest paid out ($m)</w:t>
            </w:r>
          </w:p>
        </w:tc>
        <w:tc>
          <w:tcPr>
            <w:tcW w:w="10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(68.2)</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660" w:type="dxa"/>
            <w:vAlign w:val="bottom"/>
            <w:tcBorders>
              <w:top w:val="single" w:sz="8" w:color="DADAE7"/>
            </w:tcBorders>
          </w:tcPr>
          <w:p>
            <w:pPr>
              <w:jc w:val="right"/>
              <w:ind w:right="366"/>
              <w:spacing w:after="0"/>
              <w:rPr>
                <w:sz w:val="20"/>
                <w:szCs w:val="20"/>
                <w:color w:val="auto"/>
              </w:rPr>
            </w:pPr>
            <w:r>
              <w:rPr>
                <w:rFonts w:ascii="Arial" w:cs="Arial" w:eastAsia="Arial" w:hAnsi="Arial"/>
                <w:sz w:val="15"/>
                <w:szCs w:val="15"/>
                <w:color w:val="auto"/>
              </w:rPr>
              <w:t>(65.1)</w:t>
            </w:r>
          </w:p>
        </w:tc>
        <w:tc>
          <w:tcPr>
            <w:tcW w:w="1120" w:type="dxa"/>
            <w:vAlign w:val="bottom"/>
            <w:tcBorders>
              <w:top w:val="single" w:sz="8" w:color="DADAE7"/>
            </w:tcBorders>
          </w:tcPr>
          <w:p>
            <w:pPr>
              <w:jc w:val="right"/>
              <w:ind w:right="105"/>
              <w:spacing w:after="0"/>
              <w:rPr>
                <w:sz w:val="20"/>
                <w:szCs w:val="20"/>
                <w:color w:val="auto"/>
              </w:rPr>
            </w:pPr>
            <w:r>
              <w:rPr>
                <w:rFonts w:ascii="Arial" w:cs="Arial" w:eastAsia="Arial" w:hAnsi="Arial"/>
                <w:sz w:val="15"/>
                <w:szCs w:val="15"/>
                <w:color w:val="auto"/>
              </w:rPr>
              <w:t>(3.1)</w:t>
            </w:r>
          </w:p>
        </w:tc>
        <w:tc>
          <w:tcPr>
            <w:tcW w:w="10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(127.7)</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680" w:type="dxa"/>
            <w:vAlign w:val="bottom"/>
            <w:tcBorders>
              <w:top w:val="single" w:sz="8" w:color="DADAE7"/>
            </w:tcBorders>
          </w:tcPr>
          <w:p>
            <w:pPr>
              <w:jc w:val="right"/>
              <w:ind w:right="386"/>
              <w:spacing w:after="0"/>
              <w:rPr>
                <w:sz w:val="20"/>
                <w:szCs w:val="20"/>
                <w:color w:val="auto"/>
              </w:rPr>
            </w:pPr>
            <w:r>
              <w:rPr>
                <w:rFonts w:ascii="Arial" w:cs="Arial" w:eastAsia="Arial" w:hAnsi="Arial"/>
                <w:sz w:val="15"/>
                <w:szCs w:val="15"/>
                <w:color w:val="auto"/>
              </w:rPr>
              <w:t>(126.0)</w:t>
            </w:r>
          </w:p>
        </w:tc>
        <w:tc>
          <w:tcPr>
            <w:tcW w:w="9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(1.7)</w:t>
            </w:r>
          </w:p>
        </w:tc>
      </w:tr>
      <w:tr>
        <w:trPr>
          <w:trHeight w:val="211"/>
        </w:trPr>
        <w:tc>
          <w:tcPr>
            <w:tcW w:w="332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Interest on balances ($m)</w:t>
            </w:r>
          </w:p>
        </w:tc>
        <w:tc>
          <w:tcPr>
            <w:tcW w:w="1080" w:type="dxa"/>
            <w:vAlign w:val="bottom"/>
            <w:tcBorders>
              <w:top w:val="single" w:sz="8" w:color="793690"/>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113.2</w:t>
            </w:r>
          </w:p>
        </w:tc>
        <w:tc>
          <w:tcPr>
            <w:tcW w:w="160" w:type="dxa"/>
            <w:vAlign w:val="bottom"/>
            <w:tcBorders>
              <w:top w:val="single" w:sz="8" w:color="793690"/>
            </w:tcBorders>
            <w:shd w:val="clear" w:color="auto" w:fill="F4EFF6"/>
          </w:tcPr>
          <w:p>
            <w:pPr>
              <w:spacing w:after="0"/>
              <w:rPr>
                <w:sz w:val="18"/>
                <w:szCs w:val="18"/>
                <w:color w:val="auto"/>
              </w:rPr>
            </w:pPr>
          </w:p>
        </w:tc>
        <w:tc>
          <w:tcPr>
            <w:tcW w:w="1660" w:type="dxa"/>
            <w:vAlign w:val="bottom"/>
            <w:tcBorders>
              <w:top w:val="single" w:sz="8" w:color="793690"/>
            </w:tcBorders>
          </w:tcPr>
          <w:p>
            <w:pPr>
              <w:jc w:val="right"/>
              <w:ind w:right="406"/>
              <w:spacing w:after="0"/>
              <w:rPr>
                <w:sz w:val="20"/>
                <w:szCs w:val="20"/>
                <w:color w:val="auto"/>
              </w:rPr>
            </w:pPr>
            <w:r>
              <w:rPr>
                <w:rFonts w:ascii="Arial" w:cs="Arial" w:eastAsia="Arial" w:hAnsi="Arial"/>
                <w:sz w:val="15"/>
                <w:szCs w:val="15"/>
                <w:color w:val="auto"/>
              </w:rPr>
              <w:t>119.1</w:t>
            </w:r>
          </w:p>
        </w:tc>
        <w:tc>
          <w:tcPr>
            <w:tcW w:w="1120" w:type="dxa"/>
            <w:vAlign w:val="bottom"/>
            <w:tcBorders>
              <w:top w:val="single" w:sz="8" w:color="793690"/>
            </w:tcBorders>
          </w:tcPr>
          <w:p>
            <w:pPr>
              <w:jc w:val="right"/>
              <w:ind w:right="105"/>
              <w:spacing w:after="0"/>
              <w:rPr>
                <w:sz w:val="20"/>
                <w:szCs w:val="20"/>
                <w:color w:val="auto"/>
              </w:rPr>
            </w:pPr>
            <w:r>
              <w:rPr>
                <w:rFonts w:ascii="Arial" w:cs="Arial" w:eastAsia="Arial" w:hAnsi="Arial"/>
                <w:sz w:val="15"/>
                <w:szCs w:val="15"/>
                <w:color w:val="auto"/>
              </w:rPr>
              <w:t>(5.9)</w:t>
            </w:r>
          </w:p>
        </w:tc>
        <w:tc>
          <w:tcPr>
            <w:tcW w:w="1080" w:type="dxa"/>
            <w:vAlign w:val="bottom"/>
            <w:tcBorders>
              <w:top w:val="single" w:sz="8" w:color="793690"/>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232.5</w:t>
            </w:r>
          </w:p>
        </w:tc>
        <w:tc>
          <w:tcPr>
            <w:tcW w:w="160" w:type="dxa"/>
            <w:vAlign w:val="bottom"/>
            <w:tcBorders>
              <w:top w:val="single" w:sz="8" w:color="793690"/>
            </w:tcBorders>
            <w:shd w:val="clear" w:color="auto" w:fill="F4EFF6"/>
          </w:tcPr>
          <w:p>
            <w:pPr>
              <w:spacing w:after="0"/>
              <w:rPr>
                <w:sz w:val="18"/>
                <w:szCs w:val="18"/>
                <w:color w:val="auto"/>
              </w:rPr>
            </w:pPr>
          </w:p>
        </w:tc>
        <w:tc>
          <w:tcPr>
            <w:tcW w:w="1680" w:type="dxa"/>
            <w:vAlign w:val="bottom"/>
            <w:tcBorders>
              <w:top w:val="single" w:sz="8" w:color="793690"/>
            </w:tcBorders>
          </w:tcPr>
          <w:p>
            <w:pPr>
              <w:jc w:val="right"/>
              <w:ind w:right="426"/>
              <w:spacing w:after="0"/>
              <w:rPr>
                <w:sz w:val="20"/>
                <w:szCs w:val="20"/>
                <w:color w:val="auto"/>
              </w:rPr>
            </w:pPr>
            <w:r>
              <w:rPr>
                <w:rFonts w:ascii="Arial" w:cs="Arial" w:eastAsia="Arial" w:hAnsi="Arial"/>
                <w:sz w:val="15"/>
                <w:szCs w:val="15"/>
                <w:color w:val="auto"/>
              </w:rPr>
              <w:t>205.5</w:t>
            </w:r>
          </w:p>
        </w:tc>
        <w:tc>
          <w:tcPr>
            <w:tcW w:w="96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27.0</w:t>
            </w:r>
          </w:p>
        </w:tc>
      </w:tr>
      <w:tr>
        <w:trPr>
          <w:trHeight w:val="243"/>
        </w:trPr>
        <w:tc>
          <w:tcPr>
            <w:tcW w:w="3320" w:type="dxa"/>
            <w:vAlign w:val="bottom"/>
          </w:tcPr>
          <w:p>
            <w:pPr>
              <w:ind w:left="20"/>
              <w:spacing w:after="0"/>
              <w:rPr>
                <w:sz w:val="20"/>
                <w:szCs w:val="20"/>
                <w:color w:val="auto"/>
              </w:rPr>
            </w:pPr>
            <w:r>
              <w:rPr>
                <w:rFonts w:ascii="Arial" w:cs="Arial" w:eastAsia="Arial" w:hAnsi="Arial"/>
                <w:sz w:val="15"/>
                <w:szCs w:val="15"/>
                <w:color w:val="auto"/>
              </w:rPr>
              <w:t>Net Yield on balances %</w:t>
            </w:r>
          </w:p>
        </w:tc>
        <w:tc>
          <w:tcPr>
            <w:tcW w:w="1080" w:type="dxa"/>
            <w:vAlign w:val="bottom"/>
            <w:shd w:val="clear" w:color="auto" w:fill="F4EFF6"/>
          </w:tcPr>
          <w:p>
            <w:pPr>
              <w:jc w:val="right"/>
              <w:spacing w:after="0"/>
              <w:rPr>
                <w:sz w:val="20"/>
                <w:szCs w:val="20"/>
                <w:color w:val="auto"/>
              </w:rPr>
            </w:pPr>
            <w:r>
              <w:rPr>
                <w:rFonts w:ascii="Arial" w:cs="Arial" w:eastAsia="Arial" w:hAnsi="Arial"/>
                <w:sz w:val="15"/>
                <w:szCs w:val="15"/>
                <w:b w:val="1"/>
                <w:bCs w:val="1"/>
                <w:color w:val="auto"/>
              </w:rPr>
              <w:t>2.5</w:t>
            </w:r>
          </w:p>
        </w:tc>
        <w:tc>
          <w:tcPr>
            <w:tcW w:w="160" w:type="dxa"/>
            <w:vAlign w:val="bottom"/>
            <w:shd w:val="clear" w:color="auto" w:fill="F4EFF6"/>
          </w:tcPr>
          <w:p>
            <w:pPr>
              <w:jc w:val="right"/>
              <w:spacing w:after="0"/>
              <w:rPr>
                <w:sz w:val="20"/>
                <w:szCs w:val="20"/>
                <w:color w:val="auto"/>
              </w:rPr>
            </w:pPr>
            <w:r>
              <w:rPr>
                <w:rFonts w:ascii="Arial" w:cs="Arial" w:eastAsia="Arial" w:hAnsi="Arial"/>
                <w:sz w:val="15"/>
                <w:szCs w:val="15"/>
                <w:b w:val="1"/>
                <w:bCs w:val="1"/>
                <w:color w:val="auto"/>
                <w:w w:val="89"/>
              </w:rPr>
              <w:t>%</w:t>
            </w:r>
          </w:p>
        </w:tc>
        <w:tc>
          <w:tcPr>
            <w:tcW w:w="1660" w:type="dxa"/>
            <w:vAlign w:val="bottom"/>
          </w:tcPr>
          <w:p>
            <w:pPr>
              <w:jc w:val="right"/>
              <w:ind w:right="226"/>
              <w:spacing w:after="0"/>
              <w:rPr>
                <w:sz w:val="20"/>
                <w:szCs w:val="20"/>
                <w:color w:val="auto"/>
              </w:rPr>
            </w:pPr>
            <w:r>
              <w:rPr>
                <w:rFonts w:ascii="Arial" w:cs="Arial" w:eastAsia="Arial" w:hAnsi="Arial"/>
                <w:sz w:val="15"/>
                <w:szCs w:val="15"/>
                <w:color w:val="auto"/>
              </w:rPr>
              <w:t>3.5 %</w:t>
            </w:r>
          </w:p>
        </w:tc>
        <w:tc>
          <w:tcPr>
            <w:tcW w:w="1120" w:type="dxa"/>
            <w:vAlign w:val="bottom"/>
          </w:tcPr>
          <w:p>
            <w:pPr>
              <w:jc w:val="right"/>
              <w:ind w:right="85"/>
              <w:spacing w:after="0"/>
              <w:rPr>
                <w:sz w:val="20"/>
                <w:szCs w:val="20"/>
                <w:color w:val="auto"/>
              </w:rPr>
            </w:pPr>
            <w:r>
              <w:rPr>
                <w:rFonts w:ascii="Arial" w:cs="Arial" w:eastAsia="Arial" w:hAnsi="Arial"/>
                <w:sz w:val="15"/>
                <w:szCs w:val="15"/>
                <w:color w:val="auto"/>
              </w:rPr>
              <w:t>(100) bps</w:t>
            </w:r>
          </w:p>
        </w:tc>
        <w:tc>
          <w:tcPr>
            <w:tcW w:w="1240" w:type="dxa"/>
            <w:vAlign w:val="bottom"/>
            <w:gridSpan w:val="2"/>
            <w:shd w:val="clear" w:color="auto" w:fill="F4EFF6"/>
          </w:tcPr>
          <w:p>
            <w:pPr>
              <w:jc w:val="right"/>
              <w:spacing w:after="0"/>
              <w:rPr>
                <w:sz w:val="20"/>
                <w:szCs w:val="20"/>
                <w:color w:val="auto"/>
              </w:rPr>
            </w:pPr>
            <w:r>
              <w:rPr>
                <w:rFonts w:ascii="Arial" w:cs="Arial" w:eastAsia="Arial" w:hAnsi="Arial"/>
                <w:sz w:val="15"/>
                <w:szCs w:val="15"/>
                <w:b w:val="1"/>
                <w:bCs w:val="1"/>
                <w:color w:val="auto"/>
              </w:rPr>
              <w:t>2.3%</w:t>
            </w:r>
          </w:p>
        </w:tc>
        <w:tc>
          <w:tcPr>
            <w:tcW w:w="1680" w:type="dxa"/>
            <w:vAlign w:val="bottom"/>
          </w:tcPr>
          <w:p>
            <w:pPr>
              <w:jc w:val="right"/>
              <w:ind w:right="226"/>
              <w:spacing w:after="0"/>
              <w:rPr>
                <w:sz w:val="20"/>
                <w:szCs w:val="20"/>
                <w:color w:val="auto"/>
              </w:rPr>
            </w:pPr>
            <w:r>
              <w:rPr>
                <w:rFonts w:ascii="Arial" w:cs="Arial" w:eastAsia="Arial" w:hAnsi="Arial"/>
                <w:sz w:val="15"/>
                <w:szCs w:val="15"/>
                <w:color w:val="auto"/>
              </w:rPr>
              <w:t>3.1%</w:t>
            </w:r>
          </w:p>
        </w:tc>
        <w:tc>
          <w:tcPr>
            <w:tcW w:w="960" w:type="dxa"/>
            <w:vAlign w:val="bottom"/>
          </w:tcPr>
          <w:p>
            <w:pPr>
              <w:jc w:val="right"/>
              <w:spacing w:after="0"/>
              <w:rPr>
                <w:sz w:val="20"/>
                <w:szCs w:val="20"/>
                <w:color w:val="auto"/>
              </w:rPr>
            </w:pPr>
            <w:r>
              <w:rPr>
                <w:rFonts w:ascii="Arial" w:cs="Arial" w:eastAsia="Arial" w:hAnsi="Arial"/>
                <w:sz w:val="15"/>
                <w:szCs w:val="15"/>
                <w:color w:val="auto"/>
              </w:rPr>
              <w:t>(80) bps</w:t>
            </w:r>
          </w:p>
        </w:tc>
      </w:tr>
      <w:tr>
        <w:trPr>
          <w:trHeight w:val="268"/>
        </w:trPr>
        <w:tc>
          <w:tcPr>
            <w:tcW w:w="3320" w:type="dxa"/>
            <w:vAlign w:val="bottom"/>
          </w:tcPr>
          <w:p>
            <w:pPr>
              <w:ind w:left="20"/>
              <w:spacing w:after="0"/>
              <w:rPr>
                <w:sz w:val="20"/>
                <w:szCs w:val="20"/>
                <w:color w:val="auto"/>
              </w:rPr>
            </w:pPr>
            <w:r>
              <w:rPr>
                <w:rFonts w:ascii="Arial" w:cs="Arial" w:eastAsia="Arial" w:hAnsi="Arial"/>
                <w:sz w:val="15"/>
                <w:szCs w:val="15"/>
                <w:color w:val="auto"/>
              </w:rPr>
              <w:t>Average notional debt securities ($bn)</w:t>
            </w:r>
          </w:p>
        </w:tc>
        <w:tc>
          <w:tcPr>
            <w:tcW w:w="108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(4.9)</w:t>
            </w:r>
          </w:p>
        </w:tc>
        <w:tc>
          <w:tcPr>
            <w:tcW w:w="160" w:type="dxa"/>
            <w:vAlign w:val="bottom"/>
            <w:tcBorders>
              <w:bottom w:val="single" w:sz="8" w:color="F4EFF6"/>
            </w:tcBorders>
            <w:shd w:val="clear" w:color="auto" w:fill="F4EFF6"/>
          </w:tcPr>
          <w:p>
            <w:pPr>
              <w:spacing w:after="0"/>
              <w:rPr>
                <w:sz w:val="23"/>
                <w:szCs w:val="23"/>
                <w:color w:val="auto"/>
              </w:rPr>
            </w:pPr>
          </w:p>
        </w:tc>
        <w:tc>
          <w:tcPr>
            <w:tcW w:w="1660" w:type="dxa"/>
            <w:vAlign w:val="bottom"/>
          </w:tcPr>
          <w:p>
            <w:pPr>
              <w:jc w:val="right"/>
              <w:ind w:right="366"/>
              <w:spacing w:after="0"/>
              <w:rPr>
                <w:sz w:val="20"/>
                <w:szCs w:val="20"/>
                <w:color w:val="auto"/>
              </w:rPr>
            </w:pPr>
            <w:r>
              <w:rPr>
                <w:rFonts w:ascii="Arial" w:cs="Arial" w:eastAsia="Arial" w:hAnsi="Arial"/>
                <w:sz w:val="15"/>
                <w:szCs w:val="15"/>
                <w:color w:val="auto"/>
              </w:rPr>
              <w:t>(2.6)</w:t>
            </w:r>
          </w:p>
        </w:tc>
        <w:tc>
          <w:tcPr>
            <w:tcW w:w="1120" w:type="dxa"/>
            <w:vAlign w:val="bottom"/>
          </w:tcPr>
          <w:p>
            <w:pPr>
              <w:jc w:val="right"/>
              <w:ind w:right="105"/>
              <w:spacing w:after="0"/>
              <w:rPr>
                <w:sz w:val="20"/>
                <w:szCs w:val="20"/>
                <w:color w:val="auto"/>
              </w:rPr>
            </w:pPr>
            <w:r>
              <w:rPr>
                <w:rFonts w:ascii="Arial" w:cs="Arial" w:eastAsia="Arial" w:hAnsi="Arial"/>
                <w:sz w:val="15"/>
                <w:szCs w:val="15"/>
                <w:color w:val="auto"/>
              </w:rPr>
              <w:t>(2.3)</w:t>
            </w:r>
          </w:p>
        </w:tc>
        <w:tc>
          <w:tcPr>
            <w:tcW w:w="108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(4.5)</w:t>
            </w:r>
          </w:p>
        </w:tc>
        <w:tc>
          <w:tcPr>
            <w:tcW w:w="160" w:type="dxa"/>
            <w:vAlign w:val="bottom"/>
            <w:tcBorders>
              <w:bottom w:val="single" w:sz="8" w:color="F4EFF6"/>
            </w:tcBorders>
            <w:shd w:val="clear" w:color="auto" w:fill="F4EFF6"/>
          </w:tcPr>
          <w:p>
            <w:pPr>
              <w:spacing w:after="0"/>
              <w:rPr>
                <w:sz w:val="23"/>
                <w:szCs w:val="23"/>
                <w:color w:val="auto"/>
              </w:rPr>
            </w:pPr>
          </w:p>
        </w:tc>
        <w:tc>
          <w:tcPr>
            <w:tcW w:w="1680" w:type="dxa"/>
            <w:vAlign w:val="bottom"/>
          </w:tcPr>
          <w:p>
            <w:pPr>
              <w:jc w:val="right"/>
              <w:ind w:right="386"/>
              <w:spacing w:after="0"/>
              <w:rPr>
                <w:sz w:val="20"/>
                <w:szCs w:val="20"/>
                <w:color w:val="auto"/>
              </w:rPr>
            </w:pPr>
            <w:r>
              <w:rPr>
                <w:rFonts w:ascii="Arial" w:cs="Arial" w:eastAsia="Arial" w:hAnsi="Arial"/>
                <w:sz w:val="15"/>
                <w:szCs w:val="15"/>
                <w:color w:val="auto"/>
              </w:rPr>
              <w:t>(2.6)</w:t>
            </w:r>
          </w:p>
        </w:tc>
        <w:tc>
          <w:tcPr>
            <w:tcW w:w="96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211"/>
        </w:trPr>
        <w:tc>
          <w:tcPr>
            <w:tcW w:w="3320" w:type="dxa"/>
            <w:vAlign w:val="bottom"/>
            <w:tcBorders>
              <w:top w:val="single" w:sz="8" w:color="DADAE7"/>
            </w:tcBorders>
          </w:tcPr>
          <w:p>
            <w:pPr>
              <w:ind w:left="20"/>
              <w:spacing w:after="0"/>
              <w:rPr>
                <w:sz w:val="20"/>
                <w:szCs w:val="20"/>
                <w:color w:val="auto"/>
              </w:rPr>
            </w:pPr>
            <w:r>
              <w:rPr>
                <w:rFonts w:ascii="Arial" w:cs="Arial" w:eastAsia="Arial" w:hAnsi="Arial"/>
                <w:sz w:val="15"/>
                <w:szCs w:val="15"/>
                <w:b w:val="1"/>
                <w:bCs w:val="1"/>
                <w:color w:val="auto"/>
              </w:rPr>
              <w:t>Yield %</w:t>
            </w:r>
          </w:p>
        </w:tc>
        <w:tc>
          <w:tcPr>
            <w:tcW w:w="1240" w:type="dxa"/>
            <w:vAlign w:val="bottom"/>
            <w:tcBorders>
              <w:top w:val="single" w:sz="8" w:color="DADAE7"/>
            </w:tcBorders>
            <w:gridSpan w:val="2"/>
            <w:shd w:val="clear" w:color="auto" w:fill="F4EFF6"/>
          </w:tcPr>
          <w:p>
            <w:pPr>
              <w:jc w:val="right"/>
              <w:spacing w:after="0"/>
              <w:rPr>
                <w:sz w:val="20"/>
                <w:szCs w:val="20"/>
                <w:color w:val="auto"/>
              </w:rPr>
            </w:pPr>
            <w:r>
              <w:rPr>
                <w:rFonts w:ascii="Arial" w:cs="Arial" w:eastAsia="Arial" w:hAnsi="Arial"/>
                <w:sz w:val="15"/>
                <w:szCs w:val="15"/>
                <w:b w:val="1"/>
                <w:bCs w:val="1"/>
                <w:color w:val="auto"/>
              </w:rPr>
              <w:t>6.5%</w:t>
            </w:r>
          </w:p>
        </w:tc>
        <w:tc>
          <w:tcPr>
            <w:tcW w:w="1660" w:type="dxa"/>
            <w:vAlign w:val="bottom"/>
            <w:tcBorders>
              <w:top w:val="single" w:sz="8" w:color="DADAE7"/>
            </w:tcBorders>
          </w:tcPr>
          <w:p>
            <w:pPr>
              <w:jc w:val="right"/>
              <w:ind w:right="226"/>
              <w:spacing w:after="0"/>
              <w:rPr>
                <w:sz w:val="20"/>
                <w:szCs w:val="20"/>
                <w:color w:val="auto"/>
              </w:rPr>
            </w:pPr>
            <w:r>
              <w:rPr>
                <w:rFonts w:ascii="Arial" w:cs="Arial" w:eastAsia="Arial" w:hAnsi="Arial"/>
                <w:sz w:val="15"/>
                <w:szCs w:val="15"/>
                <w:color w:val="auto"/>
              </w:rPr>
              <w:t>7.9%</w:t>
            </w:r>
          </w:p>
        </w:tc>
        <w:tc>
          <w:tcPr>
            <w:tcW w:w="1120" w:type="dxa"/>
            <w:vAlign w:val="bottom"/>
            <w:tcBorders>
              <w:top w:val="single" w:sz="8" w:color="DADAE7"/>
            </w:tcBorders>
          </w:tcPr>
          <w:p>
            <w:pPr>
              <w:jc w:val="right"/>
              <w:ind w:right="85"/>
              <w:spacing w:after="0"/>
              <w:rPr>
                <w:sz w:val="20"/>
                <w:szCs w:val="20"/>
                <w:color w:val="auto"/>
              </w:rPr>
            </w:pPr>
            <w:r>
              <w:rPr>
                <w:rFonts w:ascii="Arial" w:cs="Arial" w:eastAsia="Arial" w:hAnsi="Arial"/>
                <w:sz w:val="15"/>
                <w:szCs w:val="15"/>
                <w:color w:val="auto"/>
              </w:rPr>
              <w:t>(140) bps</w:t>
            </w:r>
          </w:p>
        </w:tc>
        <w:tc>
          <w:tcPr>
            <w:tcW w:w="1080" w:type="dxa"/>
            <w:vAlign w:val="bottom"/>
            <w:tcBorders>
              <w:top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6.5</w:t>
            </w:r>
          </w:p>
        </w:tc>
        <w:tc>
          <w:tcPr>
            <w:tcW w:w="160" w:type="dxa"/>
            <w:vAlign w:val="bottom"/>
            <w:tcBorders>
              <w:top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w w:val="89"/>
              </w:rPr>
              <w:t>%</w:t>
            </w:r>
          </w:p>
        </w:tc>
        <w:tc>
          <w:tcPr>
            <w:tcW w:w="1680" w:type="dxa"/>
            <w:vAlign w:val="bottom"/>
            <w:tcBorders>
              <w:top w:val="single" w:sz="8" w:color="DADAE7"/>
            </w:tcBorders>
          </w:tcPr>
          <w:p>
            <w:pPr>
              <w:jc w:val="right"/>
              <w:ind w:right="226"/>
              <w:spacing w:after="0"/>
              <w:rPr>
                <w:sz w:val="20"/>
                <w:szCs w:val="20"/>
                <w:color w:val="auto"/>
              </w:rPr>
            </w:pPr>
            <w:r>
              <w:rPr>
                <w:rFonts w:ascii="Arial" w:cs="Arial" w:eastAsia="Arial" w:hAnsi="Arial"/>
                <w:sz w:val="15"/>
                <w:szCs w:val="15"/>
                <w:color w:val="auto"/>
              </w:rPr>
              <w:t>7.9 %</w:t>
            </w:r>
          </w:p>
        </w:tc>
        <w:tc>
          <w:tcPr>
            <w:tcW w:w="9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(140) bps</w:t>
            </w:r>
          </w:p>
        </w:tc>
      </w:tr>
      <w:tr>
        <w:trPr>
          <w:trHeight w:val="268"/>
        </w:trPr>
        <w:tc>
          <w:tcPr>
            <w:tcW w:w="3320" w:type="dxa"/>
            <w:vAlign w:val="bottom"/>
          </w:tcPr>
          <w:p>
            <w:pPr>
              <w:ind w:left="20"/>
              <w:spacing w:after="0"/>
              <w:rPr>
                <w:sz w:val="20"/>
                <w:szCs w:val="20"/>
                <w:color w:val="auto"/>
              </w:rPr>
            </w:pPr>
            <w:r>
              <w:rPr>
                <w:rFonts w:ascii="Arial" w:cs="Arial" w:eastAsia="Arial" w:hAnsi="Arial"/>
                <w:sz w:val="15"/>
                <w:szCs w:val="15"/>
                <w:b w:val="1"/>
                <w:bCs w:val="1"/>
                <w:color w:val="auto"/>
              </w:rPr>
              <w:t>Interest expense ($m)</w:t>
            </w:r>
          </w:p>
        </w:tc>
        <w:tc>
          <w:tcPr>
            <w:tcW w:w="108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(78.6)</w:t>
            </w:r>
          </w:p>
        </w:tc>
        <w:tc>
          <w:tcPr>
            <w:tcW w:w="160" w:type="dxa"/>
            <w:vAlign w:val="bottom"/>
            <w:tcBorders>
              <w:bottom w:val="single" w:sz="8" w:color="F4EFF6"/>
            </w:tcBorders>
            <w:shd w:val="clear" w:color="auto" w:fill="F4EFF6"/>
          </w:tcPr>
          <w:p>
            <w:pPr>
              <w:spacing w:after="0"/>
              <w:rPr>
                <w:sz w:val="23"/>
                <w:szCs w:val="23"/>
                <w:color w:val="auto"/>
              </w:rPr>
            </w:pPr>
          </w:p>
        </w:tc>
        <w:tc>
          <w:tcPr>
            <w:tcW w:w="1660" w:type="dxa"/>
            <w:vAlign w:val="bottom"/>
          </w:tcPr>
          <w:p>
            <w:pPr>
              <w:jc w:val="right"/>
              <w:ind w:right="366"/>
              <w:spacing w:after="0"/>
              <w:rPr>
                <w:sz w:val="20"/>
                <w:szCs w:val="20"/>
                <w:color w:val="auto"/>
              </w:rPr>
            </w:pPr>
            <w:r>
              <w:rPr>
                <w:rFonts w:ascii="Arial" w:cs="Arial" w:eastAsia="Arial" w:hAnsi="Arial"/>
                <w:sz w:val="15"/>
                <w:szCs w:val="15"/>
                <w:color w:val="auto"/>
              </w:rPr>
              <w:t>(53.7)</w:t>
            </w:r>
          </w:p>
        </w:tc>
        <w:tc>
          <w:tcPr>
            <w:tcW w:w="1120" w:type="dxa"/>
            <w:vAlign w:val="bottom"/>
          </w:tcPr>
          <w:p>
            <w:pPr>
              <w:jc w:val="right"/>
              <w:ind w:right="105"/>
              <w:spacing w:after="0"/>
              <w:rPr>
                <w:sz w:val="20"/>
                <w:szCs w:val="20"/>
                <w:color w:val="auto"/>
              </w:rPr>
            </w:pPr>
            <w:r>
              <w:rPr>
                <w:rFonts w:ascii="Arial" w:cs="Arial" w:eastAsia="Arial" w:hAnsi="Arial"/>
                <w:sz w:val="15"/>
                <w:szCs w:val="15"/>
                <w:color w:val="auto"/>
              </w:rPr>
              <w:t>(24.9)</w:t>
            </w:r>
          </w:p>
        </w:tc>
        <w:tc>
          <w:tcPr>
            <w:tcW w:w="108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(144.5)</w:t>
            </w:r>
          </w:p>
        </w:tc>
        <w:tc>
          <w:tcPr>
            <w:tcW w:w="160" w:type="dxa"/>
            <w:vAlign w:val="bottom"/>
            <w:tcBorders>
              <w:bottom w:val="single" w:sz="8" w:color="F4EFF6"/>
            </w:tcBorders>
            <w:shd w:val="clear" w:color="auto" w:fill="F4EFF6"/>
          </w:tcPr>
          <w:p>
            <w:pPr>
              <w:spacing w:after="0"/>
              <w:rPr>
                <w:sz w:val="23"/>
                <w:szCs w:val="23"/>
                <w:color w:val="auto"/>
              </w:rPr>
            </w:pPr>
          </w:p>
        </w:tc>
        <w:tc>
          <w:tcPr>
            <w:tcW w:w="1680" w:type="dxa"/>
            <w:vAlign w:val="bottom"/>
          </w:tcPr>
          <w:p>
            <w:pPr>
              <w:jc w:val="right"/>
              <w:ind w:right="386"/>
              <w:spacing w:after="0"/>
              <w:rPr>
                <w:sz w:val="20"/>
                <w:szCs w:val="20"/>
                <w:color w:val="auto"/>
              </w:rPr>
            </w:pPr>
            <w:r>
              <w:rPr>
                <w:rFonts w:ascii="Arial" w:cs="Arial" w:eastAsia="Arial" w:hAnsi="Arial"/>
                <w:sz w:val="15"/>
                <w:szCs w:val="15"/>
                <w:color w:val="auto"/>
              </w:rPr>
              <w:t>(104.5)</w:t>
            </w:r>
          </w:p>
        </w:tc>
        <w:tc>
          <w:tcPr>
            <w:tcW w:w="960" w:type="dxa"/>
            <w:vAlign w:val="bottom"/>
          </w:tcPr>
          <w:p>
            <w:pPr>
              <w:jc w:val="right"/>
              <w:spacing w:after="0"/>
              <w:rPr>
                <w:sz w:val="20"/>
                <w:szCs w:val="20"/>
                <w:color w:val="auto"/>
              </w:rPr>
            </w:pPr>
            <w:r>
              <w:rPr>
                <w:rFonts w:ascii="Arial" w:cs="Arial" w:eastAsia="Arial" w:hAnsi="Arial"/>
                <w:sz w:val="15"/>
                <w:szCs w:val="15"/>
                <w:color w:val="auto"/>
              </w:rPr>
              <w:t>(40.0)</w:t>
            </w:r>
          </w:p>
        </w:tc>
      </w:tr>
      <w:tr>
        <w:trPr>
          <w:trHeight w:val="216"/>
        </w:trPr>
        <w:tc>
          <w:tcPr>
            <w:tcW w:w="332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Net Interest Income ($m)</w:t>
            </w:r>
          </w:p>
        </w:tc>
        <w:tc>
          <w:tcPr>
            <w:tcW w:w="108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34.6</w:t>
            </w:r>
          </w:p>
        </w:tc>
        <w:tc>
          <w:tcPr>
            <w:tcW w:w="160" w:type="dxa"/>
            <w:vAlign w:val="bottom"/>
            <w:tcBorders>
              <w:top w:val="single" w:sz="8" w:color="793690"/>
              <w:bottom w:val="single" w:sz="8" w:color="F4EFF6"/>
            </w:tcBorders>
            <w:shd w:val="clear" w:color="auto" w:fill="F4EFF6"/>
          </w:tcPr>
          <w:p>
            <w:pPr>
              <w:spacing w:after="0"/>
              <w:rPr>
                <w:sz w:val="18"/>
                <w:szCs w:val="18"/>
                <w:color w:val="auto"/>
              </w:rPr>
            </w:pPr>
          </w:p>
        </w:tc>
        <w:tc>
          <w:tcPr>
            <w:tcW w:w="1660" w:type="dxa"/>
            <w:vAlign w:val="bottom"/>
            <w:tcBorders>
              <w:top w:val="single" w:sz="8" w:color="793690"/>
            </w:tcBorders>
          </w:tcPr>
          <w:p>
            <w:pPr>
              <w:jc w:val="right"/>
              <w:ind w:right="406"/>
              <w:spacing w:after="0"/>
              <w:rPr>
                <w:sz w:val="20"/>
                <w:szCs w:val="20"/>
                <w:color w:val="auto"/>
              </w:rPr>
            </w:pPr>
            <w:r>
              <w:rPr>
                <w:rFonts w:ascii="Arial" w:cs="Arial" w:eastAsia="Arial" w:hAnsi="Arial"/>
                <w:sz w:val="15"/>
                <w:szCs w:val="15"/>
                <w:color w:val="auto"/>
              </w:rPr>
              <w:t>65.4</w:t>
            </w:r>
          </w:p>
        </w:tc>
        <w:tc>
          <w:tcPr>
            <w:tcW w:w="1120" w:type="dxa"/>
            <w:vAlign w:val="bottom"/>
            <w:tcBorders>
              <w:top w:val="single" w:sz="8" w:color="793690"/>
            </w:tcBorders>
          </w:tcPr>
          <w:p>
            <w:pPr>
              <w:jc w:val="right"/>
              <w:ind w:right="105"/>
              <w:spacing w:after="0"/>
              <w:rPr>
                <w:sz w:val="20"/>
                <w:szCs w:val="20"/>
                <w:color w:val="auto"/>
              </w:rPr>
            </w:pPr>
            <w:r>
              <w:rPr>
                <w:rFonts w:ascii="Arial" w:cs="Arial" w:eastAsia="Arial" w:hAnsi="Arial"/>
                <w:sz w:val="15"/>
                <w:szCs w:val="15"/>
                <w:color w:val="auto"/>
              </w:rPr>
              <w:t>(30.8)</w:t>
            </w:r>
          </w:p>
        </w:tc>
        <w:tc>
          <w:tcPr>
            <w:tcW w:w="108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88.0</w:t>
            </w:r>
          </w:p>
        </w:tc>
        <w:tc>
          <w:tcPr>
            <w:tcW w:w="160" w:type="dxa"/>
            <w:vAlign w:val="bottom"/>
            <w:tcBorders>
              <w:top w:val="single" w:sz="8" w:color="793690"/>
              <w:bottom w:val="single" w:sz="8" w:color="F4EFF6"/>
            </w:tcBorders>
            <w:shd w:val="clear" w:color="auto" w:fill="F4EFF6"/>
          </w:tcPr>
          <w:p>
            <w:pPr>
              <w:spacing w:after="0"/>
              <w:rPr>
                <w:sz w:val="18"/>
                <w:szCs w:val="18"/>
                <w:color w:val="auto"/>
              </w:rPr>
            </w:pPr>
          </w:p>
        </w:tc>
        <w:tc>
          <w:tcPr>
            <w:tcW w:w="1680" w:type="dxa"/>
            <w:vAlign w:val="bottom"/>
            <w:tcBorders>
              <w:top w:val="single" w:sz="8" w:color="793690"/>
            </w:tcBorders>
          </w:tcPr>
          <w:p>
            <w:pPr>
              <w:jc w:val="right"/>
              <w:ind w:right="426"/>
              <w:spacing w:after="0"/>
              <w:rPr>
                <w:sz w:val="20"/>
                <w:szCs w:val="20"/>
                <w:color w:val="auto"/>
              </w:rPr>
            </w:pPr>
            <w:r>
              <w:rPr>
                <w:rFonts w:ascii="Arial" w:cs="Arial" w:eastAsia="Arial" w:hAnsi="Arial"/>
                <w:sz w:val="15"/>
                <w:szCs w:val="15"/>
                <w:color w:val="auto"/>
              </w:rPr>
              <w:t>101.0</w:t>
            </w:r>
          </w:p>
        </w:tc>
        <w:tc>
          <w:tcPr>
            <w:tcW w:w="96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(13.0)</w:t>
            </w:r>
          </w:p>
        </w:tc>
      </w:tr>
      <w:tr>
        <w:trPr>
          <w:trHeight w:val="20"/>
        </w:trPr>
        <w:tc>
          <w:tcPr>
            <w:tcW w:w="3320" w:type="dxa"/>
            <w:vAlign w:val="bottom"/>
            <w:shd w:val="clear" w:color="auto" w:fill="793690"/>
          </w:tcPr>
          <w:p>
            <w:pPr>
              <w:spacing w:after="0" w:line="20" w:lineRule="exact"/>
              <w:rPr>
                <w:sz w:val="1"/>
                <w:szCs w:val="1"/>
                <w:color w:val="auto"/>
              </w:rPr>
            </w:pPr>
          </w:p>
        </w:tc>
        <w:tc>
          <w:tcPr>
            <w:tcW w:w="1080" w:type="dxa"/>
            <w:vAlign w:val="bottom"/>
            <w:shd w:val="clear" w:color="auto" w:fill="793690"/>
          </w:tcPr>
          <w:p>
            <w:pPr>
              <w:spacing w:after="0" w:line="20" w:lineRule="exact"/>
              <w:rPr>
                <w:sz w:val="1"/>
                <w:szCs w:val="1"/>
                <w:color w:val="auto"/>
              </w:rPr>
            </w:pPr>
          </w:p>
        </w:tc>
        <w:tc>
          <w:tcPr>
            <w:tcW w:w="160" w:type="dxa"/>
            <w:vAlign w:val="bottom"/>
            <w:shd w:val="clear" w:color="auto" w:fill="793690"/>
          </w:tcPr>
          <w:p>
            <w:pPr>
              <w:spacing w:after="0" w:line="20" w:lineRule="exact"/>
              <w:rPr>
                <w:sz w:val="1"/>
                <w:szCs w:val="1"/>
                <w:color w:val="auto"/>
              </w:rPr>
            </w:pPr>
          </w:p>
        </w:tc>
        <w:tc>
          <w:tcPr>
            <w:tcW w:w="1660" w:type="dxa"/>
            <w:vAlign w:val="bottom"/>
            <w:shd w:val="clear" w:color="auto" w:fill="793690"/>
          </w:tcPr>
          <w:p>
            <w:pPr>
              <w:spacing w:after="0" w:line="20" w:lineRule="exact"/>
              <w:rPr>
                <w:sz w:val="1"/>
                <w:szCs w:val="1"/>
                <w:color w:val="auto"/>
              </w:rPr>
            </w:pPr>
          </w:p>
        </w:tc>
        <w:tc>
          <w:tcPr>
            <w:tcW w:w="1120" w:type="dxa"/>
            <w:vAlign w:val="bottom"/>
            <w:shd w:val="clear" w:color="auto" w:fill="793690"/>
          </w:tcPr>
          <w:p>
            <w:pPr>
              <w:spacing w:after="0" w:line="20" w:lineRule="exact"/>
              <w:rPr>
                <w:sz w:val="1"/>
                <w:szCs w:val="1"/>
                <w:color w:val="auto"/>
              </w:rPr>
            </w:pPr>
          </w:p>
        </w:tc>
        <w:tc>
          <w:tcPr>
            <w:tcW w:w="1080" w:type="dxa"/>
            <w:vAlign w:val="bottom"/>
            <w:shd w:val="clear" w:color="auto" w:fill="793690"/>
          </w:tcPr>
          <w:p>
            <w:pPr>
              <w:spacing w:after="0" w:line="20" w:lineRule="exact"/>
              <w:rPr>
                <w:sz w:val="1"/>
                <w:szCs w:val="1"/>
                <w:color w:val="auto"/>
              </w:rPr>
            </w:pPr>
          </w:p>
        </w:tc>
        <w:tc>
          <w:tcPr>
            <w:tcW w:w="160" w:type="dxa"/>
            <w:vAlign w:val="bottom"/>
            <w:shd w:val="clear" w:color="auto" w:fill="793690"/>
          </w:tcPr>
          <w:p>
            <w:pPr>
              <w:spacing w:after="0" w:line="20" w:lineRule="exact"/>
              <w:rPr>
                <w:sz w:val="1"/>
                <w:szCs w:val="1"/>
                <w:color w:val="auto"/>
              </w:rPr>
            </w:pPr>
          </w:p>
        </w:tc>
        <w:tc>
          <w:tcPr>
            <w:tcW w:w="1680" w:type="dxa"/>
            <w:vAlign w:val="bottom"/>
            <w:shd w:val="clear" w:color="auto" w:fill="793690"/>
          </w:tcPr>
          <w:p>
            <w:pPr>
              <w:spacing w:after="0" w:line="20" w:lineRule="exact"/>
              <w:rPr>
                <w:sz w:val="1"/>
                <w:szCs w:val="1"/>
                <w:color w:val="auto"/>
              </w:rPr>
            </w:pPr>
          </w:p>
        </w:tc>
        <w:tc>
          <w:tcPr>
            <w:tcW w:w="960" w:type="dxa"/>
            <w:vAlign w:val="bottom"/>
            <w:shd w:val="clear" w:color="auto" w:fill="793690"/>
          </w:tcPr>
          <w:p>
            <w:pPr>
              <w:spacing w:after="0" w:line="20" w:lineRule="exact"/>
              <w:rPr>
                <w:sz w:val="1"/>
                <w:szCs w:val="1"/>
                <w:color w:val="auto"/>
              </w:rPr>
            </w:pPr>
          </w:p>
        </w:tc>
      </w:tr>
    </w:tbl>
    <w:p>
      <w:pPr>
        <w:spacing w:after="0" w:line="297"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1"/>
          <w:szCs w:val="11"/>
          <w:color w:val="auto"/>
        </w:rPr>
      </w:pPr>
      <w:r>
        <w:rPr>
          <w:rFonts w:ascii="Arial" w:cs="Arial" w:eastAsia="Arial" w:hAnsi="Arial"/>
          <w:sz w:val="11"/>
          <w:szCs w:val="11"/>
          <w:color w:val="auto"/>
        </w:rPr>
        <w:t>The interest income and interest expense amounts are presented net of certain elements which are presented gross within the statutory results.</w:t>
      </w:r>
    </w:p>
    <w:p>
      <w:pPr>
        <w:spacing w:after="0" w:line="62" w:lineRule="exact"/>
        <w:rPr>
          <w:rFonts w:ascii="Arial" w:cs="Arial" w:eastAsia="Arial" w:hAnsi="Arial"/>
          <w:sz w:val="11"/>
          <w:szCs w:val="11"/>
          <w:color w:val="auto"/>
        </w:rPr>
      </w:pPr>
    </w:p>
    <w:p>
      <w:pPr>
        <w:ind w:left="160" w:hanging="152"/>
        <w:spacing w:after="0" w:line="259" w:lineRule="auto"/>
        <w:tabs>
          <w:tab w:leader="none" w:pos="148" w:val="left"/>
        </w:tabs>
        <w:numPr>
          <w:ilvl w:val="0"/>
          <w:numId w:val="9"/>
        </w:numPr>
        <w:rPr>
          <w:rFonts w:ascii="Arial" w:cs="Arial" w:eastAsia="Arial" w:hAnsi="Arial"/>
          <w:sz w:val="11"/>
          <w:szCs w:val="11"/>
          <w:color w:val="auto"/>
        </w:rPr>
      </w:pPr>
      <w:r>
        <w:rPr>
          <w:rFonts w:ascii="Arial" w:cs="Arial" w:eastAsia="Arial" w:hAnsi="Arial"/>
          <w:sz w:val="11"/>
          <w:szCs w:val="11"/>
          <w:color w:val="auto"/>
        </w:rPr>
        <w:t>Average balances are calculated using an average of the daily holdings in exchanges, banks and other investments over the period. Previously, average balances were calculated as the average month end amount of segregated and non-segregated client balances that generated interest income over a given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5</w:t>
      </w:r>
    </w:p>
    <w:p>
      <w:pPr>
        <w:sectPr>
          <w:pgSz w:w="11900" w:h="16838" w:orient="portrait"/>
          <w:cols w:equalWidth="0" w:num="1">
            <w:col w:w="11220"/>
          </w:cols>
          <w:pgMar w:left="320" w:top="1353" w:right="35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793690"/>
        </w:rPr>
        <w:t xml:space="preserve">Financial Review </w:t>
      </w:r>
      <w:r>
        <w:rPr>
          <w:rFonts w:ascii="Arial" w:cs="Arial" w:eastAsia="Arial" w:hAnsi="Arial"/>
          <w:sz w:val="22"/>
          <w:szCs w:val="22"/>
          <w:color w:val="793690"/>
        </w:rPr>
        <w:t>(continued)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Segmental performance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Clearing</w:t>
      </w:r>
    </w:p>
    <w:p>
      <w:pPr>
        <w:spacing w:after="0" w:line="6"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Marex provides clearing services across the range of energy, commodity and financial markets. We face the exchange on behalf of our clients providing access to 60 exchanges globally.</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Performance for the three months ended 30 June 2025</w:t>
      </w:r>
    </w:p>
    <w:p>
      <w:pPr>
        <w:spacing w:after="0" w:line="33"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Clearing revenue increased 12% to $138.8m (Q2 2024: $124.2m), driven by growth across all revenue lines. In Q2 2025 the business increased both client balances and volumes, whilst managing risk amid elevated volatility.</w:t>
      </w:r>
    </w:p>
    <w:p>
      <w:pPr>
        <w:spacing w:after="0" w:line="80" w:lineRule="exact"/>
        <w:rPr>
          <w:sz w:val="20"/>
          <w:szCs w:val="20"/>
          <w:color w:val="auto"/>
        </w:rPr>
      </w:pPr>
    </w:p>
    <w:p>
      <w:pPr>
        <w:ind w:right="100"/>
        <w:spacing w:after="0" w:line="301" w:lineRule="auto"/>
        <w:rPr>
          <w:sz w:val="20"/>
          <w:szCs w:val="20"/>
          <w:color w:val="auto"/>
        </w:rPr>
      </w:pPr>
      <w:r>
        <w:rPr>
          <w:rFonts w:ascii="Arial" w:cs="Arial" w:eastAsia="Arial" w:hAnsi="Arial"/>
          <w:sz w:val="15"/>
          <w:szCs w:val="15"/>
          <w:color w:val="auto"/>
        </w:rPr>
        <w:t>Net commission income increased by $5.4m to $71.5m (Q2 2024: $66.1m). Higher market volatility and the addition of new clients alongside the acquisition of Aarna Capital Limited, resulted in a higher number of contracts cleared in the quarter.</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Net trading income increased by $6.9m to $8.2m (Q2 2024: $1.3m) This includes both exchange traded and OTC contracts as well as repo clearing.</w:t>
      </w:r>
    </w:p>
    <w:p>
      <w:pPr>
        <w:spacing w:after="0" w:line="125" w:lineRule="exact"/>
        <w:rPr>
          <w:sz w:val="20"/>
          <w:szCs w:val="20"/>
          <w:color w:val="auto"/>
        </w:rPr>
      </w:pPr>
    </w:p>
    <w:p>
      <w:pPr>
        <w:ind w:right="120"/>
        <w:spacing w:after="0" w:line="283" w:lineRule="auto"/>
        <w:rPr>
          <w:sz w:val="20"/>
          <w:szCs w:val="20"/>
          <w:color w:val="auto"/>
        </w:rPr>
      </w:pPr>
      <w:r>
        <w:rPr>
          <w:rFonts w:ascii="Arial" w:cs="Arial" w:eastAsia="Arial" w:hAnsi="Arial"/>
          <w:sz w:val="15"/>
          <w:szCs w:val="15"/>
          <w:color w:val="auto"/>
        </w:rPr>
        <w:t>Net interest income increased to $59.1m (Q2 2024: $56.8m) primarily reflecting higher average client balances, partially offset by 100bps of lower average fed funds rates compared to Q2 2024.</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Adjusted Profit Before Tax</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increased by 2% to $70.5m (Q2 2024: $69.2m) while Adjusted Profit Before Tax Margin</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decreased to 51% (Q2 2024: 56%) reflecting</w:t>
      </w:r>
    </w:p>
    <w:p>
      <w:pPr>
        <w:ind w:right="100"/>
        <w:spacing w:after="0" w:line="244" w:lineRule="auto"/>
        <w:rPr>
          <w:sz w:val="20"/>
          <w:szCs w:val="20"/>
          <w:color w:val="auto"/>
        </w:rPr>
      </w:pPr>
      <w:r>
        <w:rPr>
          <w:rFonts w:ascii="Arial" w:cs="Arial" w:eastAsia="Arial" w:hAnsi="Arial"/>
          <w:sz w:val="15"/>
          <w:szCs w:val="15"/>
          <w:color w:val="auto"/>
        </w:rPr>
        <w:t>increased costs as we invested to expand our capabilities into new regions, including Abu Dhabi, APAC and South America. This also reflected higher compensation costs on strong revenue performance.</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Performance for the six months ended 30 June 2025</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Clearing revenue increased 15% to $258.0m (H1 2024: $224.9m with growth across all revenue lines.</w:t>
      </w:r>
    </w:p>
    <w:p>
      <w:pPr>
        <w:spacing w:after="0" w:line="97" w:lineRule="exact"/>
        <w:rPr>
          <w:sz w:val="20"/>
          <w:szCs w:val="20"/>
          <w:color w:val="auto"/>
        </w:rPr>
      </w:pPr>
    </w:p>
    <w:p>
      <w:pPr>
        <w:ind w:right="320"/>
        <w:spacing w:after="0" w:line="263" w:lineRule="auto"/>
        <w:rPr>
          <w:sz w:val="20"/>
          <w:szCs w:val="20"/>
          <w:color w:val="auto"/>
        </w:rPr>
      </w:pPr>
      <w:r>
        <w:rPr>
          <w:rFonts w:ascii="Arial" w:cs="Arial" w:eastAsia="Arial" w:hAnsi="Arial"/>
          <w:sz w:val="15"/>
          <w:szCs w:val="15"/>
          <w:color w:val="auto"/>
        </w:rPr>
        <w:t>Net commission income increased by 3% to $139.3m (H1 2024: $135.6m) and net trading income increased to $11.2m (H1 2024: $2.3m) driven by higher market volatility and increased client activity. Net interest income increased 24% to $107.5m primarily reflecting higher client balances, partially offset by 100bps lower average fed funds rates compared to H1 2024.</w:t>
      </w:r>
    </w:p>
    <w:p>
      <w:pPr>
        <w:spacing w:after="0" w:line="52" w:lineRule="exact"/>
        <w:rPr>
          <w:sz w:val="20"/>
          <w:szCs w:val="20"/>
          <w:color w:val="auto"/>
        </w:rPr>
      </w:pPr>
    </w:p>
    <w:p>
      <w:pPr>
        <w:ind w:right="400"/>
        <w:spacing w:after="0" w:line="241" w:lineRule="auto"/>
        <w:rPr>
          <w:sz w:val="20"/>
          <w:szCs w:val="20"/>
          <w:color w:val="auto"/>
        </w:rPr>
      </w:pPr>
      <w:r>
        <w:rPr>
          <w:rFonts w:ascii="Arial" w:cs="Arial" w:eastAsia="Arial" w:hAnsi="Arial"/>
          <w:sz w:val="15"/>
          <w:szCs w:val="15"/>
          <w:color w:val="auto"/>
        </w:rPr>
        <w:t>Adjusted Profit Before Tax</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increased 7% to $127.1m (H1 2024: $119.0m) while Adjusted Profit Before Tax Margin</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decreased to 49% (H1 2024: 53%) reflecting increased costs as we invested to expand our geographic footprint, a 8% increase in average front office headcount, and higher compensation costs on strong revenue performance.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11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 months ended</w:t>
            </w:r>
          </w:p>
        </w:tc>
        <w:tc>
          <w:tcPr>
            <w:tcW w:w="1620" w:type="dxa"/>
            <w:vAlign w:val="bottom"/>
          </w:tcPr>
          <w:p>
            <w:pPr>
              <w:jc w:val="right"/>
              <w:ind w:right="306"/>
              <w:spacing w:after="0"/>
              <w:rPr>
                <w:sz w:val="20"/>
                <w:szCs w:val="20"/>
                <w:color w:val="auto"/>
              </w:rPr>
            </w:pPr>
            <w:r>
              <w:rPr>
                <w:rFonts w:ascii="Arial" w:cs="Arial" w:eastAsia="Arial" w:hAnsi="Arial"/>
                <w:sz w:val="13"/>
                <w:szCs w:val="13"/>
                <w:b w:val="1"/>
                <w:bCs w:val="1"/>
                <w:color w:val="auto"/>
              </w:rPr>
              <w:t>3 months ended</w:t>
            </w:r>
          </w:p>
        </w:tc>
        <w:tc>
          <w:tcPr>
            <w:tcW w:w="1200" w:type="dxa"/>
            <w:vAlign w:val="bottom"/>
          </w:tcPr>
          <w:p>
            <w:pPr>
              <w:spacing w:after="0"/>
              <w:rPr>
                <w:sz w:val="16"/>
                <w:szCs w:val="16"/>
                <w:color w:val="auto"/>
              </w:rPr>
            </w:pPr>
          </w:p>
        </w:tc>
        <w:tc>
          <w:tcPr>
            <w:tcW w:w="11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6 months ended</w:t>
            </w:r>
          </w:p>
        </w:tc>
        <w:tc>
          <w:tcPr>
            <w:tcW w:w="1640" w:type="dxa"/>
            <w:vAlign w:val="bottom"/>
          </w:tcPr>
          <w:p>
            <w:pPr>
              <w:jc w:val="right"/>
              <w:ind w:right="306"/>
              <w:spacing w:after="0"/>
              <w:rPr>
                <w:sz w:val="20"/>
                <w:szCs w:val="20"/>
                <w:color w:val="auto"/>
              </w:rPr>
            </w:pPr>
            <w:r>
              <w:rPr>
                <w:rFonts w:ascii="Arial" w:cs="Arial" w:eastAsia="Arial" w:hAnsi="Arial"/>
                <w:sz w:val="13"/>
                <w:szCs w:val="13"/>
                <w:b w:val="1"/>
                <w:bCs w:val="1"/>
                <w:color w:val="auto"/>
              </w:rPr>
              <w:t>6 months ended</w:t>
            </w:r>
          </w:p>
        </w:tc>
        <w:tc>
          <w:tcPr>
            <w:tcW w:w="1040" w:type="dxa"/>
            <w:vAlign w:val="bottom"/>
          </w:tcPr>
          <w:p>
            <w:pPr>
              <w:spacing w:after="0"/>
              <w:rPr>
                <w:sz w:val="16"/>
                <w:szCs w:val="16"/>
                <w:color w:val="auto"/>
              </w:rPr>
            </w:pPr>
          </w:p>
        </w:tc>
      </w:tr>
      <w:tr>
        <w:trPr>
          <w:trHeight w:val="192"/>
        </w:trPr>
        <w:tc>
          <w:tcPr>
            <w:tcW w:w="3480" w:type="dxa"/>
            <w:vAlign w:val="bottom"/>
          </w:tcPr>
          <w:p>
            <w:pPr>
              <w:spacing w:after="0"/>
              <w:rPr>
                <w:sz w:val="16"/>
                <w:szCs w:val="16"/>
                <w:color w:val="auto"/>
              </w:rPr>
            </w:pPr>
          </w:p>
        </w:tc>
        <w:tc>
          <w:tcPr>
            <w:tcW w:w="11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620" w:type="dxa"/>
            <w:vAlign w:val="bottom"/>
          </w:tcPr>
          <w:p>
            <w:pPr>
              <w:jc w:val="right"/>
              <w:ind w:right="306"/>
              <w:spacing w:after="0"/>
              <w:rPr>
                <w:sz w:val="20"/>
                <w:szCs w:val="20"/>
                <w:color w:val="auto"/>
              </w:rPr>
            </w:pPr>
            <w:r>
              <w:rPr>
                <w:rFonts w:ascii="Arial" w:cs="Arial" w:eastAsia="Arial" w:hAnsi="Arial"/>
                <w:sz w:val="13"/>
                <w:szCs w:val="13"/>
                <w:b w:val="1"/>
                <w:bCs w:val="1"/>
                <w:color w:val="auto"/>
              </w:rPr>
              <w:t>30 June 2024</w:t>
            </w:r>
          </w:p>
        </w:tc>
        <w:tc>
          <w:tcPr>
            <w:tcW w:w="1200" w:type="dxa"/>
            <w:vAlign w:val="bottom"/>
          </w:tcPr>
          <w:p>
            <w:pPr>
              <w:spacing w:after="0"/>
              <w:rPr>
                <w:sz w:val="16"/>
                <w:szCs w:val="16"/>
                <w:color w:val="auto"/>
              </w:rPr>
            </w:pPr>
          </w:p>
        </w:tc>
        <w:tc>
          <w:tcPr>
            <w:tcW w:w="11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640" w:type="dxa"/>
            <w:vAlign w:val="bottom"/>
          </w:tcPr>
          <w:p>
            <w:pPr>
              <w:jc w:val="right"/>
              <w:ind w:right="306"/>
              <w:spacing w:after="0"/>
              <w:rPr>
                <w:sz w:val="20"/>
                <w:szCs w:val="20"/>
                <w:color w:val="auto"/>
              </w:rPr>
            </w:pPr>
            <w:r>
              <w:rPr>
                <w:rFonts w:ascii="Arial" w:cs="Arial" w:eastAsia="Arial" w:hAnsi="Arial"/>
                <w:sz w:val="13"/>
                <w:szCs w:val="13"/>
                <w:b w:val="1"/>
                <w:bCs w:val="1"/>
                <w:color w:val="auto"/>
              </w:rPr>
              <w:t>30 June 2024</w:t>
            </w:r>
          </w:p>
        </w:tc>
        <w:tc>
          <w:tcPr>
            <w:tcW w:w="1040" w:type="dxa"/>
            <w:vAlign w:val="bottom"/>
          </w:tcPr>
          <w:p>
            <w:pPr>
              <w:spacing w:after="0"/>
              <w:rPr>
                <w:sz w:val="16"/>
                <w:szCs w:val="16"/>
                <w:color w:val="auto"/>
              </w:rPr>
            </w:pPr>
          </w:p>
        </w:tc>
      </w:tr>
      <w:tr>
        <w:trPr>
          <w:trHeight w:val="224"/>
        </w:trPr>
        <w:tc>
          <w:tcPr>
            <w:tcW w:w="3480" w:type="dxa"/>
            <w:vAlign w:val="bottom"/>
          </w:tcPr>
          <w:p>
            <w:pPr>
              <w:spacing w:after="0"/>
              <w:rPr>
                <w:sz w:val="19"/>
                <w:szCs w:val="19"/>
                <w:color w:val="auto"/>
              </w:rPr>
            </w:pPr>
          </w:p>
        </w:tc>
        <w:tc>
          <w:tcPr>
            <w:tcW w:w="11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620" w:type="dxa"/>
            <w:vAlign w:val="bottom"/>
          </w:tcPr>
          <w:p>
            <w:pPr>
              <w:jc w:val="right"/>
              <w:ind w:right="306"/>
              <w:spacing w:after="0"/>
              <w:rPr>
                <w:sz w:val="20"/>
                <w:szCs w:val="20"/>
                <w:color w:val="auto"/>
              </w:rPr>
            </w:pPr>
            <w:r>
              <w:rPr>
                <w:rFonts w:ascii="Arial" w:cs="Arial" w:eastAsia="Arial" w:hAnsi="Arial"/>
                <w:sz w:val="13"/>
                <w:szCs w:val="13"/>
                <w:b w:val="1"/>
                <w:bCs w:val="1"/>
                <w:color w:val="auto"/>
              </w:rPr>
              <w:t>$m</w:t>
            </w:r>
          </w:p>
        </w:tc>
        <w:tc>
          <w:tcPr>
            <w:tcW w:w="1200" w:type="dxa"/>
            <w:vAlign w:val="bottom"/>
          </w:tcPr>
          <w:p>
            <w:pPr>
              <w:jc w:val="right"/>
              <w:ind w:right="85"/>
              <w:spacing w:after="0"/>
              <w:rPr>
                <w:sz w:val="20"/>
                <w:szCs w:val="20"/>
                <w:color w:val="auto"/>
              </w:rPr>
            </w:pPr>
            <w:r>
              <w:rPr>
                <w:rFonts w:ascii="Arial" w:cs="Arial" w:eastAsia="Arial" w:hAnsi="Arial"/>
                <w:sz w:val="13"/>
                <w:szCs w:val="13"/>
                <w:b w:val="1"/>
                <w:bCs w:val="1"/>
                <w:color w:val="auto"/>
              </w:rPr>
              <w:t>Change</w:t>
            </w:r>
          </w:p>
        </w:tc>
        <w:tc>
          <w:tcPr>
            <w:tcW w:w="11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640" w:type="dxa"/>
            <w:vAlign w:val="bottom"/>
          </w:tcPr>
          <w:p>
            <w:pPr>
              <w:jc w:val="right"/>
              <w:ind w:right="306"/>
              <w:spacing w:after="0"/>
              <w:rPr>
                <w:sz w:val="20"/>
                <w:szCs w:val="20"/>
                <w:color w:val="auto"/>
              </w:rPr>
            </w:pPr>
            <w:r>
              <w:rPr>
                <w:rFonts w:ascii="Arial" w:cs="Arial" w:eastAsia="Arial" w:hAnsi="Arial"/>
                <w:sz w:val="13"/>
                <w:szCs w:val="13"/>
                <w:b w:val="1"/>
                <w:bCs w:val="1"/>
                <w:color w:val="auto"/>
              </w:rPr>
              <w:t>$m</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Change</w:t>
            </w:r>
          </w:p>
        </w:tc>
      </w:tr>
      <w:tr>
        <w:trPr>
          <w:trHeight w:val="237"/>
        </w:trPr>
        <w:tc>
          <w:tcPr>
            <w:tcW w:w="348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Net commission income</w:t>
            </w:r>
          </w:p>
        </w:tc>
        <w:tc>
          <w:tcPr>
            <w:tcW w:w="1120" w:type="dxa"/>
            <w:vAlign w:val="bottom"/>
            <w:tcBorders>
              <w:top w:val="single" w:sz="8" w:color="793690"/>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71.5</w:t>
            </w:r>
          </w:p>
        </w:tc>
        <w:tc>
          <w:tcPr>
            <w:tcW w:w="1620" w:type="dxa"/>
            <w:vAlign w:val="bottom"/>
            <w:tcBorders>
              <w:top w:val="single" w:sz="8" w:color="793690"/>
            </w:tcBorders>
          </w:tcPr>
          <w:p>
            <w:pPr>
              <w:jc w:val="right"/>
              <w:ind w:right="346"/>
              <w:spacing w:after="0"/>
              <w:rPr>
                <w:sz w:val="20"/>
                <w:szCs w:val="20"/>
                <w:color w:val="auto"/>
              </w:rPr>
            </w:pPr>
            <w:r>
              <w:rPr>
                <w:rFonts w:ascii="Arial" w:cs="Arial" w:eastAsia="Arial" w:hAnsi="Arial"/>
                <w:sz w:val="15"/>
                <w:szCs w:val="15"/>
                <w:color w:val="auto"/>
              </w:rPr>
              <w:t>66.1</w:t>
            </w:r>
          </w:p>
        </w:tc>
        <w:tc>
          <w:tcPr>
            <w:tcW w:w="1200" w:type="dxa"/>
            <w:vAlign w:val="bottom"/>
            <w:tcBorders>
              <w:top w:val="single" w:sz="8" w:color="793690"/>
            </w:tcBorders>
          </w:tcPr>
          <w:p>
            <w:pPr>
              <w:jc w:val="right"/>
              <w:ind w:right="105"/>
              <w:spacing w:after="0"/>
              <w:rPr>
                <w:sz w:val="20"/>
                <w:szCs w:val="20"/>
                <w:color w:val="auto"/>
              </w:rPr>
            </w:pPr>
            <w:r>
              <w:rPr>
                <w:rFonts w:ascii="Arial" w:cs="Arial" w:eastAsia="Arial" w:hAnsi="Arial"/>
                <w:sz w:val="15"/>
                <w:szCs w:val="15"/>
                <w:color w:val="auto"/>
              </w:rPr>
              <w:t>8%</w:t>
            </w:r>
          </w:p>
        </w:tc>
        <w:tc>
          <w:tcPr>
            <w:tcW w:w="112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139.3</w:t>
            </w:r>
          </w:p>
        </w:tc>
        <w:tc>
          <w:tcPr>
            <w:tcW w:w="1640" w:type="dxa"/>
            <w:vAlign w:val="bottom"/>
            <w:tcBorders>
              <w:top w:val="single" w:sz="8" w:color="793690"/>
            </w:tcBorders>
          </w:tcPr>
          <w:p>
            <w:pPr>
              <w:jc w:val="right"/>
              <w:ind w:right="366"/>
              <w:spacing w:after="0"/>
              <w:rPr>
                <w:sz w:val="20"/>
                <w:szCs w:val="20"/>
                <w:color w:val="auto"/>
              </w:rPr>
            </w:pPr>
            <w:r>
              <w:rPr>
                <w:rFonts w:ascii="Arial" w:cs="Arial" w:eastAsia="Arial" w:hAnsi="Arial"/>
                <w:sz w:val="15"/>
                <w:szCs w:val="15"/>
                <w:color w:val="auto"/>
              </w:rPr>
              <w:t>135.6</w:t>
            </w:r>
          </w:p>
        </w:tc>
        <w:tc>
          <w:tcPr>
            <w:tcW w:w="10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3%</w:t>
            </w:r>
          </w:p>
        </w:tc>
      </w:tr>
      <w:tr>
        <w:trPr>
          <w:trHeight w:val="236"/>
        </w:trPr>
        <w:tc>
          <w:tcPr>
            <w:tcW w:w="34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Net interest income</w:t>
            </w:r>
          </w:p>
        </w:tc>
        <w:tc>
          <w:tcPr>
            <w:tcW w:w="112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59.1</w:t>
            </w:r>
          </w:p>
        </w:tc>
        <w:tc>
          <w:tcPr>
            <w:tcW w:w="1620" w:type="dxa"/>
            <w:vAlign w:val="bottom"/>
            <w:tcBorders>
              <w:top w:val="single" w:sz="8" w:color="DADAE7"/>
            </w:tcBorders>
          </w:tcPr>
          <w:p>
            <w:pPr>
              <w:jc w:val="right"/>
              <w:ind w:right="346"/>
              <w:spacing w:after="0"/>
              <w:rPr>
                <w:sz w:val="20"/>
                <w:szCs w:val="20"/>
                <w:color w:val="auto"/>
              </w:rPr>
            </w:pPr>
            <w:r>
              <w:rPr>
                <w:rFonts w:ascii="Arial" w:cs="Arial" w:eastAsia="Arial" w:hAnsi="Arial"/>
                <w:sz w:val="15"/>
                <w:szCs w:val="15"/>
                <w:color w:val="auto"/>
              </w:rPr>
              <w:t>56.8</w:t>
            </w:r>
          </w:p>
        </w:tc>
        <w:tc>
          <w:tcPr>
            <w:tcW w:w="1200" w:type="dxa"/>
            <w:vAlign w:val="bottom"/>
            <w:tcBorders>
              <w:top w:val="single" w:sz="8" w:color="DADAE7"/>
            </w:tcBorders>
          </w:tcPr>
          <w:p>
            <w:pPr>
              <w:jc w:val="right"/>
              <w:ind w:right="105"/>
              <w:spacing w:after="0"/>
              <w:rPr>
                <w:sz w:val="20"/>
                <w:szCs w:val="20"/>
                <w:color w:val="auto"/>
              </w:rPr>
            </w:pPr>
            <w:r>
              <w:rPr>
                <w:rFonts w:ascii="Arial" w:cs="Arial" w:eastAsia="Arial" w:hAnsi="Arial"/>
                <w:sz w:val="15"/>
                <w:szCs w:val="15"/>
                <w:color w:val="auto"/>
              </w:rPr>
              <w:t>4%</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107.5</w:t>
            </w:r>
          </w:p>
        </w:tc>
        <w:tc>
          <w:tcPr>
            <w:tcW w:w="1640" w:type="dxa"/>
            <w:vAlign w:val="bottom"/>
            <w:tcBorders>
              <w:top w:val="single" w:sz="8" w:color="DADAE7"/>
            </w:tcBorders>
          </w:tcPr>
          <w:p>
            <w:pPr>
              <w:jc w:val="right"/>
              <w:ind w:right="366"/>
              <w:spacing w:after="0"/>
              <w:rPr>
                <w:sz w:val="20"/>
                <w:szCs w:val="20"/>
                <w:color w:val="auto"/>
              </w:rPr>
            </w:pPr>
            <w:r>
              <w:rPr>
                <w:rFonts w:ascii="Arial" w:cs="Arial" w:eastAsia="Arial" w:hAnsi="Arial"/>
                <w:sz w:val="15"/>
                <w:szCs w:val="15"/>
                <w:color w:val="auto"/>
              </w:rPr>
              <w:t>87.0</w:t>
            </w:r>
          </w:p>
        </w:tc>
        <w:tc>
          <w:tcPr>
            <w:tcW w:w="10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24%</w:t>
            </w:r>
          </w:p>
        </w:tc>
      </w:tr>
      <w:tr>
        <w:trPr>
          <w:trHeight w:val="237"/>
        </w:trPr>
        <w:tc>
          <w:tcPr>
            <w:tcW w:w="34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Net trading income</w:t>
            </w:r>
          </w:p>
        </w:tc>
        <w:tc>
          <w:tcPr>
            <w:tcW w:w="112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8.2</w:t>
            </w:r>
          </w:p>
        </w:tc>
        <w:tc>
          <w:tcPr>
            <w:tcW w:w="1620" w:type="dxa"/>
            <w:vAlign w:val="bottom"/>
            <w:tcBorders>
              <w:top w:val="single" w:sz="8" w:color="DADAE7"/>
            </w:tcBorders>
          </w:tcPr>
          <w:p>
            <w:pPr>
              <w:jc w:val="right"/>
              <w:ind w:right="346"/>
              <w:spacing w:after="0"/>
              <w:rPr>
                <w:sz w:val="20"/>
                <w:szCs w:val="20"/>
                <w:color w:val="auto"/>
              </w:rPr>
            </w:pPr>
            <w:r>
              <w:rPr>
                <w:rFonts w:ascii="Arial" w:cs="Arial" w:eastAsia="Arial" w:hAnsi="Arial"/>
                <w:sz w:val="15"/>
                <w:szCs w:val="15"/>
                <w:color w:val="auto"/>
              </w:rPr>
              <w:t>1.3</w:t>
            </w:r>
          </w:p>
        </w:tc>
        <w:tc>
          <w:tcPr>
            <w:tcW w:w="1200" w:type="dxa"/>
            <w:vAlign w:val="bottom"/>
            <w:tcBorders>
              <w:top w:val="single" w:sz="8" w:color="DADAE7"/>
            </w:tcBorders>
          </w:tcPr>
          <w:p>
            <w:pPr>
              <w:jc w:val="right"/>
              <w:ind w:right="105"/>
              <w:spacing w:after="0"/>
              <w:rPr>
                <w:sz w:val="20"/>
                <w:szCs w:val="20"/>
                <w:color w:val="auto"/>
              </w:rPr>
            </w:pPr>
            <w:r>
              <w:rPr>
                <w:rFonts w:ascii="Arial" w:cs="Arial" w:eastAsia="Arial" w:hAnsi="Arial"/>
                <w:sz w:val="15"/>
                <w:szCs w:val="15"/>
                <w:color w:val="auto"/>
              </w:rPr>
              <w:t>531%</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11.2</w:t>
            </w:r>
          </w:p>
        </w:tc>
        <w:tc>
          <w:tcPr>
            <w:tcW w:w="1640" w:type="dxa"/>
            <w:vAlign w:val="bottom"/>
            <w:tcBorders>
              <w:top w:val="single" w:sz="8" w:color="DADAE7"/>
            </w:tcBorders>
          </w:tcPr>
          <w:p>
            <w:pPr>
              <w:jc w:val="right"/>
              <w:ind w:right="366"/>
              <w:spacing w:after="0"/>
              <w:rPr>
                <w:sz w:val="20"/>
                <w:szCs w:val="20"/>
                <w:color w:val="auto"/>
              </w:rPr>
            </w:pPr>
            <w:r>
              <w:rPr>
                <w:rFonts w:ascii="Arial" w:cs="Arial" w:eastAsia="Arial" w:hAnsi="Arial"/>
                <w:sz w:val="15"/>
                <w:szCs w:val="15"/>
                <w:color w:val="auto"/>
              </w:rPr>
              <w:t>2.3</w:t>
            </w:r>
          </w:p>
        </w:tc>
        <w:tc>
          <w:tcPr>
            <w:tcW w:w="10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387%</w:t>
            </w:r>
          </w:p>
        </w:tc>
      </w:tr>
      <w:tr>
        <w:trPr>
          <w:trHeight w:val="236"/>
        </w:trPr>
        <w:tc>
          <w:tcPr>
            <w:tcW w:w="348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Revenue</w:t>
            </w:r>
          </w:p>
        </w:tc>
        <w:tc>
          <w:tcPr>
            <w:tcW w:w="1120" w:type="dxa"/>
            <w:vAlign w:val="bottom"/>
            <w:tcBorders>
              <w:top w:val="single" w:sz="8" w:color="793690"/>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138.8</w:t>
            </w:r>
          </w:p>
        </w:tc>
        <w:tc>
          <w:tcPr>
            <w:tcW w:w="1620" w:type="dxa"/>
            <w:vAlign w:val="bottom"/>
            <w:tcBorders>
              <w:top w:val="single" w:sz="8" w:color="793690"/>
            </w:tcBorders>
          </w:tcPr>
          <w:p>
            <w:pPr>
              <w:jc w:val="right"/>
              <w:ind w:right="346"/>
              <w:spacing w:after="0"/>
              <w:rPr>
                <w:sz w:val="20"/>
                <w:szCs w:val="20"/>
                <w:color w:val="auto"/>
              </w:rPr>
            </w:pPr>
            <w:r>
              <w:rPr>
                <w:rFonts w:ascii="Arial" w:cs="Arial" w:eastAsia="Arial" w:hAnsi="Arial"/>
                <w:sz w:val="15"/>
                <w:szCs w:val="15"/>
                <w:color w:val="auto"/>
              </w:rPr>
              <w:t>124.2</w:t>
            </w:r>
          </w:p>
        </w:tc>
        <w:tc>
          <w:tcPr>
            <w:tcW w:w="1200" w:type="dxa"/>
            <w:vAlign w:val="bottom"/>
            <w:tcBorders>
              <w:top w:val="single" w:sz="8" w:color="793690"/>
            </w:tcBorders>
          </w:tcPr>
          <w:p>
            <w:pPr>
              <w:jc w:val="right"/>
              <w:ind w:right="105"/>
              <w:spacing w:after="0"/>
              <w:rPr>
                <w:sz w:val="20"/>
                <w:szCs w:val="20"/>
                <w:color w:val="auto"/>
              </w:rPr>
            </w:pPr>
            <w:r>
              <w:rPr>
                <w:rFonts w:ascii="Arial" w:cs="Arial" w:eastAsia="Arial" w:hAnsi="Arial"/>
                <w:sz w:val="15"/>
                <w:szCs w:val="15"/>
                <w:color w:val="auto"/>
              </w:rPr>
              <w:t>12%</w:t>
            </w:r>
          </w:p>
        </w:tc>
        <w:tc>
          <w:tcPr>
            <w:tcW w:w="112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258.0</w:t>
            </w:r>
          </w:p>
        </w:tc>
        <w:tc>
          <w:tcPr>
            <w:tcW w:w="1640" w:type="dxa"/>
            <w:vAlign w:val="bottom"/>
            <w:tcBorders>
              <w:top w:val="single" w:sz="8" w:color="793690"/>
            </w:tcBorders>
          </w:tcPr>
          <w:p>
            <w:pPr>
              <w:jc w:val="right"/>
              <w:ind w:right="366"/>
              <w:spacing w:after="0"/>
              <w:rPr>
                <w:sz w:val="20"/>
                <w:szCs w:val="20"/>
                <w:color w:val="auto"/>
              </w:rPr>
            </w:pPr>
            <w:r>
              <w:rPr>
                <w:rFonts w:ascii="Arial" w:cs="Arial" w:eastAsia="Arial" w:hAnsi="Arial"/>
                <w:sz w:val="15"/>
                <w:szCs w:val="15"/>
                <w:color w:val="auto"/>
              </w:rPr>
              <w:t>224.9</w:t>
            </w:r>
          </w:p>
        </w:tc>
        <w:tc>
          <w:tcPr>
            <w:tcW w:w="10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15%</w:t>
            </w:r>
          </w:p>
        </w:tc>
      </w:tr>
      <w:tr>
        <w:trPr>
          <w:trHeight w:val="237"/>
        </w:trPr>
        <w:tc>
          <w:tcPr>
            <w:tcW w:w="34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Front office costs</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(45.3)</w:t>
            </w:r>
          </w:p>
        </w:tc>
        <w:tc>
          <w:tcPr>
            <w:tcW w:w="1620" w:type="dxa"/>
            <w:vAlign w:val="bottom"/>
            <w:tcBorders>
              <w:top w:val="single" w:sz="8" w:color="DADAE7"/>
            </w:tcBorders>
          </w:tcPr>
          <w:p>
            <w:pPr>
              <w:jc w:val="right"/>
              <w:ind w:right="306"/>
              <w:spacing w:after="0"/>
              <w:rPr>
                <w:sz w:val="20"/>
                <w:szCs w:val="20"/>
                <w:color w:val="auto"/>
              </w:rPr>
            </w:pPr>
            <w:r>
              <w:rPr>
                <w:rFonts w:ascii="Arial" w:cs="Arial" w:eastAsia="Arial" w:hAnsi="Arial"/>
                <w:sz w:val="15"/>
                <w:szCs w:val="15"/>
                <w:color w:val="auto"/>
              </w:rPr>
              <w:t>(38.9)</w:t>
            </w:r>
          </w:p>
        </w:tc>
        <w:tc>
          <w:tcPr>
            <w:tcW w:w="1200" w:type="dxa"/>
            <w:vAlign w:val="bottom"/>
            <w:tcBorders>
              <w:top w:val="single" w:sz="8" w:color="DADAE7"/>
            </w:tcBorders>
          </w:tcPr>
          <w:p>
            <w:pPr>
              <w:jc w:val="right"/>
              <w:ind w:right="105"/>
              <w:spacing w:after="0"/>
              <w:rPr>
                <w:sz w:val="20"/>
                <w:szCs w:val="20"/>
                <w:color w:val="auto"/>
              </w:rPr>
            </w:pPr>
            <w:r>
              <w:rPr>
                <w:rFonts w:ascii="Arial" w:cs="Arial" w:eastAsia="Arial" w:hAnsi="Arial"/>
                <w:sz w:val="15"/>
                <w:szCs w:val="15"/>
                <w:color w:val="auto"/>
              </w:rPr>
              <w:t>16%</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(87.5)</w:t>
            </w:r>
          </w:p>
        </w:tc>
        <w:tc>
          <w:tcPr>
            <w:tcW w:w="1640" w:type="dxa"/>
            <w:vAlign w:val="bottom"/>
            <w:tcBorders>
              <w:top w:val="single" w:sz="8" w:color="DADAE7"/>
            </w:tcBorders>
          </w:tcPr>
          <w:p>
            <w:pPr>
              <w:jc w:val="right"/>
              <w:ind w:right="326"/>
              <w:spacing w:after="0"/>
              <w:rPr>
                <w:sz w:val="20"/>
                <w:szCs w:val="20"/>
                <w:color w:val="auto"/>
              </w:rPr>
            </w:pPr>
            <w:r>
              <w:rPr>
                <w:rFonts w:ascii="Arial" w:cs="Arial" w:eastAsia="Arial" w:hAnsi="Arial"/>
                <w:sz w:val="15"/>
                <w:szCs w:val="15"/>
                <w:color w:val="auto"/>
              </w:rPr>
              <w:t>(72.4)</w:t>
            </w:r>
          </w:p>
        </w:tc>
        <w:tc>
          <w:tcPr>
            <w:tcW w:w="10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21%</w:t>
            </w:r>
          </w:p>
        </w:tc>
      </w:tr>
      <w:tr>
        <w:trPr>
          <w:trHeight w:val="237"/>
        </w:trPr>
        <w:tc>
          <w:tcPr>
            <w:tcW w:w="34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Control and support costs</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(22.3)</w:t>
            </w:r>
          </w:p>
        </w:tc>
        <w:tc>
          <w:tcPr>
            <w:tcW w:w="1620" w:type="dxa"/>
            <w:vAlign w:val="bottom"/>
            <w:tcBorders>
              <w:top w:val="single" w:sz="8" w:color="DADAE7"/>
            </w:tcBorders>
          </w:tcPr>
          <w:p>
            <w:pPr>
              <w:jc w:val="right"/>
              <w:ind w:right="306"/>
              <w:spacing w:after="0"/>
              <w:rPr>
                <w:sz w:val="20"/>
                <w:szCs w:val="20"/>
                <w:color w:val="auto"/>
              </w:rPr>
            </w:pPr>
            <w:r>
              <w:rPr>
                <w:rFonts w:ascii="Arial" w:cs="Arial" w:eastAsia="Arial" w:hAnsi="Arial"/>
                <w:sz w:val="15"/>
                <w:szCs w:val="15"/>
                <w:color w:val="auto"/>
              </w:rPr>
              <w:t>(16.1)</w:t>
            </w:r>
          </w:p>
        </w:tc>
        <w:tc>
          <w:tcPr>
            <w:tcW w:w="1200" w:type="dxa"/>
            <w:vAlign w:val="bottom"/>
            <w:tcBorders>
              <w:top w:val="single" w:sz="8" w:color="DADAE7"/>
            </w:tcBorders>
          </w:tcPr>
          <w:p>
            <w:pPr>
              <w:jc w:val="right"/>
              <w:ind w:right="105"/>
              <w:spacing w:after="0"/>
              <w:rPr>
                <w:sz w:val="20"/>
                <w:szCs w:val="20"/>
                <w:color w:val="auto"/>
              </w:rPr>
            </w:pPr>
            <w:r>
              <w:rPr>
                <w:rFonts w:ascii="Arial" w:cs="Arial" w:eastAsia="Arial" w:hAnsi="Arial"/>
                <w:sz w:val="15"/>
                <w:szCs w:val="15"/>
                <w:color w:val="auto"/>
              </w:rPr>
              <w:t>39%</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(42.6)</w:t>
            </w:r>
          </w:p>
        </w:tc>
        <w:tc>
          <w:tcPr>
            <w:tcW w:w="1640" w:type="dxa"/>
            <w:vAlign w:val="bottom"/>
            <w:tcBorders>
              <w:top w:val="single" w:sz="8" w:color="DADAE7"/>
            </w:tcBorders>
          </w:tcPr>
          <w:p>
            <w:pPr>
              <w:jc w:val="right"/>
              <w:ind w:right="326"/>
              <w:spacing w:after="0"/>
              <w:rPr>
                <w:sz w:val="20"/>
                <w:szCs w:val="20"/>
                <w:color w:val="auto"/>
              </w:rPr>
            </w:pPr>
            <w:r>
              <w:rPr>
                <w:rFonts w:ascii="Arial" w:cs="Arial" w:eastAsia="Arial" w:hAnsi="Arial"/>
                <w:sz w:val="15"/>
                <w:szCs w:val="15"/>
                <w:color w:val="auto"/>
              </w:rPr>
              <w:t>(33.4)</w:t>
            </w:r>
          </w:p>
        </w:tc>
        <w:tc>
          <w:tcPr>
            <w:tcW w:w="10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28%</w:t>
            </w:r>
          </w:p>
        </w:tc>
      </w:tr>
      <w:tr>
        <w:trPr>
          <w:trHeight w:val="236"/>
        </w:trPr>
        <w:tc>
          <w:tcPr>
            <w:tcW w:w="34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Recovery/(provision) for credit losses</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(0.6)</w:t>
            </w:r>
          </w:p>
        </w:tc>
        <w:tc>
          <w:tcPr>
            <w:tcW w:w="1620" w:type="dxa"/>
            <w:vAlign w:val="bottom"/>
            <w:tcBorders>
              <w:top w:val="single" w:sz="8" w:color="DADAE7"/>
            </w:tcBorders>
          </w:tcPr>
          <w:p>
            <w:pPr>
              <w:jc w:val="right"/>
              <w:ind w:right="346"/>
              <w:spacing w:after="0"/>
              <w:rPr>
                <w:sz w:val="20"/>
                <w:szCs w:val="20"/>
                <w:color w:val="auto"/>
              </w:rPr>
            </w:pPr>
            <w:r>
              <w:rPr>
                <w:rFonts w:ascii="Arial" w:cs="Arial" w:eastAsia="Arial" w:hAnsi="Arial"/>
                <w:sz w:val="15"/>
                <w:szCs w:val="15"/>
                <w:color w:val="auto"/>
              </w:rPr>
              <w:t>0.1</w:t>
            </w:r>
          </w:p>
        </w:tc>
        <w:tc>
          <w:tcPr>
            <w:tcW w:w="1200" w:type="dxa"/>
            <w:vAlign w:val="bottom"/>
            <w:tcBorders>
              <w:top w:val="single" w:sz="8" w:color="DADAE7"/>
            </w:tcBorders>
          </w:tcPr>
          <w:p>
            <w:pPr>
              <w:jc w:val="right"/>
              <w:ind w:right="85"/>
              <w:spacing w:after="0"/>
              <w:rPr>
                <w:sz w:val="20"/>
                <w:szCs w:val="20"/>
                <w:color w:val="auto"/>
              </w:rPr>
            </w:pPr>
            <w:r>
              <w:rPr>
                <w:rFonts w:ascii="Arial" w:cs="Arial" w:eastAsia="Arial" w:hAnsi="Arial"/>
                <w:sz w:val="15"/>
                <w:szCs w:val="15"/>
                <w:color w:val="auto"/>
              </w:rPr>
              <w:t>(700)%</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(0.6)</w:t>
            </w:r>
          </w:p>
        </w:tc>
        <w:tc>
          <w:tcPr>
            <w:tcW w:w="1640" w:type="dxa"/>
            <w:vAlign w:val="bottom"/>
            <w:tcBorders>
              <w:top w:val="single" w:sz="8" w:color="DADAE7"/>
            </w:tcBorders>
          </w:tcPr>
          <w:p>
            <w:pPr>
              <w:jc w:val="right"/>
              <w:ind w:right="366"/>
              <w:spacing w:after="0"/>
              <w:rPr>
                <w:sz w:val="20"/>
                <w:szCs w:val="20"/>
                <w:color w:val="auto"/>
              </w:rPr>
            </w:pPr>
            <w:r>
              <w:rPr>
                <w:rFonts w:ascii="Arial" w:cs="Arial" w:eastAsia="Arial" w:hAnsi="Arial"/>
                <w:sz w:val="15"/>
                <w:szCs w:val="15"/>
                <w:color w:val="auto"/>
              </w:rPr>
              <w:t>0.1</w:t>
            </w:r>
          </w:p>
        </w:tc>
        <w:tc>
          <w:tcPr>
            <w:tcW w:w="10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(700)%</w:t>
            </w:r>
          </w:p>
        </w:tc>
      </w:tr>
      <w:tr>
        <w:trPr>
          <w:trHeight w:val="237"/>
        </w:trPr>
        <w:tc>
          <w:tcPr>
            <w:tcW w:w="34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Depreciation and amortisation</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(0.1)</w:t>
            </w:r>
          </w:p>
        </w:tc>
        <w:tc>
          <w:tcPr>
            <w:tcW w:w="1620" w:type="dxa"/>
            <w:vAlign w:val="bottom"/>
            <w:tcBorders>
              <w:top w:val="single" w:sz="8" w:color="DADAE7"/>
            </w:tcBorders>
          </w:tcPr>
          <w:p>
            <w:pPr>
              <w:jc w:val="right"/>
              <w:ind w:right="306"/>
              <w:spacing w:after="0"/>
              <w:rPr>
                <w:sz w:val="20"/>
                <w:szCs w:val="20"/>
                <w:color w:val="auto"/>
              </w:rPr>
            </w:pPr>
            <w:r>
              <w:rPr>
                <w:rFonts w:ascii="Arial" w:cs="Arial" w:eastAsia="Arial" w:hAnsi="Arial"/>
                <w:sz w:val="15"/>
                <w:szCs w:val="15"/>
                <w:color w:val="auto"/>
              </w:rPr>
              <w:t>(0.1)</w:t>
            </w:r>
          </w:p>
        </w:tc>
        <w:tc>
          <w:tcPr>
            <w:tcW w:w="1200" w:type="dxa"/>
            <w:vAlign w:val="bottom"/>
            <w:tcBorders>
              <w:top w:val="single" w:sz="8" w:color="DADAE7"/>
            </w:tcBorders>
          </w:tcPr>
          <w:p>
            <w:pPr>
              <w:jc w:val="right"/>
              <w:ind w:right="105"/>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(0.2)</w:t>
            </w:r>
          </w:p>
        </w:tc>
        <w:tc>
          <w:tcPr>
            <w:tcW w:w="1640" w:type="dxa"/>
            <w:vAlign w:val="bottom"/>
            <w:tcBorders>
              <w:top w:val="single" w:sz="8" w:color="DADAE7"/>
            </w:tcBorders>
          </w:tcPr>
          <w:p>
            <w:pPr>
              <w:jc w:val="right"/>
              <w:ind w:right="326"/>
              <w:spacing w:after="0"/>
              <w:rPr>
                <w:sz w:val="20"/>
                <w:szCs w:val="20"/>
                <w:color w:val="auto"/>
              </w:rPr>
            </w:pPr>
            <w:r>
              <w:rPr>
                <w:rFonts w:ascii="Arial" w:cs="Arial" w:eastAsia="Arial" w:hAnsi="Arial"/>
                <w:sz w:val="15"/>
                <w:szCs w:val="15"/>
                <w:color w:val="auto"/>
              </w:rPr>
              <w:t>(0.2)</w:t>
            </w:r>
          </w:p>
        </w:tc>
        <w:tc>
          <w:tcPr>
            <w:tcW w:w="10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w:t>
            </w:r>
          </w:p>
        </w:tc>
      </w:tr>
      <w:tr>
        <w:trPr>
          <w:trHeight w:val="236"/>
        </w:trPr>
        <w:tc>
          <w:tcPr>
            <w:tcW w:w="3480" w:type="dxa"/>
            <w:vAlign w:val="bottom"/>
            <w:tcBorders>
              <w:top w:val="single" w:sz="8" w:color="DADAE7"/>
              <w:bottom w:val="single" w:sz="8" w:color="793690"/>
            </w:tcBorders>
          </w:tcPr>
          <w:p>
            <w:pPr>
              <w:ind w:left="20"/>
              <w:spacing w:after="0"/>
              <w:rPr>
                <w:sz w:val="20"/>
                <w:szCs w:val="20"/>
                <w:color w:val="auto"/>
              </w:rPr>
            </w:pPr>
            <w:r>
              <w:rPr>
                <w:rFonts w:ascii="Arial" w:cs="Arial" w:eastAsia="Arial" w:hAnsi="Arial"/>
                <w:sz w:val="15"/>
                <w:szCs w:val="15"/>
                <w:color w:val="auto"/>
              </w:rPr>
              <w:t>Other income</w:t>
            </w:r>
          </w:p>
        </w:tc>
        <w:tc>
          <w:tcPr>
            <w:tcW w:w="1120" w:type="dxa"/>
            <w:vAlign w:val="bottom"/>
            <w:tcBorders>
              <w:top w:val="single" w:sz="8" w:color="DADAE7"/>
              <w:bottom w:val="single" w:sz="8" w:color="793690"/>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w:t>
            </w:r>
          </w:p>
        </w:tc>
        <w:tc>
          <w:tcPr>
            <w:tcW w:w="1620" w:type="dxa"/>
            <w:vAlign w:val="bottom"/>
            <w:tcBorders>
              <w:top w:val="single" w:sz="8" w:color="DADAE7"/>
              <w:bottom w:val="single" w:sz="8" w:color="793690"/>
            </w:tcBorders>
          </w:tcPr>
          <w:p>
            <w:pPr>
              <w:jc w:val="right"/>
              <w:ind w:right="346"/>
              <w:spacing w:after="0"/>
              <w:rPr>
                <w:sz w:val="20"/>
                <w:szCs w:val="20"/>
                <w:color w:val="auto"/>
              </w:rPr>
            </w:pPr>
            <w:r>
              <w:rPr>
                <w:rFonts w:ascii="Arial" w:cs="Arial" w:eastAsia="Arial" w:hAnsi="Arial"/>
                <w:sz w:val="15"/>
                <w:szCs w:val="15"/>
                <w:color w:val="auto"/>
              </w:rPr>
              <w:t>—</w:t>
            </w:r>
          </w:p>
        </w:tc>
        <w:tc>
          <w:tcPr>
            <w:tcW w:w="1200" w:type="dxa"/>
            <w:vAlign w:val="bottom"/>
            <w:tcBorders>
              <w:top w:val="single" w:sz="8" w:color="DADAE7"/>
              <w:bottom w:val="single" w:sz="8" w:color="793690"/>
            </w:tcBorders>
          </w:tcPr>
          <w:p>
            <w:pPr>
              <w:jc w:val="right"/>
              <w:ind w:right="85"/>
              <w:spacing w:after="0"/>
              <w:rPr>
                <w:sz w:val="20"/>
                <w:szCs w:val="20"/>
                <w:color w:val="auto"/>
              </w:rPr>
            </w:pPr>
            <w:r>
              <w:rPr>
                <w:rFonts w:ascii="Arial" w:cs="Arial" w:eastAsia="Arial" w:hAnsi="Arial"/>
                <w:sz w:val="15"/>
                <w:szCs w:val="15"/>
                <w:color w:val="auto"/>
              </w:rPr>
              <w:t>n.m.</w:t>
            </w:r>
            <w:r>
              <w:rPr>
                <w:rFonts w:ascii="Arial" w:cs="Arial" w:eastAsia="Arial" w:hAnsi="Arial"/>
                <w:sz w:val="19"/>
                <w:szCs w:val="19"/>
                <w:color w:val="auto"/>
                <w:vertAlign w:val="superscript"/>
              </w:rPr>
              <w:t>3</w:t>
            </w:r>
          </w:p>
        </w:tc>
        <w:tc>
          <w:tcPr>
            <w:tcW w:w="1120" w:type="dxa"/>
            <w:vAlign w:val="bottom"/>
            <w:tcBorders>
              <w:top w:val="single" w:sz="8" w:color="DADAE7"/>
              <w:bottom w:val="single" w:sz="8" w:color="793690"/>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640" w:type="dxa"/>
            <w:vAlign w:val="bottom"/>
            <w:tcBorders>
              <w:top w:val="single" w:sz="8" w:color="DADAE7"/>
              <w:bottom w:val="single" w:sz="8" w:color="793690"/>
            </w:tcBorders>
          </w:tcPr>
          <w:p>
            <w:pPr>
              <w:jc w:val="right"/>
              <w:ind w:right="366"/>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DADAE7"/>
              <w:bottom w:val="single" w:sz="8" w:color="793690"/>
            </w:tcBorders>
          </w:tcPr>
          <w:p>
            <w:pPr>
              <w:jc w:val="right"/>
              <w:spacing w:after="0"/>
              <w:rPr>
                <w:sz w:val="20"/>
                <w:szCs w:val="20"/>
                <w:color w:val="auto"/>
              </w:rPr>
            </w:pPr>
            <w:r>
              <w:rPr>
                <w:rFonts w:ascii="Arial" w:cs="Arial" w:eastAsia="Arial" w:hAnsi="Arial"/>
                <w:sz w:val="15"/>
                <w:szCs w:val="15"/>
                <w:color w:val="auto"/>
              </w:rPr>
              <w:t>n.m.</w:t>
            </w:r>
            <w:r>
              <w:rPr>
                <w:rFonts w:ascii="Arial" w:cs="Arial" w:eastAsia="Arial" w:hAnsi="Arial"/>
                <w:sz w:val="19"/>
                <w:szCs w:val="19"/>
                <w:color w:val="auto"/>
                <w:vertAlign w:val="superscript"/>
              </w:rPr>
              <w:t>3</w:t>
            </w:r>
          </w:p>
        </w:tc>
      </w:tr>
      <w:tr>
        <w:trPr>
          <w:trHeight w:val="237"/>
        </w:trPr>
        <w:tc>
          <w:tcPr>
            <w:tcW w:w="3480" w:type="dxa"/>
            <w:vAlign w:val="bottom"/>
            <w:tcBorders>
              <w:bottom w:val="single" w:sz="8" w:color="DADAE7"/>
            </w:tcBorders>
          </w:tcPr>
          <w:p>
            <w:pPr>
              <w:ind w:left="20"/>
              <w:spacing w:after="0"/>
              <w:rPr>
                <w:sz w:val="20"/>
                <w:szCs w:val="20"/>
                <w:color w:val="auto"/>
              </w:rPr>
            </w:pPr>
            <w:r>
              <w:rPr>
                <w:rFonts w:ascii="Arial" w:cs="Arial" w:eastAsia="Arial" w:hAnsi="Arial"/>
                <w:sz w:val="15"/>
                <w:szCs w:val="15"/>
                <w:b w:val="1"/>
                <w:bCs w:val="1"/>
                <w:color w:val="auto"/>
              </w:rPr>
              <w:t>Adjusted Profit Before Tax ($m)</w:t>
            </w:r>
            <w:r>
              <w:rPr>
                <w:rFonts w:ascii="Arial" w:cs="Arial" w:eastAsia="Arial" w:hAnsi="Arial"/>
                <w:sz w:val="19"/>
                <w:szCs w:val="19"/>
                <w:b w:val="1"/>
                <w:bCs w:val="1"/>
                <w:color w:val="auto"/>
                <w:vertAlign w:val="superscript"/>
              </w:rPr>
              <w:t>1</w:t>
            </w:r>
          </w:p>
        </w:tc>
        <w:tc>
          <w:tcPr>
            <w:tcW w:w="1120" w:type="dxa"/>
            <w:vAlign w:val="bottom"/>
            <w:tcBorders>
              <w:bottom w:val="single" w:sz="8" w:color="DADAE7"/>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70.5</w:t>
            </w:r>
          </w:p>
        </w:tc>
        <w:tc>
          <w:tcPr>
            <w:tcW w:w="1620" w:type="dxa"/>
            <w:vAlign w:val="bottom"/>
            <w:tcBorders>
              <w:bottom w:val="single" w:sz="8" w:color="DADAE7"/>
            </w:tcBorders>
          </w:tcPr>
          <w:p>
            <w:pPr>
              <w:jc w:val="right"/>
              <w:ind w:right="346"/>
              <w:spacing w:after="0"/>
              <w:rPr>
                <w:sz w:val="20"/>
                <w:szCs w:val="20"/>
                <w:color w:val="auto"/>
              </w:rPr>
            </w:pPr>
            <w:r>
              <w:rPr>
                <w:rFonts w:ascii="Arial" w:cs="Arial" w:eastAsia="Arial" w:hAnsi="Arial"/>
                <w:sz w:val="15"/>
                <w:szCs w:val="15"/>
                <w:color w:val="auto"/>
              </w:rPr>
              <w:t>69.2</w:t>
            </w:r>
          </w:p>
        </w:tc>
        <w:tc>
          <w:tcPr>
            <w:tcW w:w="1200" w:type="dxa"/>
            <w:vAlign w:val="bottom"/>
            <w:tcBorders>
              <w:bottom w:val="single" w:sz="8" w:color="DADAE7"/>
            </w:tcBorders>
          </w:tcPr>
          <w:p>
            <w:pPr>
              <w:jc w:val="right"/>
              <w:ind w:right="105"/>
              <w:spacing w:after="0"/>
              <w:rPr>
                <w:sz w:val="20"/>
                <w:szCs w:val="20"/>
                <w:color w:val="auto"/>
              </w:rPr>
            </w:pPr>
            <w:r>
              <w:rPr>
                <w:rFonts w:ascii="Arial" w:cs="Arial" w:eastAsia="Arial" w:hAnsi="Arial"/>
                <w:sz w:val="15"/>
                <w:szCs w:val="15"/>
                <w:color w:val="auto"/>
              </w:rPr>
              <w:t>2%</w:t>
            </w:r>
          </w:p>
        </w:tc>
        <w:tc>
          <w:tcPr>
            <w:tcW w:w="112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127.1</w:t>
            </w:r>
          </w:p>
        </w:tc>
        <w:tc>
          <w:tcPr>
            <w:tcW w:w="1640" w:type="dxa"/>
            <w:vAlign w:val="bottom"/>
            <w:tcBorders>
              <w:bottom w:val="single" w:sz="8" w:color="DADAE7"/>
            </w:tcBorders>
          </w:tcPr>
          <w:p>
            <w:pPr>
              <w:jc w:val="right"/>
              <w:ind w:right="366"/>
              <w:spacing w:after="0"/>
              <w:rPr>
                <w:sz w:val="20"/>
                <w:szCs w:val="20"/>
                <w:color w:val="auto"/>
              </w:rPr>
            </w:pPr>
            <w:r>
              <w:rPr>
                <w:rFonts w:ascii="Arial" w:cs="Arial" w:eastAsia="Arial" w:hAnsi="Arial"/>
                <w:sz w:val="15"/>
                <w:szCs w:val="15"/>
                <w:color w:val="auto"/>
              </w:rPr>
              <w:t>119.0</w:t>
            </w:r>
          </w:p>
        </w:tc>
        <w:tc>
          <w:tcPr>
            <w:tcW w:w="1040" w:type="dxa"/>
            <w:vAlign w:val="bottom"/>
            <w:tcBorders>
              <w:bottom w:val="single" w:sz="8" w:color="DADAE7"/>
            </w:tcBorders>
          </w:tcPr>
          <w:p>
            <w:pPr>
              <w:jc w:val="right"/>
              <w:spacing w:after="0"/>
              <w:rPr>
                <w:sz w:val="20"/>
                <w:szCs w:val="20"/>
                <w:color w:val="auto"/>
              </w:rPr>
            </w:pPr>
            <w:r>
              <w:rPr>
                <w:rFonts w:ascii="Arial" w:cs="Arial" w:eastAsia="Arial" w:hAnsi="Arial"/>
                <w:sz w:val="15"/>
                <w:szCs w:val="15"/>
                <w:color w:val="auto"/>
              </w:rPr>
              <w:t>7%</w:t>
            </w:r>
          </w:p>
        </w:tc>
      </w:tr>
      <w:tr>
        <w:trPr>
          <w:trHeight w:val="236"/>
        </w:trPr>
        <w:tc>
          <w:tcPr>
            <w:tcW w:w="348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Adjusted Profit Before Tax Margin</w:t>
            </w:r>
            <w:r>
              <w:rPr>
                <w:rFonts w:ascii="Arial" w:cs="Arial" w:eastAsia="Arial" w:hAnsi="Arial"/>
                <w:sz w:val="19"/>
                <w:szCs w:val="19"/>
                <w:color w:val="auto"/>
                <w:vertAlign w:val="superscript"/>
              </w:rPr>
              <w:t>1</w:t>
            </w:r>
          </w:p>
        </w:tc>
        <w:tc>
          <w:tcPr>
            <w:tcW w:w="112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51%</w:t>
            </w:r>
          </w:p>
        </w:tc>
        <w:tc>
          <w:tcPr>
            <w:tcW w:w="1620" w:type="dxa"/>
            <w:vAlign w:val="bottom"/>
            <w:tcBorders>
              <w:bottom w:val="single" w:sz="8" w:color="DADAE7"/>
            </w:tcBorders>
          </w:tcPr>
          <w:p>
            <w:pPr>
              <w:jc w:val="right"/>
              <w:ind w:right="306"/>
              <w:spacing w:after="0"/>
              <w:rPr>
                <w:sz w:val="20"/>
                <w:szCs w:val="20"/>
                <w:color w:val="auto"/>
              </w:rPr>
            </w:pPr>
            <w:r>
              <w:rPr>
                <w:rFonts w:ascii="Arial" w:cs="Arial" w:eastAsia="Arial" w:hAnsi="Arial"/>
                <w:sz w:val="15"/>
                <w:szCs w:val="15"/>
                <w:color w:val="auto"/>
              </w:rPr>
              <w:t>56%</w:t>
            </w:r>
          </w:p>
        </w:tc>
        <w:tc>
          <w:tcPr>
            <w:tcW w:w="1200" w:type="dxa"/>
            <w:vAlign w:val="bottom"/>
            <w:tcBorders>
              <w:bottom w:val="single" w:sz="8" w:color="DADAE7"/>
            </w:tcBorders>
          </w:tcPr>
          <w:p>
            <w:pPr>
              <w:jc w:val="right"/>
              <w:ind w:right="85"/>
              <w:spacing w:after="0"/>
              <w:rPr>
                <w:sz w:val="20"/>
                <w:szCs w:val="20"/>
                <w:color w:val="auto"/>
              </w:rPr>
            </w:pPr>
            <w:r>
              <w:rPr>
                <w:rFonts w:ascii="Arial" w:cs="Arial" w:eastAsia="Arial" w:hAnsi="Arial"/>
                <w:sz w:val="15"/>
                <w:szCs w:val="15"/>
                <w:color w:val="auto"/>
              </w:rPr>
              <w:t>(500) bps</w:t>
            </w:r>
          </w:p>
        </w:tc>
        <w:tc>
          <w:tcPr>
            <w:tcW w:w="112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49%</w:t>
            </w:r>
          </w:p>
        </w:tc>
        <w:tc>
          <w:tcPr>
            <w:tcW w:w="1640" w:type="dxa"/>
            <w:vAlign w:val="bottom"/>
            <w:tcBorders>
              <w:bottom w:val="single" w:sz="8" w:color="DADAE7"/>
            </w:tcBorders>
          </w:tcPr>
          <w:p>
            <w:pPr>
              <w:jc w:val="right"/>
              <w:ind w:right="306"/>
              <w:spacing w:after="0"/>
              <w:rPr>
                <w:sz w:val="20"/>
                <w:szCs w:val="20"/>
                <w:color w:val="auto"/>
              </w:rPr>
            </w:pPr>
            <w:r>
              <w:rPr>
                <w:rFonts w:ascii="Arial" w:cs="Arial" w:eastAsia="Arial" w:hAnsi="Arial"/>
                <w:sz w:val="15"/>
                <w:szCs w:val="15"/>
                <w:color w:val="auto"/>
              </w:rPr>
              <w:t>53%</w:t>
            </w:r>
          </w:p>
        </w:tc>
        <w:tc>
          <w:tcPr>
            <w:tcW w:w="1040" w:type="dxa"/>
            <w:vAlign w:val="bottom"/>
            <w:tcBorders>
              <w:bottom w:val="single" w:sz="8" w:color="DADAE7"/>
            </w:tcBorders>
          </w:tcPr>
          <w:p>
            <w:pPr>
              <w:jc w:val="right"/>
              <w:spacing w:after="0"/>
              <w:rPr>
                <w:sz w:val="20"/>
                <w:szCs w:val="20"/>
                <w:color w:val="auto"/>
              </w:rPr>
            </w:pPr>
            <w:r>
              <w:rPr>
                <w:rFonts w:ascii="Arial" w:cs="Arial" w:eastAsia="Arial" w:hAnsi="Arial"/>
                <w:sz w:val="15"/>
                <w:szCs w:val="15"/>
                <w:color w:val="auto"/>
              </w:rPr>
              <w:t>(400) bps</w:t>
            </w:r>
          </w:p>
        </w:tc>
      </w:tr>
      <w:tr>
        <w:trPr>
          <w:trHeight w:val="277"/>
        </w:trPr>
        <w:tc>
          <w:tcPr>
            <w:tcW w:w="3480" w:type="dxa"/>
            <w:vAlign w:val="bottom"/>
            <w:tcBorders>
              <w:bottom w:val="single" w:sz="8" w:color="793690"/>
            </w:tcBorders>
          </w:tcPr>
          <w:p>
            <w:pPr>
              <w:ind w:left="20"/>
              <w:spacing w:after="0"/>
              <w:rPr>
                <w:sz w:val="20"/>
                <w:szCs w:val="20"/>
                <w:color w:val="auto"/>
              </w:rPr>
            </w:pPr>
            <w:r>
              <w:rPr>
                <w:rFonts w:ascii="Arial" w:cs="Arial" w:eastAsia="Arial" w:hAnsi="Arial"/>
                <w:sz w:val="15"/>
                <w:szCs w:val="15"/>
                <w:color w:val="auto"/>
              </w:rPr>
              <w:t>Front office headcount (No.)</w:t>
            </w:r>
            <w:r>
              <w:rPr>
                <w:rFonts w:ascii="Arial" w:cs="Arial" w:eastAsia="Arial" w:hAnsi="Arial"/>
                <w:sz w:val="19"/>
                <w:szCs w:val="19"/>
                <w:color w:val="auto"/>
                <w:vertAlign w:val="superscript"/>
              </w:rPr>
              <w:t>2</w:t>
            </w:r>
          </w:p>
        </w:tc>
        <w:tc>
          <w:tcPr>
            <w:tcW w:w="1120" w:type="dxa"/>
            <w:vAlign w:val="bottom"/>
            <w:tcBorders>
              <w:bottom w:val="single" w:sz="8" w:color="793690"/>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279</w:t>
            </w:r>
          </w:p>
        </w:tc>
        <w:tc>
          <w:tcPr>
            <w:tcW w:w="1620" w:type="dxa"/>
            <w:vAlign w:val="bottom"/>
            <w:tcBorders>
              <w:bottom w:val="single" w:sz="8" w:color="793690"/>
            </w:tcBorders>
          </w:tcPr>
          <w:p>
            <w:pPr>
              <w:jc w:val="right"/>
              <w:ind w:right="346"/>
              <w:spacing w:after="0"/>
              <w:rPr>
                <w:sz w:val="20"/>
                <w:szCs w:val="20"/>
                <w:color w:val="auto"/>
              </w:rPr>
            </w:pPr>
            <w:r>
              <w:rPr>
                <w:rFonts w:ascii="Arial" w:cs="Arial" w:eastAsia="Arial" w:hAnsi="Arial"/>
                <w:sz w:val="15"/>
                <w:szCs w:val="15"/>
                <w:color w:val="auto"/>
              </w:rPr>
              <w:t>262</w:t>
            </w:r>
          </w:p>
        </w:tc>
        <w:tc>
          <w:tcPr>
            <w:tcW w:w="1200" w:type="dxa"/>
            <w:vAlign w:val="bottom"/>
            <w:tcBorders>
              <w:bottom w:val="single" w:sz="8" w:color="793690"/>
            </w:tcBorders>
          </w:tcPr>
          <w:p>
            <w:pPr>
              <w:jc w:val="right"/>
              <w:ind w:right="105"/>
              <w:spacing w:after="0"/>
              <w:rPr>
                <w:sz w:val="20"/>
                <w:szCs w:val="20"/>
                <w:color w:val="auto"/>
              </w:rPr>
            </w:pPr>
            <w:r>
              <w:rPr>
                <w:rFonts w:ascii="Arial" w:cs="Arial" w:eastAsia="Arial" w:hAnsi="Arial"/>
                <w:sz w:val="15"/>
                <w:szCs w:val="15"/>
                <w:color w:val="auto"/>
              </w:rPr>
              <w:t>6%</w:t>
            </w:r>
          </w:p>
        </w:tc>
        <w:tc>
          <w:tcPr>
            <w:tcW w:w="1120" w:type="dxa"/>
            <w:vAlign w:val="bottom"/>
            <w:tcBorders>
              <w:bottom w:val="single" w:sz="8" w:color="793690"/>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276</w:t>
            </w:r>
          </w:p>
        </w:tc>
        <w:tc>
          <w:tcPr>
            <w:tcW w:w="1640" w:type="dxa"/>
            <w:vAlign w:val="bottom"/>
            <w:tcBorders>
              <w:bottom w:val="single" w:sz="8" w:color="793690"/>
            </w:tcBorders>
          </w:tcPr>
          <w:p>
            <w:pPr>
              <w:jc w:val="right"/>
              <w:ind w:right="366"/>
              <w:spacing w:after="0"/>
              <w:rPr>
                <w:sz w:val="20"/>
                <w:szCs w:val="20"/>
                <w:color w:val="auto"/>
              </w:rPr>
            </w:pPr>
            <w:r>
              <w:rPr>
                <w:rFonts w:ascii="Arial" w:cs="Arial" w:eastAsia="Arial" w:hAnsi="Arial"/>
                <w:sz w:val="15"/>
                <w:szCs w:val="15"/>
                <w:color w:val="auto"/>
              </w:rPr>
              <w:t>256</w:t>
            </w:r>
          </w:p>
        </w:tc>
        <w:tc>
          <w:tcPr>
            <w:tcW w:w="1040" w:type="dxa"/>
            <w:vAlign w:val="bottom"/>
            <w:tcBorders>
              <w:bottom w:val="single" w:sz="8" w:color="793690"/>
            </w:tcBorders>
          </w:tcPr>
          <w:p>
            <w:pPr>
              <w:jc w:val="right"/>
              <w:spacing w:after="0"/>
              <w:rPr>
                <w:sz w:val="20"/>
                <w:szCs w:val="20"/>
                <w:color w:val="auto"/>
              </w:rPr>
            </w:pPr>
            <w:r>
              <w:rPr>
                <w:rFonts w:ascii="Arial" w:cs="Arial" w:eastAsia="Arial" w:hAnsi="Arial"/>
                <w:sz w:val="15"/>
                <w:szCs w:val="15"/>
                <w:color w:val="auto"/>
              </w:rPr>
              <w:t>8%</w:t>
            </w:r>
          </w:p>
        </w:tc>
      </w:tr>
    </w:tbl>
    <w:p>
      <w:pPr>
        <w:spacing w:after="0" w:line="297" w:lineRule="exact"/>
        <w:rPr>
          <w:sz w:val="20"/>
          <w:szCs w:val="20"/>
          <w:color w:val="auto"/>
        </w:rPr>
      </w:pPr>
    </w:p>
    <w:p>
      <w:pPr>
        <w:ind w:left="160" w:right="40" w:hanging="152"/>
        <w:spacing w:after="0" w:line="259" w:lineRule="auto"/>
        <w:tabs>
          <w:tab w:leader="none" w:pos="148" w:val="left"/>
        </w:tabs>
        <w:numPr>
          <w:ilvl w:val="0"/>
          <w:numId w:val="10"/>
        </w:numPr>
        <w:rPr>
          <w:rFonts w:ascii="Arial" w:cs="Arial" w:eastAsia="Arial" w:hAnsi="Arial"/>
          <w:sz w:val="11"/>
          <w:szCs w:val="11"/>
          <w:color w:val="auto"/>
        </w:rPr>
      </w:pPr>
      <w:r>
        <w:rPr>
          <w:rFonts w:ascii="Arial" w:cs="Arial" w:eastAsia="Arial" w:hAnsi="Arial"/>
          <w:sz w:val="11"/>
          <w:szCs w:val="11"/>
          <w:color w:val="auto"/>
        </w:rPr>
        <w:t>These are non-IFRS financial measures. See Appendix 1 “Non-IFRS Financial Measures and Key Performance Indicators” for additional information and for a reconciliation of each such IFRS measure to its most directly comparable IFRS measure.</w:t>
      </w:r>
    </w:p>
    <w:p>
      <w:pPr>
        <w:spacing w:after="0" w:line="37" w:lineRule="exact"/>
        <w:rPr>
          <w:rFonts w:ascii="Arial" w:cs="Arial" w:eastAsia="Arial" w:hAnsi="Arial"/>
          <w:sz w:val="11"/>
          <w:szCs w:val="11"/>
          <w:color w:val="auto"/>
        </w:rPr>
      </w:pPr>
    </w:p>
    <w:p>
      <w:pPr>
        <w:ind w:left="220" w:hanging="212"/>
        <w:spacing w:after="0"/>
        <w:tabs>
          <w:tab w:leader="none" w:pos="2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The headcount is the average for the period. Management have re-assessed headcount for Clearing and Market Making and re-allocated for Q2 24 and H1 24.</w:t>
      </w:r>
    </w:p>
    <w:p>
      <w:pPr>
        <w:spacing w:after="0" w:line="49" w:lineRule="exact"/>
        <w:rPr>
          <w:rFonts w:ascii="Arial" w:cs="Arial" w:eastAsia="Arial" w:hAnsi="Arial"/>
          <w:sz w:val="11"/>
          <w:szCs w:val="11"/>
          <w:color w:val="auto"/>
        </w:rPr>
      </w:pPr>
    </w:p>
    <w:p>
      <w:pPr>
        <w:ind w:left="120" w:hanging="112"/>
        <w:spacing w:after="0"/>
        <w:tabs>
          <w:tab w:leader="none" w:pos="1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n.m = not meaningful as a percentage.</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7340" w:type="dxa"/>
            <w:vAlign w:val="bottom"/>
          </w:tcPr>
          <w:p>
            <w:pPr>
              <w:spacing w:after="0"/>
              <w:rPr>
                <w:sz w:val="24"/>
                <w:szCs w:val="24"/>
                <w:color w:val="auto"/>
              </w:rPr>
            </w:pPr>
          </w:p>
        </w:tc>
        <w:tc>
          <w:tcPr>
            <w:tcW w:w="11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12 months ended</w:t>
            </w:r>
          </w:p>
        </w:tc>
        <w:tc>
          <w:tcPr>
            <w:tcW w:w="1780" w:type="dxa"/>
            <w:vAlign w:val="bottom"/>
          </w:tcPr>
          <w:p>
            <w:pPr>
              <w:jc w:val="right"/>
              <w:ind w:right="430"/>
              <w:spacing w:after="0"/>
              <w:rPr>
                <w:sz w:val="20"/>
                <w:szCs w:val="20"/>
                <w:color w:val="auto"/>
              </w:rPr>
            </w:pPr>
            <w:r>
              <w:rPr>
                <w:rFonts w:ascii="Arial" w:cs="Arial" w:eastAsia="Arial" w:hAnsi="Arial"/>
                <w:sz w:val="13"/>
                <w:szCs w:val="13"/>
                <w:b w:val="1"/>
                <w:bCs w:val="1"/>
                <w:color w:val="auto"/>
              </w:rPr>
              <w:t>12 months ended</w:t>
            </w:r>
          </w:p>
        </w:tc>
        <w:tc>
          <w:tcPr>
            <w:tcW w:w="960" w:type="dxa"/>
            <w:vAlign w:val="bottom"/>
          </w:tcPr>
          <w:p>
            <w:pPr>
              <w:spacing w:after="0"/>
              <w:rPr>
                <w:sz w:val="24"/>
                <w:szCs w:val="24"/>
                <w:color w:val="auto"/>
              </w:rPr>
            </w:pPr>
          </w:p>
        </w:tc>
      </w:tr>
      <w:tr>
        <w:trPr>
          <w:trHeight w:val="193"/>
        </w:trPr>
        <w:tc>
          <w:tcPr>
            <w:tcW w:w="7340" w:type="dxa"/>
            <w:vAlign w:val="bottom"/>
          </w:tcPr>
          <w:p>
            <w:pPr>
              <w:ind w:left="20"/>
              <w:spacing w:after="0"/>
              <w:rPr>
                <w:sz w:val="20"/>
                <w:szCs w:val="20"/>
                <w:color w:val="auto"/>
              </w:rPr>
            </w:pPr>
            <w:r>
              <w:rPr>
                <w:rFonts w:ascii="Arial" w:cs="Arial" w:eastAsia="Arial" w:hAnsi="Arial"/>
                <w:sz w:val="13"/>
                <w:szCs w:val="13"/>
                <w:b w:val="1"/>
                <w:bCs w:val="1"/>
                <w:color w:val="auto"/>
              </w:rPr>
              <w:t>Key Performance Indicators</w:t>
            </w:r>
          </w:p>
        </w:tc>
        <w:tc>
          <w:tcPr>
            <w:tcW w:w="114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780" w:type="dxa"/>
            <w:vAlign w:val="bottom"/>
          </w:tcPr>
          <w:p>
            <w:pPr>
              <w:jc w:val="right"/>
              <w:ind w:right="430"/>
              <w:spacing w:after="0"/>
              <w:rPr>
                <w:sz w:val="20"/>
                <w:szCs w:val="20"/>
                <w:color w:val="auto"/>
              </w:rPr>
            </w:pPr>
            <w:r>
              <w:rPr>
                <w:rFonts w:ascii="Arial" w:cs="Arial" w:eastAsia="Arial" w:hAnsi="Arial"/>
                <w:sz w:val="13"/>
                <w:szCs w:val="13"/>
                <w:b w:val="1"/>
                <w:bCs w:val="1"/>
                <w:color w:val="auto"/>
              </w:rPr>
              <w:t>30 June 2024</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Change</w:t>
            </w:r>
          </w:p>
        </w:tc>
      </w:tr>
      <w:tr>
        <w:trPr>
          <w:trHeight w:val="236"/>
        </w:trPr>
        <w:tc>
          <w:tcPr>
            <w:tcW w:w="734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Marex contracts cleared (m)</w:t>
            </w:r>
          </w:p>
        </w:tc>
        <w:tc>
          <w:tcPr>
            <w:tcW w:w="11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1,247</w:t>
            </w:r>
          </w:p>
        </w:tc>
        <w:tc>
          <w:tcPr>
            <w:tcW w:w="1780" w:type="dxa"/>
            <w:vAlign w:val="bottom"/>
            <w:tcBorders>
              <w:top w:val="single" w:sz="8" w:color="793690"/>
            </w:tcBorders>
          </w:tcPr>
          <w:p>
            <w:pPr>
              <w:jc w:val="right"/>
              <w:ind w:right="430"/>
              <w:spacing w:after="0"/>
              <w:rPr>
                <w:sz w:val="20"/>
                <w:szCs w:val="20"/>
                <w:color w:val="auto"/>
              </w:rPr>
            </w:pPr>
            <w:r>
              <w:rPr>
                <w:rFonts w:ascii="Arial" w:cs="Arial" w:eastAsia="Arial" w:hAnsi="Arial"/>
                <w:sz w:val="15"/>
                <w:szCs w:val="15"/>
                <w:color w:val="auto"/>
              </w:rPr>
              <w:t>975</w:t>
            </w:r>
          </w:p>
        </w:tc>
        <w:tc>
          <w:tcPr>
            <w:tcW w:w="96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28%</w:t>
            </w:r>
          </w:p>
        </w:tc>
      </w:tr>
      <w:tr>
        <w:trPr>
          <w:trHeight w:val="236"/>
        </w:trPr>
        <w:tc>
          <w:tcPr>
            <w:tcW w:w="7340" w:type="dxa"/>
            <w:vAlign w:val="bottom"/>
            <w:tcBorders>
              <w:top w:val="single" w:sz="8" w:color="DADAE7"/>
              <w:bottom w:val="single" w:sz="8" w:color="793690"/>
            </w:tcBorders>
          </w:tcPr>
          <w:p>
            <w:pPr>
              <w:ind w:left="20"/>
              <w:spacing w:after="0"/>
              <w:rPr>
                <w:sz w:val="20"/>
                <w:szCs w:val="20"/>
                <w:color w:val="auto"/>
              </w:rPr>
            </w:pPr>
            <w:r>
              <w:rPr>
                <w:rFonts w:ascii="Arial" w:cs="Arial" w:eastAsia="Arial" w:hAnsi="Arial"/>
                <w:sz w:val="15"/>
                <w:szCs w:val="15"/>
                <w:color w:val="auto"/>
              </w:rPr>
              <w:t>Market volumes</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(m)</w:t>
            </w:r>
          </w:p>
        </w:tc>
        <w:tc>
          <w:tcPr>
            <w:tcW w:w="1140" w:type="dxa"/>
            <w:vAlign w:val="bottom"/>
            <w:tcBorders>
              <w:top w:val="single" w:sz="8" w:color="DADAE7"/>
              <w:bottom w:val="single" w:sz="8" w:color="793690"/>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12,247</w:t>
            </w:r>
          </w:p>
        </w:tc>
        <w:tc>
          <w:tcPr>
            <w:tcW w:w="1780" w:type="dxa"/>
            <w:vAlign w:val="bottom"/>
            <w:tcBorders>
              <w:top w:val="single" w:sz="8" w:color="DADAE7"/>
              <w:bottom w:val="single" w:sz="8" w:color="793690"/>
            </w:tcBorders>
          </w:tcPr>
          <w:p>
            <w:pPr>
              <w:jc w:val="right"/>
              <w:ind w:right="430"/>
              <w:spacing w:after="0"/>
              <w:rPr>
                <w:sz w:val="20"/>
                <w:szCs w:val="20"/>
                <w:color w:val="auto"/>
              </w:rPr>
            </w:pPr>
            <w:r>
              <w:rPr>
                <w:rFonts w:ascii="Arial" w:cs="Arial" w:eastAsia="Arial" w:hAnsi="Arial"/>
                <w:sz w:val="15"/>
                <w:szCs w:val="15"/>
                <w:color w:val="auto"/>
              </w:rPr>
              <w:t>10,677</w:t>
            </w:r>
          </w:p>
        </w:tc>
        <w:tc>
          <w:tcPr>
            <w:tcW w:w="960" w:type="dxa"/>
            <w:vAlign w:val="bottom"/>
            <w:tcBorders>
              <w:top w:val="single" w:sz="8" w:color="DADAE7"/>
              <w:bottom w:val="single" w:sz="8" w:color="793690"/>
            </w:tcBorders>
          </w:tcPr>
          <w:p>
            <w:pPr>
              <w:jc w:val="right"/>
              <w:spacing w:after="0"/>
              <w:rPr>
                <w:sz w:val="20"/>
                <w:szCs w:val="20"/>
                <w:color w:val="auto"/>
              </w:rPr>
            </w:pPr>
            <w:r>
              <w:rPr>
                <w:rFonts w:ascii="Arial" w:cs="Arial" w:eastAsia="Arial" w:hAnsi="Arial"/>
                <w:sz w:val="15"/>
                <w:szCs w:val="15"/>
                <w:color w:val="auto"/>
              </w:rPr>
              <w:t>15%</w:t>
            </w:r>
          </w:p>
        </w:tc>
      </w:tr>
    </w:tbl>
    <w:p>
      <w:pPr>
        <w:spacing w:after="0" w:line="324" w:lineRule="exact"/>
        <w:rPr>
          <w:sz w:val="20"/>
          <w:szCs w:val="20"/>
          <w:color w:val="auto"/>
        </w:rPr>
      </w:pPr>
    </w:p>
    <w:p>
      <w:pPr>
        <w:spacing w:after="0"/>
        <w:rPr>
          <w:sz w:val="20"/>
          <w:szCs w:val="20"/>
          <w:color w:val="auto"/>
        </w:rPr>
      </w:pPr>
      <w:r>
        <w:rPr>
          <w:rFonts w:ascii="Arial" w:cs="Arial" w:eastAsia="Arial" w:hAnsi="Arial"/>
          <w:sz w:val="11"/>
          <w:szCs w:val="11"/>
          <w:color w:val="auto"/>
        </w:rPr>
        <w:t>1. Volumes traded on Marex key exchanges (CBOT, CME, Eurex, Euronext, ICE, LME, NYMEX COMEX, SGX).</w:t>
      </w:r>
    </w:p>
    <w:p>
      <w:pPr>
        <w:sectPr>
          <w:pgSz w:w="11900" w:h="16838" w:orient="portrait"/>
          <w:cols w:equalWidth="0" w:num="1">
            <w:col w:w="11220"/>
          </w:cols>
          <w:pgMar w:left="320" w:top="1353" w:right="359" w:bottom="1440" w:gutter="0" w:footer="0" w:header="0"/>
        </w:sect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6</w:t>
      </w:r>
    </w:p>
    <w:p>
      <w:pPr>
        <w:sectPr>
          <w:pgSz w:w="11900" w:h="16838" w:orient="portrait"/>
          <w:cols w:equalWidth="0" w:num="1">
            <w:col w:w="11220"/>
          </w:cols>
          <w:pgMar w:left="320" w:top="1353" w:right="3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2"/>
          <w:szCs w:val="22"/>
          <w:b w:val="1"/>
          <w:bCs w:val="1"/>
          <w:color w:val="793690"/>
        </w:rPr>
        <w:t xml:space="preserve">Financial Review </w:t>
      </w:r>
      <w:r>
        <w:rPr>
          <w:rFonts w:ascii="Arial" w:cs="Arial" w:eastAsia="Arial" w:hAnsi="Arial"/>
          <w:sz w:val="22"/>
          <w:szCs w:val="22"/>
          <w:color w:val="793690"/>
        </w:rPr>
        <w:t>(continued)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Agency and Execution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Agency and Execution provides essential liquidity and execution services to our clients primarily in the energy and financial securities markets.</w:t>
      </w:r>
    </w:p>
    <w:p>
      <w:pPr>
        <w:spacing w:after="0" w:line="111"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Our energy division provides essential liquidity to clients by connecting buyers and sellers in the energy markets to facilitate price discovery. We have leading positions in many of the markets we operate in, including key gas and power markets in Europe; environmental, petrochemical and crude markets in North America; and oil products globally. We achieve this through the breadth and depth of the services we offer to customers, including market intelligence for each product we transact in, based on the extensive knowledge and experience of our teams.</w:t>
      </w:r>
    </w:p>
    <w:p>
      <w:pPr>
        <w:spacing w:after="0" w:line="81" w:lineRule="exact"/>
        <w:rPr>
          <w:sz w:val="20"/>
          <w:szCs w:val="20"/>
          <w:color w:val="auto"/>
        </w:rPr>
      </w:pPr>
    </w:p>
    <w:p>
      <w:pPr>
        <w:jc w:val="both"/>
        <w:ind w:right="220"/>
        <w:spacing w:after="0" w:line="273" w:lineRule="auto"/>
        <w:rPr>
          <w:sz w:val="20"/>
          <w:szCs w:val="20"/>
          <w:color w:val="auto"/>
        </w:rPr>
      </w:pPr>
      <w:r>
        <w:rPr>
          <w:rFonts w:ascii="Arial" w:cs="Arial" w:eastAsia="Arial" w:hAnsi="Arial"/>
          <w:sz w:val="15"/>
          <w:szCs w:val="15"/>
          <w:color w:val="auto"/>
        </w:rPr>
        <w:t>Our presence in the financial markets is growing as we integrate and optimise recent acquisitions, enabling Marex to diversify its asset class coverage away from traditional commodity markets. We are starting to see a maturation of our offerings across all asset classes, contributing to enhanced revenue growth and margin expansion for the overall business.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Performance for the three months ended 30 June 2025</w:t>
      </w:r>
    </w:p>
    <w:p>
      <w:pPr>
        <w:spacing w:after="0" w:line="19"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Q2 2025 was a record quarter for Agency and Execution, with revenue increasing by 59% to $260.8m (Q2 2024: $164.5m). We saw strong contributions from both Securities, reflecting the continued strategic expansion of our Prime Services offering, and Energy which experienced record volumes.</w:t>
      </w:r>
    </w:p>
    <w:p>
      <w:pPr>
        <w:spacing w:after="0" w:line="67"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Securities revenues, increased by $75.0m to $168.6m (Q2 2024: $93.6m) due primarily to the growth in our Prime Services business driven by a significant increase in clients on our platform as well as growth in securities-based swaps. We also saw growth in all asset classes including, equities, rates, credit and FX, and an increase in transaction volumes.</w:t>
      </w:r>
    </w:p>
    <w:p>
      <w:pPr>
        <w:spacing w:after="0" w:line="59" w:lineRule="exact"/>
        <w:rPr>
          <w:sz w:val="20"/>
          <w:szCs w:val="20"/>
          <w:color w:val="auto"/>
        </w:rPr>
      </w:pPr>
    </w:p>
    <w:p>
      <w:pPr>
        <w:ind w:right="200"/>
        <w:spacing w:after="0" w:line="301" w:lineRule="auto"/>
        <w:rPr>
          <w:sz w:val="20"/>
          <w:szCs w:val="20"/>
          <w:color w:val="auto"/>
        </w:rPr>
      </w:pPr>
      <w:r>
        <w:rPr>
          <w:rFonts w:ascii="Arial" w:cs="Arial" w:eastAsia="Arial" w:hAnsi="Arial"/>
          <w:sz w:val="15"/>
          <w:szCs w:val="15"/>
          <w:color w:val="auto"/>
        </w:rPr>
        <w:t>Energy revenues increased by $21.9m to $92.0m (Q2 2024: $70.1m), reflecting a combination of record volumes, strong demand for our environmentals offering, particularly in the US, and continued expansion in our large desks in oil and energy.</w:t>
      </w:r>
    </w:p>
    <w:p>
      <w:pPr>
        <w:spacing w:after="0" w:line="40" w:lineRule="exact"/>
        <w:rPr>
          <w:sz w:val="20"/>
          <w:szCs w:val="20"/>
          <w:color w:val="auto"/>
        </w:rPr>
      </w:pPr>
    </w:p>
    <w:p>
      <w:pPr>
        <w:ind w:right="100"/>
        <w:spacing w:after="0" w:line="301" w:lineRule="auto"/>
        <w:rPr>
          <w:sz w:val="20"/>
          <w:szCs w:val="20"/>
          <w:color w:val="auto"/>
        </w:rPr>
      </w:pPr>
      <w:r>
        <w:rPr>
          <w:rFonts w:ascii="Arial" w:cs="Arial" w:eastAsia="Arial" w:hAnsi="Arial"/>
          <w:sz w:val="15"/>
          <w:szCs w:val="15"/>
          <w:color w:val="auto"/>
        </w:rPr>
        <w:t>Adjusted Profit Before Tax</w:t>
      </w:r>
      <w:r>
        <w:rPr>
          <w:rFonts w:ascii="Arial" w:cs="Arial" w:eastAsia="Arial" w:hAnsi="Arial"/>
          <w:sz w:val="9"/>
          <w:szCs w:val="9"/>
          <w:color w:val="auto"/>
        </w:rPr>
        <w:t>1</w:t>
      </w:r>
      <w:r>
        <w:rPr>
          <w:rFonts w:ascii="Arial" w:cs="Arial" w:eastAsia="Arial" w:hAnsi="Arial"/>
          <w:sz w:val="15"/>
          <w:szCs w:val="15"/>
          <w:color w:val="auto"/>
        </w:rPr>
        <w:t xml:space="preserve"> increased by 208% to $69.0m (Q2 2024: $22.4m) while Adjusted Profit Before Tax Margin</w:t>
      </w:r>
      <w:r>
        <w:rPr>
          <w:rFonts w:ascii="Arial" w:cs="Arial" w:eastAsia="Arial" w:hAnsi="Arial"/>
          <w:sz w:val="9"/>
          <w:szCs w:val="9"/>
          <w:color w:val="auto"/>
        </w:rPr>
        <w:t>1</w:t>
      </w:r>
      <w:r>
        <w:rPr>
          <w:rFonts w:ascii="Arial" w:cs="Arial" w:eastAsia="Arial" w:hAnsi="Arial"/>
          <w:sz w:val="15"/>
          <w:szCs w:val="15"/>
          <w:color w:val="auto"/>
        </w:rPr>
        <w:t xml:space="preserve"> increased to 26% (Q2 2024: 14%) driven by improvements in productivity from restructuring, as well as growth in higher margin activity, particularly Prime Services.</w:t>
      </w:r>
    </w:p>
    <w:p>
      <w:pPr>
        <w:spacing w:after="0" w:line="200" w:lineRule="exact"/>
        <w:rPr>
          <w:sz w:val="20"/>
          <w:szCs w:val="20"/>
          <w:color w:val="auto"/>
        </w:rPr>
      </w:pPr>
    </w:p>
    <w:p>
      <w:pPr>
        <w:spacing w:after="0" w:line="307"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7</w:t>
      </w:r>
    </w:p>
    <w:p>
      <w:pPr>
        <w:sectPr>
          <w:pgSz w:w="11900" w:h="16838" w:orient="portrait"/>
          <w:cols w:equalWidth="0" w:num="1">
            <w:col w:w="11100"/>
          </w:cols>
          <w:pgMar w:left="320" w:top="1353" w:right="47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793690"/>
        </w:rPr>
        <w:t xml:space="preserve">Financial Review </w:t>
      </w:r>
      <w:r>
        <w:rPr>
          <w:rFonts w:ascii="Arial" w:cs="Arial" w:eastAsia="Arial" w:hAnsi="Arial"/>
          <w:sz w:val="22"/>
          <w:szCs w:val="22"/>
          <w:color w:val="793690"/>
        </w:rPr>
        <w:t>(continued)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Agency and Execution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Performance for the six months ended 30 June 2025</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Agency and Execution revenue increased 50% to $500.3m (H1 2024: $332.6m) driven by strong growth in Securities and Energy.</w:t>
      </w:r>
    </w:p>
    <w:p>
      <w:pPr>
        <w:spacing w:after="0" w:line="97" w:lineRule="exact"/>
        <w:rPr>
          <w:sz w:val="20"/>
          <w:szCs w:val="20"/>
          <w:color w:val="auto"/>
        </w:rPr>
      </w:pPr>
    </w:p>
    <w:p>
      <w:pPr>
        <w:ind w:right="340"/>
        <w:spacing w:after="0" w:line="301" w:lineRule="auto"/>
        <w:rPr>
          <w:sz w:val="20"/>
          <w:szCs w:val="20"/>
          <w:color w:val="auto"/>
        </w:rPr>
      </w:pPr>
      <w:r>
        <w:rPr>
          <w:rFonts w:ascii="Arial" w:cs="Arial" w:eastAsia="Arial" w:hAnsi="Arial"/>
          <w:sz w:val="15"/>
          <w:szCs w:val="15"/>
          <w:color w:val="auto"/>
        </w:rPr>
        <w:t>Securities revenues grew by $131.1m to $319.6m (H1 2024: $188.5m) driven by an increase in transaction volumes in all asset classes including, equities, rates, credit and FX, alongside the strategic expansion of our Prime Services offering.</w:t>
      </w:r>
    </w:p>
    <w:p>
      <w:pPr>
        <w:spacing w:after="0" w:line="40" w:lineRule="exact"/>
        <w:rPr>
          <w:sz w:val="20"/>
          <w:szCs w:val="20"/>
          <w:color w:val="auto"/>
        </w:rPr>
      </w:pPr>
    </w:p>
    <w:p>
      <w:pPr>
        <w:ind w:right="240"/>
        <w:spacing w:after="0" w:line="301" w:lineRule="auto"/>
        <w:rPr>
          <w:sz w:val="20"/>
          <w:szCs w:val="20"/>
          <w:color w:val="auto"/>
        </w:rPr>
      </w:pPr>
      <w:r>
        <w:rPr>
          <w:rFonts w:ascii="Arial" w:cs="Arial" w:eastAsia="Arial" w:hAnsi="Arial"/>
          <w:sz w:val="15"/>
          <w:szCs w:val="15"/>
          <w:color w:val="auto"/>
        </w:rPr>
        <w:t>Energy revenues increased by $36.9m to $180.2m (H1 2024: $143.3m), reflecting a combination of record volumes, good demand for our environmentals offering, particularly in the US, and continued expansion of our large desks in oil and energy.</w:t>
      </w:r>
    </w:p>
    <w:p>
      <w:pPr>
        <w:spacing w:after="0" w:line="52" w:lineRule="exact"/>
        <w:rPr>
          <w:sz w:val="20"/>
          <w:szCs w:val="20"/>
          <w:color w:val="auto"/>
        </w:rPr>
      </w:pPr>
    </w:p>
    <w:p>
      <w:pPr>
        <w:ind w:right="100"/>
        <w:spacing w:after="0" w:line="241" w:lineRule="auto"/>
        <w:rPr>
          <w:sz w:val="20"/>
          <w:szCs w:val="20"/>
          <w:color w:val="auto"/>
        </w:rPr>
      </w:pPr>
      <w:r>
        <w:rPr>
          <w:rFonts w:ascii="Arial" w:cs="Arial" w:eastAsia="Arial" w:hAnsi="Arial"/>
          <w:sz w:val="15"/>
          <w:szCs w:val="15"/>
          <w:color w:val="auto"/>
        </w:rPr>
        <w:t>Adjusted Profit Before Tax</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increased 180% to $125.7m (H1 2024: $44.9m). Adjusted Profit Before Tax Margin</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increased by 1,200 bps to 25% (H1 2024: 13%). The margin improvement was driven by the benefit from restructuring in the business driving improvements in productivity, as well as growth in higher margin activity, particularly Prime Services.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1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 months ended</w:t>
            </w:r>
          </w:p>
        </w:tc>
        <w:tc>
          <w:tcPr>
            <w:tcW w:w="1620" w:type="dxa"/>
            <w:vAlign w:val="bottom"/>
          </w:tcPr>
          <w:p>
            <w:pPr>
              <w:jc w:val="right"/>
              <w:ind w:right="286"/>
              <w:spacing w:after="0"/>
              <w:rPr>
                <w:sz w:val="20"/>
                <w:szCs w:val="20"/>
                <w:color w:val="auto"/>
              </w:rPr>
            </w:pPr>
            <w:r>
              <w:rPr>
                <w:rFonts w:ascii="Arial" w:cs="Arial" w:eastAsia="Arial" w:hAnsi="Arial"/>
                <w:sz w:val="13"/>
                <w:szCs w:val="13"/>
                <w:b w:val="1"/>
                <w:bCs w:val="1"/>
                <w:color w:val="auto"/>
              </w:rPr>
              <w:t>3 months ended</w:t>
            </w:r>
          </w:p>
        </w:tc>
        <w:tc>
          <w:tcPr>
            <w:tcW w:w="1200" w:type="dxa"/>
            <w:vAlign w:val="bottom"/>
          </w:tcPr>
          <w:p>
            <w:pPr>
              <w:spacing w:after="0"/>
              <w:rPr>
                <w:sz w:val="16"/>
                <w:szCs w:val="16"/>
                <w:color w:val="auto"/>
              </w:rPr>
            </w:pPr>
          </w:p>
        </w:tc>
        <w:tc>
          <w:tcPr>
            <w:tcW w:w="11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6 months ended</w:t>
            </w:r>
          </w:p>
        </w:tc>
        <w:tc>
          <w:tcPr>
            <w:tcW w:w="1620" w:type="dxa"/>
            <w:vAlign w:val="bottom"/>
          </w:tcPr>
          <w:p>
            <w:pPr>
              <w:jc w:val="right"/>
              <w:ind w:right="286"/>
              <w:spacing w:after="0"/>
              <w:rPr>
                <w:sz w:val="20"/>
                <w:szCs w:val="20"/>
                <w:color w:val="auto"/>
              </w:rPr>
            </w:pPr>
            <w:r>
              <w:rPr>
                <w:rFonts w:ascii="Arial" w:cs="Arial" w:eastAsia="Arial" w:hAnsi="Arial"/>
                <w:sz w:val="13"/>
                <w:szCs w:val="13"/>
                <w:b w:val="1"/>
                <w:bCs w:val="1"/>
                <w:color w:val="auto"/>
              </w:rPr>
              <w:t>6 months ended</w:t>
            </w:r>
          </w:p>
        </w:tc>
        <w:tc>
          <w:tcPr>
            <w:tcW w:w="1060" w:type="dxa"/>
            <w:vAlign w:val="bottom"/>
          </w:tcPr>
          <w:p>
            <w:pPr>
              <w:spacing w:after="0"/>
              <w:rPr>
                <w:sz w:val="16"/>
                <w:szCs w:val="16"/>
                <w:color w:val="auto"/>
              </w:rPr>
            </w:pPr>
          </w:p>
        </w:tc>
      </w:tr>
      <w:tr>
        <w:trPr>
          <w:trHeight w:val="192"/>
        </w:trPr>
        <w:tc>
          <w:tcPr>
            <w:tcW w:w="3460" w:type="dxa"/>
            <w:vAlign w:val="bottom"/>
          </w:tcPr>
          <w:p>
            <w:pPr>
              <w:spacing w:after="0"/>
              <w:rPr>
                <w:sz w:val="16"/>
                <w:szCs w:val="16"/>
                <w:color w:val="auto"/>
              </w:rPr>
            </w:pPr>
          </w:p>
        </w:tc>
        <w:tc>
          <w:tcPr>
            <w:tcW w:w="11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620" w:type="dxa"/>
            <w:vAlign w:val="bottom"/>
          </w:tcPr>
          <w:p>
            <w:pPr>
              <w:jc w:val="right"/>
              <w:ind w:right="286"/>
              <w:spacing w:after="0"/>
              <w:rPr>
                <w:sz w:val="20"/>
                <w:szCs w:val="20"/>
                <w:color w:val="auto"/>
              </w:rPr>
            </w:pPr>
            <w:r>
              <w:rPr>
                <w:rFonts w:ascii="Arial" w:cs="Arial" w:eastAsia="Arial" w:hAnsi="Arial"/>
                <w:sz w:val="13"/>
                <w:szCs w:val="13"/>
                <w:b w:val="1"/>
                <w:bCs w:val="1"/>
                <w:color w:val="auto"/>
              </w:rPr>
              <w:t>30 June 2024</w:t>
            </w:r>
          </w:p>
        </w:tc>
        <w:tc>
          <w:tcPr>
            <w:tcW w:w="1200" w:type="dxa"/>
            <w:vAlign w:val="bottom"/>
          </w:tcPr>
          <w:p>
            <w:pPr>
              <w:spacing w:after="0"/>
              <w:rPr>
                <w:sz w:val="16"/>
                <w:szCs w:val="16"/>
                <w:color w:val="auto"/>
              </w:rPr>
            </w:pPr>
          </w:p>
        </w:tc>
        <w:tc>
          <w:tcPr>
            <w:tcW w:w="11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620" w:type="dxa"/>
            <w:vAlign w:val="bottom"/>
          </w:tcPr>
          <w:p>
            <w:pPr>
              <w:jc w:val="right"/>
              <w:ind w:right="286"/>
              <w:spacing w:after="0"/>
              <w:rPr>
                <w:sz w:val="20"/>
                <w:szCs w:val="20"/>
                <w:color w:val="auto"/>
              </w:rPr>
            </w:pPr>
            <w:r>
              <w:rPr>
                <w:rFonts w:ascii="Arial" w:cs="Arial" w:eastAsia="Arial" w:hAnsi="Arial"/>
                <w:sz w:val="13"/>
                <w:szCs w:val="13"/>
                <w:b w:val="1"/>
                <w:bCs w:val="1"/>
                <w:color w:val="auto"/>
              </w:rPr>
              <w:t>30 June 2024</w:t>
            </w:r>
          </w:p>
        </w:tc>
        <w:tc>
          <w:tcPr>
            <w:tcW w:w="1060" w:type="dxa"/>
            <w:vAlign w:val="bottom"/>
          </w:tcPr>
          <w:p>
            <w:pPr>
              <w:spacing w:after="0"/>
              <w:rPr>
                <w:sz w:val="16"/>
                <w:szCs w:val="16"/>
                <w:color w:val="auto"/>
              </w:rPr>
            </w:pPr>
          </w:p>
        </w:tc>
      </w:tr>
      <w:tr>
        <w:trPr>
          <w:trHeight w:val="224"/>
        </w:trPr>
        <w:tc>
          <w:tcPr>
            <w:tcW w:w="3460" w:type="dxa"/>
            <w:vAlign w:val="bottom"/>
          </w:tcPr>
          <w:p>
            <w:pPr>
              <w:spacing w:after="0"/>
              <w:rPr>
                <w:sz w:val="19"/>
                <w:szCs w:val="19"/>
                <w:color w:val="auto"/>
              </w:rPr>
            </w:pPr>
          </w:p>
        </w:tc>
        <w:tc>
          <w:tcPr>
            <w:tcW w:w="11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620" w:type="dxa"/>
            <w:vAlign w:val="bottom"/>
          </w:tcPr>
          <w:p>
            <w:pPr>
              <w:jc w:val="right"/>
              <w:ind w:right="286"/>
              <w:spacing w:after="0"/>
              <w:rPr>
                <w:sz w:val="20"/>
                <w:szCs w:val="20"/>
                <w:color w:val="auto"/>
              </w:rPr>
            </w:pPr>
            <w:r>
              <w:rPr>
                <w:rFonts w:ascii="Arial" w:cs="Arial" w:eastAsia="Arial" w:hAnsi="Arial"/>
                <w:sz w:val="13"/>
                <w:szCs w:val="13"/>
                <w:b w:val="1"/>
                <w:bCs w:val="1"/>
                <w:color w:val="auto"/>
              </w:rPr>
              <w:t>$m</w:t>
            </w:r>
          </w:p>
        </w:tc>
        <w:tc>
          <w:tcPr>
            <w:tcW w:w="1200" w:type="dxa"/>
            <w:vAlign w:val="bottom"/>
          </w:tcPr>
          <w:p>
            <w:pPr>
              <w:jc w:val="right"/>
              <w:ind w:right="85"/>
              <w:spacing w:after="0"/>
              <w:rPr>
                <w:sz w:val="20"/>
                <w:szCs w:val="20"/>
                <w:color w:val="auto"/>
              </w:rPr>
            </w:pPr>
            <w:r>
              <w:rPr>
                <w:rFonts w:ascii="Arial" w:cs="Arial" w:eastAsia="Arial" w:hAnsi="Arial"/>
                <w:sz w:val="13"/>
                <w:szCs w:val="13"/>
                <w:b w:val="1"/>
                <w:bCs w:val="1"/>
                <w:color w:val="auto"/>
              </w:rPr>
              <w:t>Change</w:t>
            </w:r>
          </w:p>
        </w:tc>
        <w:tc>
          <w:tcPr>
            <w:tcW w:w="114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620" w:type="dxa"/>
            <w:vAlign w:val="bottom"/>
          </w:tcPr>
          <w:p>
            <w:pPr>
              <w:jc w:val="right"/>
              <w:ind w:right="286"/>
              <w:spacing w:after="0"/>
              <w:rPr>
                <w:sz w:val="20"/>
                <w:szCs w:val="20"/>
                <w:color w:val="auto"/>
              </w:rPr>
            </w:pPr>
            <w:r>
              <w:rPr>
                <w:rFonts w:ascii="Arial" w:cs="Arial" w:eastAsia="Arial" w:hAnsi="Arial"/>
                <w:sz w:val="13"/>
                <w:szCs w:val="13"/>
                <w:b w:val="1"/>
                <w:bCs w:val="1"/>
                <w:color w:val="auto"/>
              </w:rPr>
              <w:t>$m</w:t>
            </w:r>
          </w:p>
        </w:tc>
        <w:tc>
          <w:tcPr>
            <w:tcW w:w="1060" w:type="dxa"/>
            <w:vAlign w:val="bottom"/>
          </w:tcPr>
          <w:p>
            <w:pPr>
              <w:spacing w:after="0"/>
              <w:rPr>
                <w:sz w:val="19"/>
                <w:szCs w:val="19"/>
                <w:color w:val="auto"/>
              </w:rPr>
            </w:pPr>
          </w:p>
        </w:tc>
      </w:tr>
      <w:tr>
        <w:trPr>
          <w:trHeight w:val="237"/>
        </w:trPr>
        <w:tc>
          <w:tcPr>
            <w:tcW w:w="346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Securities</w:t>
            </w:r>
          </w:p>
        </w:tc>
        <w:tc>
          <w:tcPr>
            <w:tcW w:w="112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168.6</w:t>
            </w:r>
          </w:p>
        </w:tc>
        <w:tc>
          <w:tcPr>
            <w:tcW w:w="1620" w:type="dxa"/>
            <w:vAlign w:val="bottom"/>
            <w:tcBorders>
              <w:top w:val="single" w:sz="8" w:color="793690"/>
            </w:tcBorders>
          </w:tcPr>
          <w:p>
            <w:pPr>
              <w:jc w:val="right"/>
              <w:ind w:right="346"/>
              <w:spacing w:after="0"/>
              <w:rPr>
                <w:sz w:val="20"/>
                <w:szCs w:val="20"/>
                <w:color w:val="auto"/>
              </w:rPr>
            </w:pPr>
            <w:r>
              <w:rPr>
                <w:rFonts w:ascii="Arial" w:cs="Arial" w:eastAsia="Arial" w:hAnsi="Arial"/>
                <w:sz w:val="15"/>
                <w:szCs w:val="15"/>
                <w:color w:val="auto"/>
              </w:rPr>
              <w:t>93.6</w:t>
            </w:r>
          </w:p>
        </w:tc>
        <w:tc>
          <w:tcPr>
            <w:tcW w:w="1200" w:type="dxa"/>
            <w:vAlign w:val="bottom"/>
            <w:tcBorders>
              <w:top w:val="single" w:sz="8" w:color="793690"/>
            </w:tcBorders>
          </w:tcPr>
          <w:p>
            <w:pPr>
              <w:jc w:val="right"/>
              <w:ind w:right="85"/>
              <w:spacing w:after="0"/>
              <w:rPr>
                <w:sz w:val="20"/>
                <w:szCs w:val="20"/>
                <w:color w:val="auto"/>
              </w:rPr>
            </w:pPr>
            <w:r>
              <w:rPr>
                <w:rFonts w:ascii="Arial" w:cs="Arial" w:eastAsia="Arial" w:hAnsi="Arial"/>
                <w:sz w:val="15"/>
                <w:szCs w:val="15"/>
                <w:color w:val="auto"/>
              </w:rPr>
              <w:t>80 %</w:t>
            </w:r>
          </w:p>
        </w:tc>
        <w:tc>
          <w:tcPr>
            <w:tcW w:w="11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319.6</w:t>
            </w:r>
          </w:p>
        </w:tc>
        <w:tc>
          <w:tcPr>
            <w:tcW w:w="1620" w:type="dxa"/>
            <w:vAlign w:val="bottom"/>
            <w:tcBorders>
              <w:top w:val="single" w:sz="8" w:color="793690"/>
            </w:tcBorders>
          </w:tcPr>
          <w:p>
            <w:pPr>
              <w:jc w:val="right"/>
              <w:ind w:right="326"/>
              <w:spacing w:after="0"/>
              <w:rPr>
                <w:sz w:val="20"/>
                <w:szCs w:val="20"/>
                <w:color w:val="auto"/>
              </w:rPr>
            </w:pPr>
            <w:r>
              <w:rPr>
                <w:rFonts w:ascii="Arial" w:cs="Arial" w:eastAsia="Arial" w:hAnsi="Arial"/>
                <w:sz w:val="15"/>
                <w:szCs w:val="15"/>
                <w:color w:val="auto"/>
              </w:rPr>
              <w:t>188.5</w:t>
            </w:r>
          </w:p>
        </w:tc>
        <w:tc>
          <w:tcPr>
            <w:tcW w:w="106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70%</w:t>
            </w:r>
          </w:p>
        </w:tc>
      </w:tr>
      <w:tr>
        <w:trPr>
          <w:trHeight w:val="237"/>
        </w:trPr>
        <w:tc>
          <w:tcPr>
            <w:tcW w:w="34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Energy</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92.0</w:t>
            </w:r>
          </w:p>
        </w:tc>
        <w:tc>
          <w:tcPr>
            <w:tcW w:w="1620" w:type="dxa"/>
            <w:vAlign w:val="bottom"/>
            <w:tcBorders>
              <w:top w:val="single" w:sz="8" w:color="DADAE7"/>
            </w:tcBorders>
          </w:tcPr>
          <w:p>
            <w:pPr>
              <w:jc w:val="right"/>
              <w:ind w:right="346"/>
              <w:spacing w:after="0"/>
              <w:rPr>
                <w:sz w:val="20"/>
                <w:szCs w:val="20"/>
                <w:color w:val="auto"/>
              </w:rPr>
            </w:pPr>
            <w:r>
              <w:rPr>
                <w:rFonts w:ascii="Arial" w:cs="Arial" w:eastAsia="Arial" w:hAnsi="Arial"/>
                <w:sz w:val="15"/>
                <w:szCs w:val="15"/>
                <w:color w:val="auto"/>
              </w:rPr>
              <w:t>70.1</w:t>
            </w:r>
          </w:p>
        </w:tc>
        <w:tc>
          <w:tcPr>
            <w:tcW w:w="1200" w:type="dxa"/>
            <w:vAlign w:val="bottom"/>
            <w:tcBorders>
              <w:top w:val="single" w:sz="8" w:color="DADAE7"/>
            </w:tcBorders>
          </w:tcPr>
          <w:p>
            <w:pPr>
              <w:jc w:val="right"/>
              <w:ind w:right="85"/>
              <w:spacing w:after="0"/>
              <w:rPr>
                <w:sz w:val="20"/>
                <w:szCs w:val="20"/>
                <w:color w:val="auto"/>
              </w:rPr>
            </w:pPr>
            <w:r>
              <w:rPr>
                <w:rFonts w:ascii="Arial" w:cs="Arial" w:eastAsia="Arial" w:hAnsi="Arial"/>
                <w:sz w:val="15"/>
                <w:szCs w:val="15"/>
                <w:color w:val="auto"/>
              </w:rPr>
              <w:t>31 %</w:t>
            </w: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180.2</w:t>
            </w:r>
          </w:p>
        </w:tc>
        <w:tc>
          <w:tcPr>
            <w:tcW w:w="1620" w:type="dxa"/>
            <w:vAlign w:val="bottom"/>
            <w:tcBorders>
              <w:top w:val="single" w:sz="8" w:color="DADAE7"/>
            </w:tcBorders>
          </w:tcPr>
          <w:p>
            <w:pPr>
              <w:jc w:val="right"/>
              <w:ind w:right="326"/>
              <w:spacing w:after="0"/>
              <w:rPr>
                <w:sz w:val="20"/>
                <w:szCs w:val="20"/>
                <w:color w:val="auto"/>
              </w:rPr>
            </w:pPr>
            <w:r>
              <w:rPr>
                <w:rFonts w:ascii="Arial" w:cs="Arial" w:eastAsia="Arial" w:hAnsi="Arial"/>
                <w:sz w:val="15"/>
                <w:szCs w:val="15"/>
                <w:color w:val="auto"/>
              </w:rPr>
              <w:t>143.3</w:t>
            </w:r>
          </w:p>
        </w:tc>
        <w:tc>
          <w:tcPr>
            <w:tcW w:w="10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26%</w:t>
            </w:r>
          </w:p>
        </w:tc>
      </w:tr>
      <w:tr>
        <w:trPr>
          <w:trHeight w:val="237"/>
        </w:trPr>
        <w:tc>
          <w:tcPr>
            <w:tcW w:w="34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Other revenue</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0.2</w:t>
            </w:r>
          </w:p>
        </w:tc>
        <w:tc>
          <w:tcPr>
            <w:tcW w:w="1620" w:type="dxa"/>
            <w:vAlign w:val="bottom"/>
            <w:tcBorders>
              <w:top w:val="single" w:sz="8" w:color="DADAE7"/>
            </w:tcBorders>
          </w:tcPr>
          <w:p>
            <w:pPr>
              <w:jc w:val="right"/>
              <w:ind w:right="346"/>
              <w:spacing w:after="0"/>
              <w:rPr>
                <w:sz w:val="20"/>
                <w:szCs w:val="20"/>
                <w:color w:val="auto"/>
              </w:rPr>
            </w:pPr>
            <w:r>
              <w:rPr>
                <w:rFonts w:ascii="Arial" w:cs="Arial" w:eastAsia="Arial" w:hAnsi="Arial"/>
                <w:sz w:val="15"/>
                <w:szCs w:val="15"/>
                <w:color w:val="auto"/>
              </w:rPr>
              <w:t>0.8</w:t>
            </w:r>
          </w:p>
        </w:tc>
        <w:tc>
          <w:tcPr>
            <w:tcW w:w="1200" w:type="dxa"/>
            <w:vAlign w:val="bottom"/>
            <w:tcBorders>
              <w:top w:val="single" w:sz="8" w:color="DADAE7"/>
            </w:tcBorders>
          </w:tcPr>
          <w:p>
            <w:pPr>
              <w:jc w:val="right"/>
              <w:ind w:right="85"/>
              <w:spacing w:after="0"/>
              <w:rPr>
                <w:sz w:val="20"/>
                <w:szCs w:val="20"/>
                <w:color w:val="auto"/>
              </w:rPr>
            </w:pPr>
            <w:r>
              <w:rPr>
                <w:rFonts w:ascii="Arial" w:cs="Arial" w:eastAsia="Arial" w:hAnsi="Arial"/>
                <w:sz w:val="15"/>
                <w:szCs w:val="15"/>
                <w:color w:val="auto"/>
              </w:rPr>
              <w:t>(75)%</w:t>
            </w: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0.5</w:t>
            </w:r>
          </w:p>
        </w:tc>
        <w:tc>
          <w:tcPr>
            <w:tcW w:w="1620" w:type="dxa"/>
            <w:vAlign w:val="bottom"/>
            <w:tcBorders>
              <w:top w:val="single" w:sz="8" w:color="DADAE7"/>
            </w:tcBorders>
          </w:tcPr>
          <w:p>
            <w:pPr>
              <w:jc w:val="right"/>
              <w:ind w:right="326"/>
              <w:spacing w:after="0"/>
              <w:rPr>
                <w:sz w:val="20"/>
                <w:szCs w:val="20"/>
                <w:color w:val="auto"/>
              </w:rPr>
            </w:pPr>
            <w:r>
              <w:rPr>
                <w:rFonts w:ascii="Arial" w:cs="Arial" w:eastAsia="Arial" w:hAnsi="Arial"/>
                <w:sz w:val="15"/>
                <w:szCs w:val="15"/>
                <w:color w:val="auto"/>
              </w:rPr>
              <w:t>0.8</w:t>
            </w:r>
          </w:p>
        </w:tc>
        <w:tc>
          <w:tcPr>
            <w:tcW w:w="10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(38)%</w:t>
            </w:r>
          </w:p>
        </w:tc>
      </w:tr>
      <w:tr>
        <w:trPr>
          <w:trHeight w:val="236"/>
        </w:trPr>
        <w:tc>
          <w:tcPr>
            <w:tcW w:w="346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Revenue</w:t>
            </w:r>
          </w:p>
        </w:tc>
        <w:tc>
          <w:tcPr>
            <w:tcW w:w="112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260.8</w:t>
            </w:r>
          </w:p>
        </w:tc>
        <w:tc>
          <w:tcPr>
            <w:tcW w:w="1620" w:type="dxa"/>
            <w:vAlign w:val="bottom"/>
            <w:tcBorders>
              <w:top w:val="single" w:sz="8" w:color="793690"/>
            </w:tcBorders>
          </w:tcPr>
          <w:p>
            <w:pPr>
              <w:jc w:val="right"/>
              <w:ind w:right="346"/>
              <w:spacing w:after="0"/>
              <w:rPr>
                <w:sz w:val="20"/>
                <w:szCs w:val="20"/>
                <w:color w:val="auto"/>
              </w:rPr>
            </w:pPr>
            <w:r>
              <w:rPr>
                <w:rFonts w:ascii="Arial" w:cs="Arial" w:eastAsia="Arial" w:hAnsi="Arial"/>
                <w:sz w:val="15"/>
                <w:szCs w:val="15"/>
                <w:color w:val="auto"/>
              </w:rPr>
              <w:t>164.5</w:t>
            </w:r>
          </w:p>
        </w:tc>
        <w:tc>
          <w:tcPr>
            <w:tcW w:w="1200" w:type="dxa"/>
            <w:vAlign w:val="bottom"/>
            <w:tcBorders>
              <w:top w:val="single" w:sz="8" w:color="793690"/>
            </w:tcBorders>
          </w:tcPr>
          <w:p>
            <w:pPr>
              <w:jc w:val="right"/>
              <w:ind w:right="85"/>
              <w:spacing w:after="0"/>
              <w:rPr>
                <w:sz w:val="20"/>
                <w:szCs w:val="20"/>
                <w:color w:val="auto"/>
              </w:rPr>
            </w:pPr>
            <w:r>
              <w:rPr>
                <w:rFonts w:ascii="Arial" w:cs="Arial" w:eastAsia="Arial" w:hAnsi="Arial"/>
                <w:sz w:val="15"/>
                <w:szCs w:val="15"/>
                <w:color w:val="auto"/>
              </w:rPr>
              <w:t>59 %</w:t>
            </w:r>
          </w:p>
        </w:tc>
        <w:tc>
          <w:tcPr>
            <w:tcW w:w="11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500.3</w:t>
            </w:r>
          </w:p>
        </w:tc>
        <w:tc>
          <w:tcPr>
            <w:tcW w:w="1620" w:type="dxa"/>
            <w:vAlign w:val="bottom"/>
            <w:tcBorders>
              <w:top w:val="single" w:sz="8" w:color="793690"/>
            </w:tcBorders>
          </w:tcPr>
          <w:p>
            <w:pPr>
              <w:jc w:val="right"/>
              <w:ind w:right="326"/>
              <w:spacing w:after="0"/>
              <w:rPr>
                <w:sz w:val="20"/>
                <w:szCs w:val="20"/>
                <w:color w:val="auto"/>
              </w:rPr>
            </w:pPr>
            <w:r>
              <w:rPr>
                <w:rFonts w:ascii="Arial" w:cs="Arial" w:eastAsia="Arial" w:hAnsi="Arial"/>
                <w:sz w:val="15"/>
                <w:szCs w:val="15"/>
                <w:color w:val="auto"/>
              </w:rPr>
              <w:t>332.6</w:t>
            </w:r>
          </w:p>
        </w:tc>
        <w:tc>
          <w:tcPr>
            <w:tcW w:w="106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50%</w:t>
            </w:r>
          </w:p>
        </w:tc>
      </w:tr>
      <w:tr>
        <w:trPr>
          <w:trHeight w:val="237"/>
        </w:trPr>
        <w:tc>
          <w:tcPr>
            <w:tcW w:w="34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Front office costs</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(168.9)</w:t>
            </w:r>
          </w:p>
        </w:tc>
        <w:tc>
          <w:tcPr>
            <w:tcW w:w="1620" w:type="dxa"/>
            <w:vAlign w:val="bottom"/>
            <w:tcBorders>
              <w:top w:val="single" w:sz="8" w:color="DADAE7"/>
            </w:tcBorders>
          </w:tcPr>
          <w:p>
            <w:pPr>
              <w:jc w:val="right"/>
              <w:ind w:right="306"/>
              <w:spacing w:after="0"/>
              <w:rPr>
                <w:sz w:val="20"/>
                <w:szCs w:val="20"/>
                <w:color w:val="auto"/>
              </w:rPr>
            </w:pPr>
            <w:r>
              <w:rPr>
                <w:rFonts w:ascii="Arial" w:cs="Arial" w:eastAsia="Arial" w:hAnsi="Arial"/>
                <w:sz w:val="15"/>
                <w:szCs w:val="15"/>
                <w:color w:val="auto"/>
              </w:rPr>
              <w:t>(127.8)</w:t>
            </w:r>
          </w:p>
        </w:tc>
        <w:tc>
          <w:tcPr>
            <w:tcW w:w="1200" w:type="dxa"/>
            <w:vAlign w:val="bottom"/>
            <w:tcBorders>
              <w:top w:val="single" w:sz="8" w:color="DADAE7"/>
            </w:tcBorders>
          </w:tcPr>
          <w:p>
            <w:pPr>
              <w:jc w:val="right"/>
              <w:ind w:right="85"/>
              <w:spacing w:after="0"/>
              <w:rPr>
                <w:sz w:val="20"/>
                <w:szCs w:val="20"/>
                <w:color w:val="auto"/>
              </w:rPr>
            </w:pPr>
            <w:r>
              <w:rPr>
                <w:rFonts w:ascii="Arial" w:cs="Arial" w:eastAsia="Arial" w:hAnsi="Arial"/>
                <w:sz w:val="15"/>
                <w:szCs w:val="15"/>
                <w:color w:val="auto"/>
              </w:rPr>
              <w:t>32 %</w:t>
            </w: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(330.6)</w:t>
            </w:r>
          </w:p>
        </w:tc>
        <w:tc>
          <w:tcPr>
            <w:tcW w:w="1620" w:type="dxa"/>
            <w:vAlign w:val="bottom"/>
            <w:tcBorders>
              <w:top w:val="single" w:sz="8" w:color="DADAE7"/>
            </w:tcBorders>
          </w:tcPr>
          <w:p>
            <w:pPr>
              <w:jc w:val="right"/>
              <w:ind w:right="286"/>
              <w:spacing w:after="0"/>
              <w:rPr>
                <w:sz w:val="20"/>
                <w:szCs w:val="20"/>
                <w:color w:val="auto"/>
              </w:rPr>
            </w:pPr>
            <w:r>
              <w:rPr>
                <w:rFonts w:ascii="Arial" w:cs="Arial" w:eastAsia="Arial" w:hAnsi="Arial"/>
                <w:sz w:val="15"/>
                <w:szCs w:val="15"/>
                <w:color w:val="auto"/>
              </w:rPr>
              <w:t>(258.8)</w:t>
            </w:r>
          </w:p>
        </w:tc>
        <w:tc>
          <w:tcPr>
            <w:tcW w:w="10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28%</w:t>
            </w:r>
          </w:p>
        </w:tc>
      </w:tr>
      <w:tr>
        <w:trPr>
          <w:trHeight w:val="237"/>
        </w:trPr>
        <w:tc>
          <w:tcPr>
            <w:tcW w:w="34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Control and support costs</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(22.3)</w:t>
            </w:r>
          </w:p>
        </w:tc>
        <w:tc>
          <w:tcPr>
            <w:tcW w:w="1620" w:type="dxa"/>
            <w:vAlign w:val="bottom"/>
            <w:tcBorders>
              <w:top w:val="single" w:sz="8" w:color="DADAE7"/>
            </w:tcBorders>
          </w:tcPr>
          <w:p>
            <w:pPr>
              <w:jc w:val="right"/>
              <w:ind w:right="306"/>
              <w:spacing w:after="0"/>
              <w:rPr>
                <w:sz w:val="20"/>
                <w:szCs w:val="20"/>
                <w:color w:val="auto"/>
              </w:rPr>
            </w:pPr>
            <w:r>
              <w:rPr>
                <w:rFonts w:ascii="Arial" w:cs="Arial" w:eastAsia="Arial" w:hAnsi="Arial"/>
                <w:sz w:val="15"/>
                <w:szCs w:val="15"/>
                <w:color w:val="auto"/>
              </w:rPr>
              <w:t>(14.0)</w:t>
            </w:r>
          </w:p>
        </w:tc>
        <w:tc>
          <w:tcPr>
            <w:tcW w:w="1200" w:type="dxa"/>
            <w:vAlign w:val="bottom"/>
            <w:tcBorders>
              <w:top w:val="single" w:sz="8" w:color="DADAE7"/>
            </w:tcBorders>
          </w:tcPr>
          <w:p>
            <w:pPr>
              <w:jc w:val="right"/>
              <w:ind w:right="85"/>
              <w:spacing w:after="0"/>
              <w:rPr>
                <w:sz w:val="20"/>
                <w:szCs w:val="20"/>
                <w:color w:val="auto"/>
              </w:rPr>
            </w:pPr>
            <w:r>
              <w:rPr>
                <w:rFonts w:ascii="Arial" w:cs="Arial" w:eastAsia="Arial" w:hAnsi="Arial"/>
                <w:sz w:val="15"/>
                <w:szCs w:val="15"/>
                <w:color w:val="auto"/>
              </w:rPr>
              <w:t>59 %</w:t>
            </w: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(43.3)</w:t>
            </w:r>
          </w:p>
        </w:tc>
        <w:tc>
          <w:tcPr>
            <w:tcW w:w="1620" w:type="dxa"/>
            <w:vAlign w:val="bottom"/>
            <w:tcBorders>
              <w:top w:val="single" w:sz="8" w:color="DADAE7"/>
            </w:tcBorders>
          </w:tcPr>
          <w:p>
            <w:pPr>
              <w:jc w:val="right"/>
              <w:ind w:right="286"/>
              <w:spacing w:after="0"/>
              <w:rPr>
                <w:sz w:val="20"/>
                <w:szCs w:val="20"/>
                <w:color w:val="auto"/>
              </w:rPr>
            </w:pPr>
            <w:r>
              <w:rPr>
                <w:rFonts w:ascii="Arial" w:cs="Arial" w:eastAsia="Arial" w:hAnsi="Arial"/>
                <w:sz w:val="15"/>
                <w:szCs w:val="15"/>
                <w:color w:val="auto"/>
              </w:rPr>
              <w:t>(28.1)</w:t>
            </w:r>
          </w:p>
        </w:tc>
        <w:tc>
          <w:tcPr>
            <w:tcW w:w="10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54%</w:t>
            </w:r>
          </w:p>
        </w:tc>
      </w:tr>
      <w:tr>
        <w:trPr>
          <w:trHeight w:val="237"/>
        </w:trPr>
        <w:tc>
          <w:tcPr>
            <w:tcW w:w="3460" w:type="dxa"/>
            <w:vAlign w:val="bottom"/>
            <w:tcBorders>
              <w:top w:val="single" w:sz="8" w:color="DADAE7"/>
              <w:bottom w:val="single" w:sz="8" w:color="DADAE7"/>
            </w:tcBorders>
          </w:tcPr>
          <w:p>
            <w:pPr>
              <w:ind w:left="20"/>
              <w:spacing w:after="0"/>
              <w:rPr>
                <w:sz w:val="20"/>
                <w:szCs w:val="20"/>
                <w:color w:val="auto"/>
              </w:rPr>
            </w:pPr>
            <w:r>
              <w:rPr>
                <w:rFonts w:ascii="Arial" w:cs="Arial" w:eastAsia="Arial" w:hAnsi="Arial"/>
                <w:sz w:val="15"/>
                <w:szCs w:val="15"/>
                <w:color w:val="auto"/>
              </w:rPr>
              <w:t>Provision for credit losses</w:t>
            </w:r>
          </w:p>
        </w:tc>
        <w:tc>
          <w:tcPr>
            <w:tcW w:w="1120" w:type="dxa"/>
            <w:vAlign w:val="bottom"/>
            <w:tcBorders>
              <w:top w:val="single" w:sz="8" w:color="DADAE7"/>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(0.6)</w:t>
            </w:r>
          </w:p>
        </w:tc>
        <w:tc>
          <w:tcPr>
            <w:tcW w:w="1620" w:type="dxa"/>
            <w:vAlign w:val="bottom"/>
            <w:tcBorders>
              <w:top w:val="single" w:sz="8" w:color="DADAE7"/>
              <w:bottom w:val="single" w:sz="8" w:color="DADAE7"/>
            </w:tcBorders>
          </w:tcPr>
          <w:p>
            <w:pPr>
              <w:jc w:val="right"/>
              <w:ind w:right="346"/>
              <w:spacing w:after="0"/>
              <w:rPr>
                <w:sz w:val="20"/>
                <w:szCs w:val="20"/>
                <w:color w:val="auto"/>
              </w:rPr>
            </w:pPr>
            <w:r>
              <w:rPr>
                <w:rFonts w:ascii="Arial" w:cs="Arial" w:eastAsia="Arial" w:hAnsi="Arial"/>
                <w:sz w:val="15"/>
                <w:szCs w:val="15"/>
                <w:color w:val="auto"/>
              </w:rPr>
              <w:t>—</w:t>
            </w:r>
          </w:p>
        </w:tc>
        <w:tc>
          <w:tcPr>
            <w:tcW w:w="1200" w:type="dxa"/>
            <w:vAlign w:val="bottom"/>
            <w:tcBorders>
              <w:top w:val="single" w:sz="8" w:color="DADAE7"/>
              <w:bottom w:val="single" w:sz="8" w:color="DADAE7"/>
            </w:tcBorders>
          </w:tcPr>
          <w:p>
            <w:pPr>
              <w:jc w:val="right"/>
              <w:ind w:right="85"/>
              <w:spacing w:after="0"/>
              <w:rPr>
                <w:sz w:val="20"/>
                <w:szCs w:val="20"/>
                <w:color w:val="auto"/>
              </w:rPr>
            </w:pPr>
            <w:r>
              <w:rPr>
                <w:rFonts w:ascii="Arial" w:cs="Arial" w:eastAsia="Arial" w:hAnsi="Arial"/>
                <w:sz w:val="15"/>
                <w:szCs w:val="15"/>
                <w:color w:val="auto"/>
              </w:rPr>
              <w:t>n.m.</w:t>
            </w:r>
            <w:r>
              <w:rPr>
                <w:rFonts w:ascii="Arial" w:cs="Arial" w:eastAsia="Arial" w:hAnsi="Arial"/>
                <w:sz w:val="19"/>
                <w:szCs w:val="19"/>
                <w:color w:val="auto"/>
                <w:vertAlign w:val="superscript"/>
              </w:rPr>
              <w:t>3</w:t>
            </w:r>
          </w:p>
        </w:tc>
        <w:tc>
          <w:tcPr>
            <w:tcW w:w="1140" w:type="dxa"/>
            <w:vAlign w:val="bottom"/>
            <w:tcBorders>
              <w:top w:val="single" w:sz="8" w:color="DADAE7"/>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(0.6)</w:t>
            </w:r>
          </w:p>
        </w:tc>
        <w:tc>
          <w:tcPr>
            <w:tcW w:w="1620" w:type="dxa"/>
            <w:vAlign w:val="bottom"/>
            <w:tcBorders>
              <w:top w:val="single" w:sz="8" w:color="DADAE7"/>
              <w:bottom w:val="single" w:sz="8" w:color="DADAE7"/>
            </w:tcBorders>
          </w:tcPr>
          <w:p>
            <w:pPr>
              <w:jc w:val="right"/>
              <w:ind w:right="286"/>
              <w:spacing w:after="0"/>
              <w:rPr>
                <w:sz w:val="20"/>
                <w:szCs w:val="20"/>
                <w:color w:val="auto"/>
              </w:rPr>
            </w:pPr>
            <w:r>
              <w:rPr>
                <w:rFonts w:ascii="Arial" w:cs="Arial" w:eastAsia="Arial" w:hAnsi="Arial"/>
                <w:sz w:val="15"/>
                <w:szCs w:val="15"/>
                <w:color w:val="auto"/>
              </w:rPr>
              <w:t>(0.3)</w:t>
            </w:r>
          </w:p>
        </w:tc>
        <w:tc>
          <w:tcPr>
            <w:tcW w:w="1060" w:type="dxa"/>
            <w:vAlign w:val="bottom"/>
            <w:tcBorders>
              <w:top w:val="single" w:sz="8" w:color="DADAE7"/>
              <w:bottom w:val="single" w:sz="8" w:color="DADAE7"/>
            </w:tcBorders>
          </w:tcPr>
          <w:p>
            <w:pPr>
              <w:jc w:val="right"/>
              <w:spacing w:after="0"/>
              <w:rPr>
                <w:sz w:val="20"/>
                <w:szCs w:val="20"/>
                <w:color w:val="auto"/>
              </w:rPr>
            </w:pPr>
            <w:r>
              <w:rPr>
                <w:rFonts w:ascii="Arial" w:cs="Arial" w:eastAsia="Arial" w:hAnsi="Arial"/>
                <w:sz w:val="15"/>
                <w:szCs w:val="15"/>
                <w:color w:val="auto"/>
              </w:rPr>
              <w:t>100%</w:t>
            </w:r>
          </w:p>
        </w:tc>
      </w:tr>
      <w:tr>
        <w:trPr>
          <w:trHeight w:val="236"/>
        </w:trPr>
        <w:tc>
          <w:tcPr>
            <w:tcW w:w="3460" w:type="dxa"/>
            <w:vAlign w:val="bottom"/>
          </w:tcPr>
          <w:p>
            <w:pPr>
              <w:ind w:left="20"/>
              <w:spacing w:after="0"/>
              <w:rPr>
                <w:sz w:val="20"/>
                <w:szCs w:val="20"/>
                <w:color w:val="auto"/>
              </w:rPr>
            </w:pPr>
            <w:r>
              <w:rPr>
                <w:rFonts w:ascii="Arial" w:cs="Arial" w:eastAsia="Arial" w:hAnsi="Arial"/>
                <w:sz w:val="15"/>
                <w:szCs w:val="15"/>
                <w:color w:val="auto"/>
              </w:rPr>
              <w:t>Depreciation and amortisation</w:t>
            </w:r>
          </w:p>
        </w:tc>
        <w:tc>
          <w:tcPr>
            <w:tcW w:w="11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(0.2)</w:t>
            </w:r>
          </w:p>
        </w:tc>
        <w:tc>
          <w:tcPr>
            <w:tcW w:w="1620" w:type="dxa"/>
            <w:vAlign w:val="bottom"/>
          </w:tcPr>
          <w:p>
            <w:pPr>
              <w:jc w:val="right"/>
              <w:ind w:right="306"/>
              <w:spacing w:after="0"/>
              <w:rPr>
                <w:sz w:val="20"/>
                <w:szCs w:val="20"/>
                <w:color w:val="auto"/>
              </w:rPr>
            </w:pPr>
            <w:r>
              <w:rPr>
                <w:rFonts w:ascii="Arial" w:cs="Arial" w:eastAsia="Arial" w:hAnsi="Arial"/>
                <w:sz w:val="15"/>
                <w:szCs w:val="15"/>
                <w:color w:val="auto"/>
              </w:rPr>
              <w:t>(0.3)</w:t>
            </w:r>
          </w:p>
        </w:tc>
        <w:tc>
          <w:tcPr>
            <w:tcW w:w="1200" w:type="dxa"/>
            <w:vAlign w:val="bottom"/>
          </w:tcPr>
          <w:p>
            <w:pPr>
              <w:jc w:val="right"/>
              <w:ind w:right="85"/>
              <w:spacing w:after="0"/>
              <w:rPr>
                <w:sz w:val="20"/>
                <w:szCs w:val="20"/>
                <w:color w:val="auto"/>
              </w:rPr>
            </w:pPr>
            <w:r>
              <w:rPr>
                <w:rFonts w:ascii="Arial" w:cs="Arial" w:eastAsia="Arial" w:hAnsi="Arial"/>
                <w:sz w:val="15"/>
                <w:szCs w:val="15"/>
                <w:color w:val="auto"/>
              </w:rPr>
              <w:t>(33)%</w:t>
            </w:r>
          </w:p>
        </w:tc>
        <w:tc>
          <w:tcPr>
            <w:tcW w:w="114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(0.3)</w:t>
            </w:r>
          </w:p>
        </w:tc>
        <w:tc>
          <w:tcPr>
            <w:tcW w:w="1620" w:type="dxa"/>
            <w:vAlign w:val="bottom"/>
          </w:tcPr>
          <w:p>
            <w:pPr>
              <w:jc w:val="right"/>
              <w:ind w:right="286"/>
              <w:spacing w:after="0"/>
              <w:rPr>
                <w:sz w:val="20"/>
                <w:szCs w:val="20"/>
                <w:color w:val="auto"/>
              </w:rPr>
            </w:pPr>
            <w:r>
              <w:rPr>
                <w:rFonts w:ascii="Arial" w:cs="Arial" w:eastAsia="Arial" w:hAnsi="Arial"/>
                <w:sz w:val="15"/>
                <w:szCs w:val="15"/>
                <w:color w:val="auto"/>
              </w:rPr>
              <w:t>(0.5)</w:t>
            </w:r>
          </w:p>
        </w:tc>
        <w:tc>
          <w:tcPr>
            <w:tcW w:w="1060" w:type="dxa"/>
            <w:vAlign w:val="bottom"/>
          </w:tcPr>
          <w:p>
            <w:pPr>
              <w:jc w:val="right"/>
              <w:spacing w:after="0"/>
              <w:rPr>
                <w:sz w:val="20"/>
                <w:szCs w:val="20"/>
                <w:color w:val="auto"/>
              </w:rPr>
            </w:pPr>
            <w:r>
              <w:rPr>
                <w:rFonts w:ascii="Arial" w:cs="Arial" w:eastAsia="Arial" w:hAnsi="Arial"/>
                <w:sz w:val="15"/>
                <w:szCs w:val="15"/>
                <w:color w:val="auto"/>
              </w:rPr>
              <w:t>(40)%</w:t>
            </w:r>
          </w:p>
        </w:tc>
      </w:tr>
      <w:tr>
        <w:trPr>
          <w:trHeight w:val="237"/>
        </w:trPr>
        <w:tc>
          <w:tcPr>
            <w:tcW w:w="3460" w:type="dxa"/>
            <w:vAlign w:val="bottom"/>
            <w:tcBorders>
              <w:top w:val="single" w:sz="8" w:color="DADAE7"/>
              <w:bottom w:val="single" w:sz="8" w:color="793690"/>
            </w:tcBorders>
          </w:tcPr>
          <w:p>
            <w:pPr>
              <w:ind w:left="20"/>
              <w:spacing w:after="0"/>
              <w:rPr>
                <w:sz w:val="20"/>
                <w:szCs w:val="20"/>
                <w:color w:val="auto"/>
              </w:rPr>
            </w:pPr>
            <w:r>
              <w:rPr>
                <w:rFonts w:ascii="Arial" w:cs="Arial" w:eastAsia="Arial" w:hAnsi="Arial"/>
                <w:sz w:val="15"/>
                <w:szCs w:val="15"/>
                <w:color w:val="auto"/>
              </w:rPr>
              <w:t>Other income</w:t>
            </w:r>
          </w:p>
        </w:tc>
        <w:tc>
          <w:tcPr>
            <w:tcW w:w="1120" w:type="dxa"/>
            <w:vAlign w:val="bottom"/>
            <w:tcBorders>
              <w:top w:val="single" w:sz="8" w:color="DADAE7"/>
              <w:bottom w:val="single" w:sz="8" w:color="793690"/>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0.2</w:t>
            </w:r>
          </w:p>
        </w:tc>
        <w:tc>
          <w:tcPr>
            <w:tcW w:w="1620" w:type="dxa"/>
            <w:vAlign w:val="bottom"/>
            <w:tcBorders>
              <w:top w:val="single" w:sz="8" w:color="DADAE7"/>
              <w:bottom w:val="single" w:sz="8" w:color="793690"/>
            </w:tcBorders>
          </w:tcPr>
          <w:p>
            <w:pPr>
              <w:jc w:val="right"/>
              <w:ind w:right="346"/>
              <w:spacing w:after="0"/>
              <w:rPr>
                <w:sz w:val="20"/>
                <w:szCs w:val="20"/>
                <w:color w:val="auto"/>
              </w:rPr>
            </w:pPr>
            <w:r>
              <w:rPr>
                <w:rFonts w:ascii="Arial" w:cs="Arial" w:eastAsia="Arial" w:hAnsi="Arial"/>
                <w:sz w:val="15"/>
                <w:szCs w:val="15"/>
                <w:color w:val="auto"/>
              </w:rPr>
              <w:t>—</w:t>
            </w:r>
          </w:p>
        </w:tc>
        <w:tc>
          <w:tcPr>
            <w:tcW w:w="1200" w:type="dxa"/>
            <w:vAlign w:val="bottom"/>
            <w:tcBorders>
              <w:top w:val="single" w:sz="8" w:color="DADAE7"/>
              <w:bottom w:val="single" w:sz="8" w:color="793690"/>
            </w:tcBorders>
          </w:tcPr>
          <w:p>
            <w:pPr>
              <w:jc w:val="right"/>
              <w:ind w:right="85"/>
              <w:spacing w:after="0"/>
              <w:rPr>
                <w:sz w:val="20"/>
                <w:szCs w:val="20"/>
                <w:color w:val="auto"/>
              </w:rPr>
            </w:pPr>
            <w:r>
              <w:rPr>
                <w:rFonts w:ascii="Arial" w:cs="Arial" w:eastAsia="Arial" w:hAnsi="Arial"/>
                <w:sz w:val="15"/>
                <w:szCs w:val="15"/>
                <w:color w:val="auto"/>
              </w:rPr>
              <w:t>n.m.</w:t>
            </w:r>
            <w:r>
              <w:rPr>
                <w:rFonts w:ascii="Arial" w:cs="Arial" w:eastAsia="Arial" w:hAnsi="Arial"/>
                <w:sz w:val="19"/>
                <w:szCs w:val="19"/>
                <w:color w:val="auto"/>
                <w:vertAlign w:val="superscript"/>
              </w:rPr>
              <w:t>3</w:t>
            </w:r>
          </w:p>
        </w:tc>
        <w:tc>
          <w:tcPr>
            <w:tcW w:w="1140" w:type="dxa"/>
            <w:vAlign w:val="bottom"/>
            <w:tcBorders>
              <w:top w:val="single" w:sz="8" w:color="DADAE7"/>
              <w:bottom w:val="single" w:sz="8" w:color="793690"/>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0.2</w:t>
            </w:r>
          </w:p>
        </w:tc>
        <w:tc>
          <w:tcPr>
            <w:tcW w:w="1620" w:type="dxa"/>
            <w:vAlign w:val="bottom"/>
            <w:tcBorders>
              <w:top w:val="single" w:sz="8" w:color="DADAE7"/>
              <w:bottom w:val="single" w:sz="8" w:color="793690"/>
            </w:tcBorders>
          </w:tcPr>
          <w:p>
            <w:pPr>
              <w:jc w:val="right"/>
              <w:ind w:right="326"/>
              <w:spacing w:after="0"/>
              <w:rPr>
                <w:sz w:val="20"/>
                <w:szCs w:val="20"/>
                <w:color w:val="auto"/>
              </w:rPr>
            </w:pPr>
            <w:r>
              <w:rPr>
                <w:rFonts w:ascii="Arial" w:cs="Arial" w:eastAsia="Arial" w:hAnsi="Arial"/>
                <w:sz w:val="15"/>
                <w:szCs w:val="15"/>
                <w:color w:val="auto"/>
              </w:rPr>
              <w:t>—</w:t>
            </w:r>
          </w:p>
        </w:tc>
        <w:tc>
          <w:tcPr>
            <w:tcW w:w="1060" w:type="dxa"/>
            <w:vAlign w:val="bottom"/>
            <w:tcBorders>
              <w:top w:val="single" w:sz="8" w:color="DADAE7"/>
              <w:bottom w:val="single" w:sz="8" w:color="793690"/>
            </w:tcBorders>
          </w:tcPr>
          <w:p>
            <w:pPr>
              <w:jc w:val="right"/>
              <w:spacing w:after="0"/>
              <w:rPr>
                <w:sz w:val="20"/>
                <w:szCs w:val="20"/>
                <w:color w:val="auto"/>
              </w:rPr>
            </w:pPr>
            <w:r>
              <w:rPr>
                <w:rFonts w:ascii="Arial" w:cs="Arial" w:eastAsia="Arial" w:hAnsi="Arial"/>
                <w:sz w:val="15"/>
                <w:szCs w:val="15"/>
                <w:color w:val="auto"/>
              </w:rPr>
              <w:t>n.m.</w:t>
            </w:r>
            <w:r>
              <w:rPr>
                <w:rFonts w:ascii="Arial" w:cs="Arial" w:eastAsia="Arial" w:hAnsi="Arial"/>
                <w:sz w:val="19"/>
                <w:szCs w:val="19"/>
                <w:color w:val="auto"/>
                <w:vertAlign w:val="superscript"/>
              </w:rPr>
              <w:t>3</w:t>
            </w:r>
          </w:p>
        </w:tc>
      </w:tr>
      <w:tr>
        <w:trPr>
          <w:trHeight w:val="277"/>
        </w:trPr>
        <w:tc>
          <w:tcPr>
            <w:tcW w:w="3460" w:type="dxa"/>
            <w:vAlign w:val="bottom"/>
            <w:tcBorders>
              <w:bottom w:val="single" w:sz="8" w:color="DADAE7"/>
            </w:tcBorders>
          </w:tcPr>
          <w:p>
            <w:pPr>
              <w:ind w:left="20"/>
              <w:spacing w:after="0"/>
              <w:rPr>
                <w:sz w:val="20"/>
                <w:szCs w:val="20"/>
                <w:color w:val="auto"/>
              </w:rPr>
            </w:pPr>
            <w:r>
              <w:rPr>
                <w:rFonts w:ascii="Arial" w:cs="Arial" w:eastAsia="Arial" w:hAnsi="Arial"/>
                <w:sz w:val="15"/>
                <w:szCs w:val="15"/>
                <w:b w:val="1"/>
                <w:bCs w:val="1"/>
                <w:color w:val="auto"/>
              </w:rPr>
              <w:t>Adjusted Profit Before Tax ($m)</w:t>
            </w:r>
            <w:r>
              <w:rPr>
                <w:rFonts w:ascii="Arial" w:cs="Arial" w:eastAsia="Arial" w:hAnsi="Arial"/>
                <w:sz w:val="19"/>
                <w:szCs w:val="19"/>
                <w:b w:val="1"/>
                <w:bCs w:val="1"/>
                <w:color w:val="auto"/>
                <w:vertAlign w:val="superscript"/>
              </w:rPr>
              <w:t>1</w:t>
            </w:r>
          </w:p>
        </w:tc>
        <w:tc>
          <w:tcPr>
            <w:tcW w:w="112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69.0</w:t>
            </w:r>
          </w:p>
        </w:tc>
        <w:tc>
          <w:tcPr>
            <w:tcW w:w="1620" w:type="dxa"/>
            <w:vAlign w:val="bottom"/>
            <w:tcBorders>
              <w:bottom w:val="single" w:sz="8" w:color="DADAE7"/>
            </w:tcBorders>
          </w:tcPr>
          <w:p>
            <w:pPr>
              <w:jc w:val="right"/>
              <w:ind w:right="346"/>
              <w:spacing w:after="0"/>
              <w:rPr>
                <w:sz w:val="20"/>
                <w:szCs w:val="20"/>
                <w:color w:val="auto"/>
              </w:rPr>
            </w:pPr>
            <w:r>
              <w:rPr>
                <w:rFonts w:ascii="Arial" w:cs="Arial" w:eastAsia="Arial" w:hAnsi="Arial"/>
                <w:sz w:val="15"/>
                <w:szCs w:val="15"/>
                <w:color w:val="auto"/>
              </w:rPr>
              <w:t>22.4</w:t>
            </w:r>
          </w:p>
        </w:tc>
        <w:tc>
          <w:tcPr>
            <w:tcW w:w="1200" w:type="dxa"/>
            <w:vAlign w:val="bottom"/>
            <w:tcBorders>
              <w:bottom w:val="single" w:sz="8" w:color="DADAE7"/>
            </w:tcBorders>
          </w:tcPr>
          <w:p>
            <w:pPr>
              <w:jc w:val="right"/>
              <w:ind w:right="85"/>
              <w:spacing w:after="0"/>
              <w:rPr>
                <w:sz w:val="20"/>
                <w:szCs w:val="20"/>
                <w:color w:val="auto"/>
              </w:rPr>
            </w:pPr>
            <w:r>
              <w:rPr>
                <w:rFonts w:ascii="Arial" w:cs="Arial" w:eastAsia="Arial" w:hAnsi="Arial"/>
                <w:sz w:val="15"/>
                <w:szCs w:val="15"/>
                <w:color w:val="auto"/>
              </w:rPr>
              <w:t>208 %</w:t>
            </w:r>
          </w:p>
        </w:tc>
        <w:tc>
          <w:tcPr>
            <w:tcW w:w="114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125.7</w:t>
            </w:r>
          </w:p>
        </w:tc>
        <w:tc>
          <w:tcPr>
            <w:tcW w:w="1620" w:type="dxa"/>
            <w:vAlign w:val="bottom"/>
            <w:tcBorders>
              <w:bottom w:val="single" w:sz="8" w:color="DADAE7"/>
            </w:tcBorders>
          </w:tcPr>
          <w:p>
            <w:pPr>
              <w:jc w:val="right"/>
              <w:ind w:right="326"/>
              <w:spacing w:after="0"/>
              <w:rPr>
                <w:sz w:val="20"/>
                <w:szCs w:val="20"/>
                <w:color w:val="auto"/>
              </w:rPr>
            </w:pPr>
            <w:r>
              <w:rPr>
                <w:rFonts w:ascii="Arial" w:cs="Arial" w:eastAsia="Arial" w:hAnsi="Arial"/>
                <w:sz w:val="15"/>
                <w:szCs w:val="15"/>
                <w:color w:val="auto"/>
              </w:rPr>
              <w:t>44.9</w:t>
            </w:r>
          </w:p>
        </w:tc>
        <w:tc>
          <w:tcPr>
            <w:tcW w:w="1060" w:type="dxa"/>
            <w:vAlign w:val="bottom"/>
            <w:tcBorders>
              <w:bottom w:val="single" w:sz="8" w:color="DADAE7"/>
            </w:tcBorders>
          </w:tcPr>
          <w:p>
            <w:pPr>
              <w:jc w:val="right"/>
              <w:spacing w:after="0"/>
              <w:rPr>
                <w:sz w:val="20"/>
                <w:szCs w:val="20"/>
                <w:color w:val="auto"/>
              </w:rPr>
            </w:pPr>
            <w:r>
              <w:rPr>
                <w:rFonts w:ascii="Arial" w:cs="Arial" w:eastAsia="Arial" w:hAnsi="Arial"/>
                <w:sz w:val="15"/>
                <w:szCs w:val="15"/>
                <w:color w:val="auto"/>
              </w:rPr>
              <w:t>180 %</w:t>
            </w:r>
          </w:p>
        </w:tc>
      </w:tr>
      <w:tr>
        <w:trPr>
          <w:trHeight w:val="237"/>
        </w:trPr>
        <w:tc>
          <w:tcPr>
            <w:tcW w:w="346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Adjusted Profit Before Tax Margin</w:t>
            </w:r>
            <w:r>
              <w:rPr>
                <w:rFonts w:ascii="Arial" w:cs="Arial" w:eastAsia="Arial" w:hAnsi="Arial"/>
                <w:sz w:val="19"/>
                <w:szCs w:val="19"/>
                <w:color w:val="auto"/>
                <w:vertAlign w:val="superscript"/>
              </w:rPr>
              <w:t>1</w:t>
            </w:r>
          </w:p>
        </w:tc>
        <w:tc>
          <w:tcPr>
            <w:tcW w:w="112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26%</w:t>
            </w:r>
          </w:p>
        </w:tc>
        <w:tc>
          <w:tcPr>
            <w:tcW w:w="1620" w:type="dxa"/>
            <w:vAlign w:val="bottom"/>
            <w:tcBorders>
              <w:bottom w:val="single" w:sz="8" w:color="DADAE7"/>
            </w:tcBorders>
          </w:tcPr>
          <w:p>
            <w:pPr>
              <w:jc w:val="right"/>
              <w:ind w:right="286"/>
              <w:spacing w:after="0"/>
              <w:rPr>
                <w:sz w:val="20"/>
                <w:szCs w:val="20"/>
                <w:color w:val="auto"/>
              </w:rPr>
            </w:pPr>
            <w:r>
              <w:rPr>
                <w:rFonts w:ascii="Arial" w:cs="Arial" w:eastAsia="Arial" w:hAnsi="Arial"/>
                <w:sz w:val="15"/>
                <w:szCs w:val="15"/>
                <w:color w:val="auto"/>
              </w:rPr>
              <w:t>14%</w:t>
            </w:r>
          </w:p>
        </w:tc>
        <w:tc>
          <w:tcPr>
            <w:tcW w:w="1200" w:type="dxa"/>
            <w:vAlign w:val="bottom"/>
            <w:tcBorders>
              <w:bottom w:val="single" w:sz="8" w:color="DADAE7"/>
            </w:tcBorders>
          </w:tcPr>
          <w:p>
            <w:pPr>
              <w:jc w:val="right"/>
              <w:ind w:right="85"/>
              <w:spacing w:after="0"/>
              <w:rPr>
                <w:sz w:val="20"/>
                <w:szCs w:val="20"/>
                <w:color w:val="auto"/>
              </w:rPr>
            </w:pPr>
            <w:r>
              <w:rPr>
                <w:rFonts w:ascii="Arial" w:cs="Arial" w:eastAsia="Arial" w:hAnsi="Arial"/>
                <w:sz w:val="15"/>
                <w:szCs w:val="15"/>
                <w:color w:val="auto"/>
              </w:rPr>
              <w:t>1,200 bps</w:t>
            </w:r>
          </w:p>
        </w:tc>
        <w:tc>
          <w:tcPr>
            <w:tcW w:w="114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25%</w:t>
            </w:r>
          </w:p>
        </w:tc>
        <w:tc>
          <w:tcPr>
            <w:tcW w:w="1620" w:type="dxa"/>
            <w:vAlign w:val="bottom"/>
            <w:tcBorders>
              <w:bottom w:val="single" w:sz="8" w:color="DADAE7"/>
            </w:tcBorders>
          </w:tcPr>
          <w:p>
            <w:pPr>
              <w:jc w:val="right"/>
              <w:ind w:right="286"/>
              <w:spacing w:after="0"/>
              <w:rPr>
                <w:sz w:val="20"/>
                <w:szCs w:val="20"/>
                <w:color w:val="auto"/>
              </w:rPr>
            </w:pPr>
            <w:r>
              <w:rPr>
                <w:rFonts w:ascii="Arial" w:cs="Arial" w:eastAsia="Arial" w:hAnsi="Arial"/>
                <w:sz w:val="15"/>
                <w:szCs w:val="15"/>
                <w:color w:val="auto"/>
              </w:rPr>
              <w:t>13%</w:t>
            </w:r>
          </w:p>
        </w:tc>
        <w:tc>
          <w:tcPr>
            <w:tcW w:w="1060" w:type="dxa"/>
            <w:vAlign w:val="bottom"/>
            <w:tcBorders>
              <w:bottom w:val="single" w:sz="8" w:color="DADAE7"/>
            </w:tcBorders>
          </w:tcPr>
          <w:p>
            <w:pPr>
              <w:jc w:val="right"/>
              <w:spacing w:after="0"/>
              <w:rPr>
                <w:sz w:val="20"/>
                <w:szCs w:val="20"/>
                <w:color w:val="auto"/>
              </w:rPr>
            </w:pPr>
            <w:r>
              <w:rPr>
                <w:rFonts w:ascii="Arial" w:cs="Arial" w:eastAsia="Arial" w:hAnsi="Arial"/>
                <w:sz w:val="15"/>
                <w:szCs w:val="15"/>
                <w:color w:val="auto"/>
              </w:rPr>
              <w:t>1,200 bps</w:t>
            </w:r>
          </w:p>
        </w:tc>
      </w:tr>
      <w:tr>
        <w:trPr>
          <w:trHeight w:val="304"/>
        </w:trPr>
        <w:tc>
          <w:tcPr>
            <w:tcW w:w="3460" w:type="dxa"/>
            <w:vAlign w:val="bottom"/>
            <w:tcBorders>
              <w:bottom w:val="single" w:sz="8" w:color="793690"/>
            </w:tcBorders>
          </w:tcPr>
          <w:p>
            <w:pPr>
              <w:ind w:left="20"/>
              <w:spacing w:after="0"/>
              <w:rPr>
                <w:sz w:val="20"/>
                <w:szCs w:val="20"/>
                <w:color w:val="auto"/>
              </w:rPr>
            </w:pPr>
            <w:r>
              <w:rPr>
                <w:rFonts w:ascii="Arial" w:cs="Arial" w:eastAsia="Arial" w:hAnsi="Arial"/>
                <w:sz w:val="15"/>
                <w:szCs w:val="15"/>
                <w:color w:val="auto"/>
              </w:rPr>
              <w:t>Front office headcount (No.)</w:t>
            </w:r>
            <w:r>
              <w:rPr>
                <w:rFonts w:ascii="Arial" w:cs="Arial" w:eastAsia="Arial" w:hAnsi="Arial"/>
                <w:sz w:val="19"/>
                <w:szCs w:val="19"/>
                <w:color w:val="auto"/>
                <w:vertAlign w:val="superscript"/>
              </w:rPr>
              <w:t>2</w:t>
            </w:r>
          </w:p>
        </w:tc>
        <w:tc>
          <w:tcPr>
            <w:tcW w:w="1120" w:type="dxa"/>
            <w:vAlign w:val="bottom"/>
            <w:tcBorders>
              <w:bottom w:val="single" w:sz="8" w:color="793690"/>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677</w:t>
            </w:r>
          </w:p>
        </w:tc>
        <w:tc>
          <w:tcPr>
            <w:tcW w:w="1620" w:type="dxa"/>
            <w:vAlign w:val="bottom"/>
            <w:tcBorders>
              <w:bottom w:val="single" w:sz="8" w:color="793690"/>
            </w:tcBorders>
          </w:tcPr>
          <w:p>
            <w:pPr>
              <w:jc w:val="right"/>
              <w:ind w:right="346"/>
              <w:spacing w:after="0"/>
              <w:rPr>
                <w:sz w:val="20"/>
                <w:szCs w:val="20"/>
                <w:color w:val="auto"/>
              </w:rPr>
            </w:pPr>
            <w:r>
              <w:rPr>
                <w:rFonts w:ascii="Arial" w:cs="Arial" w:eastAsia="Arial" w:hAnsi="Arial"/>
                <w:sz w:val="15"/>
                <w:szCs w:val="15"/>
                <w:color w:val="auto"/>
              </w:rPr>
              <w:t>673</w:t>
            </w:r>
          </w:p>
        </w:tc>
        <w:tc>
          <w:tcPr>
            <w:tcW w:w="1200" w:type="dxa"/>
            <w:vAlign w:val="bottom"/>
            <w:tcBorders>
              <w:bottom w:val="single" w:sz="8" w:color="793690"/>
            </w:tcBorders>
          </w:tcPr>
          <w:p>
            <w:pPr>
              <w:jc w:val="right"/>
              <w:ind w:right="85"/>
              <w:spacing w:after="0"/>
              <w:rPr>
                <w:sz w:val="20"/>
                <w:szCs w:val="20"/>
                <w:color w:val="auto"/>
              </w:rPr>
            </w:pPr>
            <w:r>
              <w:rPr>
                <w:rFonts w:ascii="Arial" w:cs="Arial" w:eastAsia="Arial" w:hAnsi="Arial"/>
                <w:sz w:val="15"/>
                <w:szCs w:val="15"/>
                <w:color w:val="auto"/>
              </w:rPr>
              <w:t>1%</w:t>
            </w:r>
          </w:p>
        </w:tc>
        <w:tc>
          <w:tcPr>
            <w:tcW w:w="1140" w:type="dxa"/>
            <w:vAlign w:val="bottom"/>
            <w:tcBorders>
              <w:bottom w:val="single" w:sz="8" w:color="793690"/>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673</w:t>
            </w:r>
          </w:p>
        </w:tc>
        <w:tc>
          <w:tcPr>
            <w:tcW w:w="1620" w:type="dxa"/>
            <w:vAlign w:val="bottom"/>
            <w:tcBorders>
              <w:bottom w:val="single" w:sz="8" w:color="793690"/>
            </w:tcBorders>
          </w:tcPr>
          <w:p>
            <w:pPr>
              <w:jc w:val="right"/>
              <w:ind w:right="326"/>
              <w:spacing w:after="0"/>
              <w:rPr>
                <w:sz w:val="20"/>
                <w:szCs w:val="20"/>
                <w:color w:val="auto"/>
              </w:rPr>
            </w:pPr>
            <w:r>
              <w:rPr>
                <w:rFonts w:ascii="Arial" w:cs="Arial" w:eastAsia="Arial" w:hAnsi="Arial"/>
                <w:sz w:val="15"/>
                <w:szCs w:val="15"/>
                <w:color w:val="auto"/>
              </w:rPr>
              <w:t>677</w:t>
            </w:r>
          </w:p>
        </w:tc>
        <w:tc>
          <w:tcPr>
            <w:tcW w:w="1060" w:type="dxa"/>
            <w:vAlign w:val="bottom"/>
            <w:tcBorders>
              <w:bottom w:val="single" w:sz="8" w:color="793690"/>
            </w:tcBorders>
          </w:tcPr>
          <w:p>
            <w:pPr>
              <w:jc w:val="right"/>
              <w:spacing w:after="0"/>
              <w:rPr>
                <w:sz w:val="20"/>
                <w:szCs w:val="20"/>
                <w:color w:val="auto"/>
              </w:rPr>
            </w:pPr>
            <w:r>
              <w:rPr>
                <w:rFonts w:ascii="Arial" w:cs="Arial" w:eastAsia="Arial" w:hAnsi="Arial"/>
                <w:sz w:val="15"/>
                <w:szCs w:val="15"/>
                <w:color w:val="auto"/>
              </w:rPr>
              <w:t>(1)%</w:t>
            </w:r>
          </w:p>
        </w:tc>
      </w:tr>
    </w:tbl>
    <w:p>
      <w:pPr>
        <w:spacing w:after="0" w:line="297" w:lineRule="exact"/>
        <w:rPr>
          <w:sz w:val="20"/>
          <w:szCs w:val="20"/>
          <w:color w:val="auto"/>
        </w:rPr>
      </w:pPr>
    </w:p>
    <w:p>
      <w:pPr>
        <w:ind w:left="160" w:right="40" w:hanging="152"/>
        <w:spacing w:after="0" w:line="285" w:lineRule="auto"/>
        <w:tabs>
          <w:tab w:leader="none" w:pos="148" w:val="left"/>
        </w:tabs>
        <w:numPr>
          <w:ilvl w:val="0"/>
          <w:numId w:val="11"/>
        </w:numPr>
        <w:rPr>
          <w:rFonts w:ascii="Arial" w:cs="Arial" w:eastAsia="Arial" w:hAnsi="Arial"/>
          <w:sz w:val="11"/>
          <w:szCs w:val="11"/>
          <w:color w:val="auto"/>
        </w:rPr>
      </w:pPr>
      <w:r>
        <w:rPr>
          <w:rFonts w:ascii="Arial" w:cs="Arial" w:eastAsia="Arial" w:hAnsi="Arial"/>
          <w:sz w:val="11"/>
          <w:szCs w:val="11"/>
          <w:color w:val="auto"/>
        </w:rPr>
        <w:t>These are non-IFRS financial measures. See Appendix 1 “Non-IFRS Financial Measures and Key Performance Indicators” for additional information and for a reconciliation of each such IFRS measure to its most directly comparable IFRS measure.</w:t>
      </w:r>
    </w:p>
    <w:p>
      <w:pPr>
        <w:spacing w:after="0" w:line="10" w:lineRule="exact"/>
        <w:rPr>
          <w:rFonts w:ascii="Arial" w:cs="Arial" w:eastAsia="Arial" w:hAnsi="Arial"/>
          <w:sz w:val="11"/>
          <w:szCs w:val="11"/>
          <w:color w:val="auto"/>
        </w:rPr>
      </w:pPr>
    </w:p>
    <w:p>
      <w:pPr>
        <w:ind w:left="220" w:hanging="212"/>
        <w:spacing w:after="0"/>
        <w:tabs>
          <w:tab w:leader="none" w:pos="220" w:val="left"/>
        </w:tabs>
        <w:numPr>
          <w:ilvl w:val="0"/>
          <w:numId w:val="11"/>
        </w:numPr>
        <w:rPr>
          <w:rFonts w:ascii="Arial" w:cs="Arial" w:eastAsia="Arial" w:hAnsi="Arial"/>
          <w:sz w:val="11"/>
          <w:szCs w:val="11"/>
          <w:color w:val="auto"/>
        </w:rPr>
      </w:pPr>
      <w:r>
        <w:rPr>
          <w:rFonts w:ascii="Arial" w:cs="Arial" w:eastAsia="Arial" w:hAnsi="Arial"/>
          <w:sz w:val="11"/>
          <w:szCs w:val="11"/>
          <w:color w:val="auto"/>
        </w:rPr>
        <w:t>The headcount is the average for the period.</w:t>
      </w:r>
    </w:p>
    <w:p>
      <w:pPr>
        <w:spacing w:after="0" w:line="62" w:lineRule="exact"/>
        <w:rPr>
          <w:rFonts w:ascii="Arial" w:cs="Arial" w:eastAsia="Arial" w:hAnsi="Arial"/>
          <w:sz w:val="11"/>
          <w:szCs w:val="11"/>
          <w:color w:val="auto"/>
        </w:rPr>
      </w:pPr>
    </w:p>
    <w:p>
      <w:pPr>
        <w:ind w:left="120" w:hanging="112"/>
        <w:spacing w:after="0"/>
        <w:tabs>
          <w:tab w:leader="none" w:pos="120" w:val="left"/>
        </w:tabs>
        <w:numPr>
          <w:ilvl w:val="0"/>
          <w:numId w:val="11"/>
        </w:numPr>
        <w:rPr>
          <w:rFonts w:ascii="Arial" w:cs="Arial" w:eastAsia="Arial" w:hAnsi="Arial"/>
          <w:sz w:val="11"/>
          <w:szCs w:val="11"/>
          <w:color w:val="auto"/>
        </w:rPr>
      </w:pPr>
      <w:r>
        <w:rPr>
          <w:rFonts w:ascii="Arial" w:cs="Arial" w:eastAsia="Arial" w:hAnsi="Arial"/>
          <w:sz w:val="11"/>
          <w:szCs w:val="11"/>
          <w:color w:val="auto"/>
        </w:rPr>
        <w:t>n.m = not meaningful as a percentage.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11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12 months ended</w:t>
            </w:r>
          </w:p>
        </w:tc>
        <w:tc>
          <w:tcPr>
            <w:tcW w:w="1780" w:type="dxa"/>
            <w:vAlign w:val="bottom"/>
          </w:tcPr>
          <w:p>
            <w:pPr>
              <w:jc w:val="right"/>
              <w:ind w:right="428"/>
              <w:spacing w:after="0"/>
              <w:rPr>
                <w:sz w:val="20"/>
                <w:szCs w:val="20"/>
                <w:color w:val="auto"/>
              </w:rPr>
            </w:pPr>
            <w:r>
              <w:rPr>
                <w:rFonts w:ascii="Arial" w:cs="Arial" w:eastAsia="Arial" w:hAnsi="Arial"/>
                <w:sz w:val="13"/>
                <w:szCs w:val="13"/>
                <w:b w:val="1"/>
                <w:bCs w:val="1"/>
                <w:color w:val="auto"/>
              </w:rPr>
              <w:t>12 months ended</w:t>
            </w:r>
          </w:p>
        </w:tc>
        <w:tc>
          <w:tcPr>
            <w:tcW w:w="960" w:type="dxa"/>
            <w:vAlign w:val="bottom"/>
          </w:tcPr>
          <w:p>
            <w:pPr>
              <w:spacing w:after="0"/>
              <w:rPr>
                <w:sz w:val="16"/>
                <w:szCs w:val="16"/>
                <w:color w:val="auto"/>
              </w:rPr>
            </w:pPr>
          </w:p>
        </w:tc>
      </w:tr>
      <w:tr>
        <w:trPr>
          <w:trHeight w:val="213"/>
        </w:trPr>
        <w:tc>
          <w:tcPr>
            <w:tcW w:w="7340" w:type="dxa"/>
            <w:vAlign w:val="bottom"/>
          </w:tcPr>
          <w:p>
            <w:pPr>
              <w:ind w:left="20"/>
              <w:spacing w:after="0"/>
              <w:rPr>
                <w:sz w:val="20"/>
                <w:szCs w:val="20"/>
                <w:color w:val="auto"/>
              </w:rPr>
            </w:pPr>
            <w:r>
              <w:rPr>
                <w:rFonts w:ascii="Arial" w:cs="Arial" w:eastAsia="Arial" w:hAnsi="Arial"/>
                <w:sz w:val="13"/>
                <w:szCs w:val="13"/>
                <w:b w:val="1"/>
                <w:bCs w:val="1"/>
                <w:color w:val="auto"/>
              </w:rPr>
              <w:t>Key Performance Indicators</w:t>
            </w:r>
          </w:p>
        </w:tc>
        <w:tc>
          <w:tcPr>
            <w:tcW w:w="114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780" w:type="dxa"/>
            <w:vAlign w:val="bottom"/>
          </w:tcPr>
          <w:p>
            <w:pPr>
              <w:jc w:val="right"/>
              <w:ind w:right="428"/>
              <w:spacing w:after="0"/>
              <w:rPr>
                <w:sz w:val="20"/>
                <w:szCs w:val="20"/>
                <w:color w:val="auto"/>
              </w:rPr>
            </w:pPr>
            <w:r>
              <w:rPr>
                <w:rFonts w:ascii="Arial" w:cs="Arial" w:eastAsia="Arial" w:hAnsi="Arial"/>
                <w:sz w:val="13"/>
                <w:szCs w:val="13"/>
                <w:b w:val="1"/>
                <w:bCs w:val="1"/>
                <w:color w:val="auto"/>
              </w:rPr>
              <w:t>30 June 2024</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Change</w:t>
            </w:r>
          </w:p>
        </w:tc>
      </w:tr>
      <w:tr>
        <w:trPr>
          <w:trHeight w:val="237"/>
        </w:trPr>
        <w:tc>
          <w:tcPr>
            <w:tcW w:w="734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Marex volumes: Energy (m)</w:t>
            </w:r>
          </w:p>
        </w:tc>
        <w:tc>
          <w:tcPr>
            <w:tcW w:w="11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67</w:t>
            </w:r>
          </w:p>
        </w:tc>
        <w:tc>
          <w:tcPr>
            <w:tcW w:w="1780" w:type="dxa"/>
            <w:vAlign w:val="bottom"/>
            <w:tcBorders>
              <w:top w:val="single" w:sz="8" w:color="793690"/>
            </w:tcBorders>
          </w:tcPr>
          <w:p>
            <w:pPr>
              <w:jc w:val="right"/>
              <w:ind w:right="428"/>
              <w:spacing w:after="0"/>
              <w:rPr>
                <w:sz w:val="20"/>
                <w:szCs w:val="20"/>
                <w:color w:val="auto"/>
              </w:rPr>
            </w:pPr>
            <w:r>
              <w:rPr>
                <w:rFonts w:ascii="Arial" w:cs="Arial" w:eastAsia="Arial" w:hAnsi="Arial"/>
                <w:sz w:val="15"/>
                <w:szCs w:val="15"/>
                <w:color w:val="auto"/>
              </w:rPr>
              <w:t>56</w:t>
            </w:r>
          </w:p>
        </w:tc>
        <w:tc>
          <w:tcPr>
            <w:tcW w:w="96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20%</w:t>
            </w:r>
          </w:p>
        </w:tc>
      </w:tr>
      <w:tr>
        <w:trPr>
          <w:trHeight w:val="237"/>
        </w:trPr>
        <w:tc>
          <w:tcPr>
            <w:tcW w:w="73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Marex volumes: Securities (m)</w:t>
            </w: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311</w:t>
            </w:r>
          </w:p>
        </w:tc>
        <w:tc>
          <w:tcPr>
            <w:tcW w:w="1780" w:type="dxa"/>
            <w:vAlign w:val="bottom"/>
            <w:tcBorders>
              <w:top w:val="single" w:sz="8" w:color="DADAE7"/>
            </w:tcBorders>
          </w:tcPr>
          <w:p>
            <w:pPr>
              <w:jc w:val="right"/>
              <w:ind w:right="428"/>
              <w:spacing w:after="0"/>
              <w:rPr>
                <w:sz w:val="20"/>
                <w:szCs w:val="20"/>
                <w:color w:val="auto"/>
              </w:rPr>
            </w:pPr>
            <w:r>
              <w:rPr>
                <w:rFonts w:ascii="Arial" w:cs="Arial" w:eastAsia="Arial" w:hAnsi="Arial"/>
                <w:sz w:val="15"/>
                <w:szCs w:val="15"/>
                <w:color w:val="auto"/>
              </w:rPr>
              <w:t>259</w:t>
            </w:r>
          </w:p>
        </w:tc>
        <w:tc>
          <w:tcPr>
            <w:tcW w:w="9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20%</w:t>
            </w:r>
          </w:p>
        </w:tc>
      </w:tr>
      <w:tr>
        <w:trPr>
          <w:trHeight w:val="236"/>
        </w:trPr>
        <w:tc>
          <w:tcPr>
            <w:tcW w:w="7340" w:type="dxa"/>
            <w:vAlign w:val="bottom"/>
            <w:tcBorders>
              <w:top w:val="single" w:sz="8" w:color="DADAE7"/>
              <w:bottom w:val="single" w:sz="8" w:color="DADAE7"/>
            </w:tcBorders>
          </w:tcPr>
          <w:p>
            <w:pPr>
              <w:ind w:left="20"/>
              <w:spacing w:after="0"/>
              <w:rPr>
                <w:sz w:val="20"/>
                <w:szCs w:val="20"/>
                <w:color w:val="auto"/>
              </w:rPr>
            </w:pPr>
            <w:r>
              <w:rPr>
                <w:rFonts w:ascii="Arial" w:cs="Arial" w:eastAsia="Arial" w:hAnsi="Arial"/>
                <w:sz w:val="15"/>
                <w:szCs w:val="15"/>
                <w:color w:val="auto"/>
              </w:rPr>
              <w:t>Market volumes: Energy</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(m)</w:t>
            </w:r>
          </w:p>
        </w:tc>
        <w:tc>
          <w:tcPr>
            <w:tcW w:w="1140" w:type="dxa"/>
            <w:vAlign w:val="bottom"/>
            <w:tcBorders>
              <w:top w:val="single" w:sz="8" w:color="DADAE7"/>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1,921</w:t>
            </w:r>
          </w:p>
        </w:tc>
        <w:tc>
          <w:tcPr>
            <w:tcW w:w="1780" w:type="dxa"/>
            <w:vAlign w:val="bottom"/>
            <w:tcBorders>
              <w:top w:val="single" w:sz="8" w:color="DADAE7"/>
              <w:bottom w:val="single" w:sz="8" w:color="DADAE7"/>
            </w:tcBorders>
          </w:tcPr>
          <w:p>
            <w:pPr>
              <w:jc w:val="right"/>
              <w:ind w:right="428"/>
              <w:spacing w:after="0"/>
              <w:rPr>
                <w:sz w:val="20"/>
                <w:szCs w:val="20"/>
                <w:color w:val="auto"/>
              </w:rPr>
            </w:pPr>
            <w:r>
              <w:rPr>
                <w:rFonts w:ascii="Arial" w:cs="Arial" w:eastAsia="Arial" w:hAnsi="Arial"/>
                <w:sz w:val="15"/>
                <w:szCs w:val="15"/>
                <w:color w:val="auto"/>
              </w:rPr>
              <w:t>1,569</w:t>
            </w:r>
          </w:p>
        </w:tc>
        <w:tc>
          <w:tcPr>
            <w:tcW w:w="960" w:type="dxa"/>
            <w:vAlign w:val="bottom"/>
            <w:tcBorders>
              <w:top w:val="single" w:sz="8" w:color="DADAE7"/>
              <w:bottom w:val="single" w:sz="8" w:color="DADAE7"/>
            </w:tcBorders>
          </w:tcPr>
          <w:p>
            <w:pPr>
              <w:jc w:val="right"/>
              <w:spacing w:after="0"/>
              <w:rPr>
                <w:sz w:val="20"/>
                <w:szCs w:val="20"/>
                <w:color w:val="auto"/>
              </w:rPr>
            </w:pPr>
            <w:r>
              <w:rPr>
                <w:rFonts w:ascii="Arial" w:cs="Arial" w:eastAsia="Arial" w:hAnsi="Arial"/>
                <w:sz w:val="15"/>
                <w:szCs w:val="15"/>
                <w:color w:val="auto"/>
              </w:rPr>
              <w:t>22%</w:t>
            </w:r>
          </w:p>
        </w:tc>
      </w:tr>
      <w:tr>
        <w:trPr>
          <w:trHeight w:val="237"/>
        </w:trPr>
        <w:tc>
          <w:tcPr>
            <w:tcW w:w="7340" w:type="dxa"/>
            <w:vAlign w:val="bottom"/>
            <w:tcBorders>
              <w:bottom w:val="single" w:sz="8" w:color="793690"/>
            </w:tcBorders>
          </w:tcPr>
          <w:p>
            <w:pPr>
              <w:ind w:left="20"/>
              <w:spacing w:after="0"/>
              <w:rPr>
                <w:sz w:val="20"/>
                <w:szCs w:val="20"/>
                <w:color w:val="auto"/>
              </w:rPr>
            </w:pPr>
            <w:r>
              <w:rPr>
                <w:rFonts w:ascii="Arial" w:cs="Arial" w:eastAsia="Arial" w:hAnsi="Arial"/>
                <w:sz w:val="15"/>
                <w:szCs w:val="15"/>
                <w:color w:val="auto"/>
              </w:rPr>
              <w:t>Market volumes: Securities</w:t>
            </w:r>
            <w:r>
              <w:rPr>
                <w:rFonts w:ascii="Arial" w:cs="Arial" w:eastAsia="Arial" w:hAnsi="Arial"/>
                <w:sz w:val="19"/>
                <w:szCs w:val="19"/>
                <w:color w:val="auto"/>
                <w:vertAlign w:val="superscript"/>
              </w:rPr>
              <w:t>2</w:t>
            </w:r>
            <w:r>
              <w:rPr>
                <w:rFonts w:ascii="Arial" w:cs="Arial" w:eastAsia="Arial" w:hAnsi="Arial"/>
                <w:sz w:val="15"/>
                <w:szCs w:val="15"/>
                <w:color w:val="auto"/>
              </w:rPr>
              <w:t xml:space="preserve"> (m)</w:t>
            </w:r>
          </w:p>
        </w:tc>
        <w:tc>
          <w:tcPr>
            <w:tcW w:w="1140" w:type="dxa"/>
            <w:vAlign w:val="bottom"/>
            <w:tcBorders>
              <w:bottom w:val="single" w:sz="8" w:color="793690"/>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11,677</w:t>
            </w:r>
          </w:p>
        </w:tc>
        <w:tc>
          <w:tcPr>
            <w:tcW w:w="1780" w:type="dxa"/>
            <w:vAlign w:val="bottom"/>
            <w:tcBorders>
              <w:bottom w:val="single" w:sz="8" w:color="793690"/>
            </w:tcBorders>
          </w:tcPr>
          <w:p>
            <w:pPr>
              <w:jc w:val="right"/>
              <w:ind w:right="428"/>
              <w:spacing w:after="0"/>
              <w:rPr>
                <w:sz w:val="20"/>
                <w:szCs w:val="20"/>
                <w:color w:val="auto"/>
              </w:rPr>
            </w:pPr>
            <w:r>
              <w:rPr>
                <w:rFonts w:ascii="Arial" w:cs="Arial" w:eastAsia="Arial" w:hAnsi="Arial"/>
                <w:sz w:val="15"/>
                <w:szCs w:val="15"/>
                <w:color w:val="auto"/>
              </w:rPr>
              <w:t>10,251</w:t>
            </w:r>
          </w:p>
        </w:tc>
        <w:tc>
          <w:tcPr>
            <w:tcW w:w="960" w:type="dxa"/>
            <w:vAlign w:val="bottom"/>
            <w:tcBorders>
              <w:bottom w:val="single" w:sz="8" w:color="793690"/>
            </w:tcBorders>
          </w:tcPr>
          <w:p>
            <w:pPr>
              <w:jc w:val="right"/>
              <w:spacing w:after="0"/>
              <w:rPr>
                <w:sz w:val="20"/>
                <w:szCs w:val="20"/>
                <w:color w:val="auto"/>
              </w:rPr>
            </w:pPr>
            <w:r>
              <w:rPr>
                <w:rFonts w:ascii="Arial" w:cs="Arial" w:eastAsia="Arial" w:hAnsi="Arial"/>
                <w:sz w:val="15"/>
                <w:szCs w:val="15"/>
                <w:color w:val="auto"/>
              </w:rPr>
              <w:t>14%</w:t>
            </w:r>
          </w:p>
        </w:tc>
      </w:tr>
    </w:tbl>
    <w:p>
      <w:pPr>
        <w:spacing w:after="0" w:line="324"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11"/>
          <w:szCs w:val="11"/>
          <w:color w:val="auto"/>
        </w:rPr>
      </w:pPr>
      <w:r>
        <w:rPr>
          <w:rFonts w:ascii="Arial" w:cs="Arial" w:eastAsia="Arial" w:hAnsi="Arial"/>
          <w:sz w:val="11"/>
          <w:szCs w:val="11"/>
          <w:color w:val="auto"/>
        </w:rPr>
        <w:t>Volumes traded on Marex key exchanges (CBOT, Eurex, ICE, NYMEX, SGX)</w:t>
      </w:r>
    </w:p>
    <w:p>
      <w:pPr>
        <w:spacing w:after="0" w:line="62" w:lineRule="exact"/>
        <w:rPr>
          <w:rFonts w:ascii="Arial" w:cs="Arial" w:eastAsia="Arial" w:hAnsi="Arial"/>
          <w:sz w:val="11"/>
          <w:szCs w:val="11"/>
          <w:color w:val="auto"/>
        </w:rPr>
      </w:pPr>
    </w:p>
    <w:p>
      <w:pPr>
        <w:ind w:left="140" w:hanging="132"/>
        <w:spacing w:after="0"/>
        <w:tabs>
          <w:tab w:leader="none" w:pos="140" w:val="left"/>
        </w:tabs>
        <w:numPr>
          <w:ilvl w:val="0"/>
          <w:numId w:val="12"/>
        </w:numPr>
        <w:rPr>
          <w:rFonts w:ascii="Arial" w:cs="Arial" w:eastAsia="Arial" w:hAnsi="Arial"/>
          <w:sz w:val="11"/>
          <w:szCs w:val="11"/>
          <w:color w:val="auto"/>
        </w:rPr>
      </w:pPr>
      <w:r>
        <w:rPr>
          <w:rFonts w:ascii="Arial" w:cs="Arial" w:eastAsia="Arial" w:hAnsi="Arial"/>
          <w:sz w:val="11"/>
          <w:szCs w:val="11"/>
          <w:color w:val="auto"/>
        </w:rPr>
        <w:t>Volumes relating to Financial securities (corporate bonds, equities, FX, repo, volatility) traded on CBOE, CBOT, CME, Eurex, Euronext, ICE, SGX</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8</w:t>
      </w:r>
    </w:p>
    <w:p>
      <w:pPr>
        <w:sectPr>
          <w:pgSz w:w="11900" w:h="16838" w:orient="portrait"/>
          <w:cols w:equalWidth="0" w:num="1">
            <w:col w:w="11220"/>
          </w:cols>
          <w:pgMar w:left="320" w:top="1353" w:right="35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793690"/>
        </w:rPr>
        <w:t xml:space="preserve">Financial Review </w:t>
      </w:r>
      <w:r>
        <w:rPr>
          <w:rFonts w:ascii="Arial" w:cs="Arial" w:eastAsia="Arial" w:hAnsi="Arial"/>
          <w:sz w:val="22"/>
          <w:szCs w:val="22"/>
          <w:color w:val="793690"/>
        </w:rPr>
        <w:t>(continued)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Market Making</w:t>
      </w:r>
    </w:p>
    <w:p>
      <w:pPr>
        <w:spacing w:after="0" w:line="6"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Our Market Making business provides direct liquidity to our clients across a variety of products, primarily in the energy, metals and agriculture markets. This ability to make prices and trade as principal in a wide variety of energy, environmentals and commodity markets differentiates us from many of our competitors.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Performance for the three months ended 30 June 2025</w:t>
      </w:r>
    </w:p>
    <w:p>
      <w:pPr>
        <w:spacing w:after="0" w:line="33"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Revenue decreased by 17% to $57.4m (Q2 2024: $69.5m) reflecting a return to more typical trading levels following an exceptionally strong prior-year quarter. Market conditions across asset classes were more varied in Q2 2025, yet the diversified business delivered a strong performance in both Metals and Energy, and a weaker quarter for Agriculture.</w:t>
      </w:r>
    </w:p>
    <w:p>
      <w:pPr>
        <w:spacing w:after="0" w:line="80" w:lineRule="exact"/>
        <w:rPr>
          <w:sz w:val="20"/>
          <w:szCs w:val="20"/>
          <w:color w:val="auto"/>
        </w:rPr>
      </w:pPr>
    </w:p>
    <w:p>
      <w:pPr>
        <w:jc w:val="both"/>
        <w:ind w:right="40"/>
        <w:spacing w:after="0" w:line="263" w:lineRule="auto"/>
        <w:rPr>
          <w:sz w:val="20"/>
          <w:szCs w:val="20"/>
          <w:color w:val="auto"/>
        </w:rPr>
      </w:pPr>
      <w:r>
        <w:rPr>
          <w:rFonts w:ascii="Arial" w:cs="Arial" w:eastAsia="Arial" w:hAnsi="Arial"/>
          <w:sz w:val="15"/>
          <w:szCs w:val="15"/>
          <w:color w:val="auto"/>
        </w:rPr>
        <w:t>Q2 2024 marked the strongest quarter on record for Metals, with exceptional performance from heightened volatility in the metals market due to revised guidance on Russian metals from the LME. In comparison, Metals posted its second-best quarter on record in Q2 2025 with revenues of $41.2m, supported by continued strength in precious metals, partially offset by continued uncertainty from the potential implementation of global tariffs on base metals. Despite this strong performance, Metals revenue decreased by 12% to $41.2m (Q2 2024: $47.0m).</w:t>
      </w:r>
    </w:p>
    <w:p>
      <w:pPr>
        <w:spacing w:after="0" w:line="81" w:lineRule="exact"/>
        <w:rPr>
          <w:sz w:val="20"/>
          <w:szCs w:val="20"/>
          <w:color w:val="auto"/>
        </w:rPr>
      </w:pPr>
    </w:p>
    <w:p>
      <w:pPr>
        <w:ind w:right="220"/>
        <w:spacing w:after="0" w:line="301" w:lineRule="auto"/>
        <w:rPr>
          <w:sz w:val="20"/>
          <w:szCs w:val="20"/>
          <w:color w:val="auto"/>
        </w:rPr>
      </w:pPr>
      <w:r>
        <w:rPr>
          <w:rFonts w:ascii="Arial" w:cs="Arial" w:eastAsia="Arial" w:hAnsi="Arial"/>
          <w:sz w:val="15"/>
          <w:szCs w:val="15"/>
          <w:color w:val="auto"/>
        </w:rPr>
        <w:t>Energy also performed strongly with revenue up $4.7m to $10.9m (Q2 2024: $6.2m), benefitting from market volatility driving increased revenues across all Energy desks.</w:t>
      </w:r>
    </w:p>
    <w:p>
      <w:pPr>
        <w:spacing w:after="0" w:line="40"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Q2 2025 was a challenging environment for Agriculture with revenue down $8.8m resulting in immaterial revenues (Q2 2024: $8.7m) due to tariff announcements and elevated prices, notably in cocoa and coffee, reducing market liquidity and impacting trading strategies.</w:t>
      </w:r>
    </w:p>
    <w:p>
      <w:pPr>
        <w:spacing w:after="0" w:line="40" w:lineRule="exact"/>
        <w:rPr>
          <w:sz w:val="20"/>
          <w:szCs w:val="20"/>
          <w:color w:val="auto"/>
        </w:rPr>
      </w:pPr>
    </w:p>
    <w:p>
      <w:pPr>
        <w:ind w:right="220"/>
        <w:spacing w:after="0" w:line="301" w:lineRule="auto"/>
        <w:rPr>
          <w:sz w:val="20"/>
          <w:szCs w:val="20"/>
          <w:color w:val="auto"/>
        </w:rPr>
      </w:pPr>
      <w:r>
        <w:rPr>
          <w:rFonts w:ascii="Arial" w:cs="Arial" w:eastAsia="Arial" w:hAnsi="Arial"/>
          <w:sz w:val="15"/>
          <w:szCs w:val="15"/>
          <w:color w:val="auto"/>
        </w:rPr>
        <w:t>Securities revenue decreased to $5.4m (Q2 2024 $7.6m) as the impact of negative market movements in equities following tariff announcements in April 2025 was offset by growth in FX.</w:t>
      </w:r>
    </w:p>
    <w:p>
      <w:pPr>
        <w:spacing w:after="0" w:line="40" w:lineRule="exact"/>
        <w:rPr>
          <w:sz w:val="20"/>
          <w:szCs w:val="20"/>
          <w:color w:val="auto"/>
        </w:rPr>
      </w:pPr>
    </w:p>
    <w:p>
      <w:pPr>
        <w:ind w:right="120"/>
        <w:spacing w:after="0" w:line="301" w:lineRule="auto"/>
        <w:rPr>
          <w:sz w:val="20"/>
          <w:szCs w:val="20"/>
          <w:color w:val="auto"/>
        </w:rPr>
      </w:pPr>
      <w:r>
        <w:rPr>
          <w:rFonts w:ascii="Arial" w:cs="Arial" w:eastAsia="Arial" w:hAnsi="Arial"/>
          <w:sz w:val="15"/>
          <w:szCs w:val="15"/>
          <w:color w:val="auto"/>
        </w:rPr>
        <w:t>Adjusted Profit Before Tax</w:t>
      </w:r>
      <w:r>
        <w:rPr>
          <w:rFonts w:ascii="Arial" w:cs="Arial" w:eastAsia="Arial" w:hAnsi="Arial"/>
          <w:sz w:val="9"/>
          <w:szCs w:val="9"/>
          <w:color w:val="auto"/>
        </w:rPr>
        <w:t>1</w:t>
      </w:r>
      <w:r>
        <w:rPr>
          <w:rFonts w:ascii="Arial" w:cs="Arial" w:eastAsia="Arial" w:hAnsi="Arial"/>
          <w:sz w:val="15"/>
          <w:szCs w:val="15"/>
          <w:color w:val="auto"/>
        </w:rPr>
        <w:t xml:space="preserve"> decreased by 37% to $18.2m (Q2 2024: $28.9m), while Adjusted Profit Before Tax Margin</w:t>
      </w:r>
      <w:r>
        <w:rPr>
          <w:rFonts w:ascii="Arial" w:cs="Arial" w:eastAsia="Arial" w:hAnsi="Arial"/>
          <w:sz w:val="9"/>
          <w:szCs w:val="9"/>
          <w:color w:val="auto"/>
        </w:rPr>
        <w:t>1</w:t>
      </w:r>
      <w:r>
        <w:rPr>
          <w:rFonts w:ascii="Arial" w:cs="Arial" w:eastAsia="Arial" w:hAnsi="Arial"/>
          <w:sz w:val="15"/>
          <w:szCs w:val="15"/>
          <w:color w:val="auto"/>
        </w:rPr>
        <w:t xml:space="preserve"> decreased to 32% (Q2 2024: 42%), driven by lower revenue.</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Performance for the six months ended 30 June 2025</w:t>
      </w:r>
    </w:p>
    <w:p>
      <w:pPr>
        <w:spacing w:after="0" w:line="19" w:lineRule="exact"/>
        <w:rPr>
          <w:sz w:val="20"/>
          <w:szCs w:val="20"/>
          <w:color w:val="auto"/>
        </w:rPr>
      </w:pPr>
    </w:p>
    <w:p>
      <w:pPr>
        <w:ind w:right="600"/>
        <w:spacing w:after="0" w:line="282" w:lineRule="auto"/>
        <w:rPr>
          <w:sz w:val="20"/>
          <w:szCs w:val="20"/>
          <w:color w:val="auto"/>
        </w:rPr>
      </w:pPr>
      <w:r>
        <w:rPr>
          <w:rFonts w:ascii="Arial" w:cs="Arial" w:eastAsia="Arial" w:hAnsi="Arial"/>
          <w:sz w:val="15"/>
          <w:szCs w:val="15"/>
          <w:color w:val="auto"/>
        </w:rPr>
        <w:t>Market Making revenue decreased 1% to $110.3m (H1 2024: $111.3m) driven by reductions in Metals and Agriculture partially offset by growth in Energy and Securities.</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Metals revenues in H1 2025 decreased by $4.5m to $63.9m (H1 2024: $68.4m) reflecting a return to more typical trading following heightened volatility in Q2 2024,</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due to revised guidance on Russian metals from the LME. Energy revenues increased by $5.7m to $19.5m (H1 2024: $13.8m) benefiting from the increased volatility</w:t>
      </w:r>
    </w:p>
    <w:p>
      <w:pPr>
        <w:spacing w:after="0" w:line="17"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auto"/>
        </w:rPr>
        <w:t>within the market in particular in Q2 2025. Agriculture revenue decreased by $ 7.2m to $7.1m (H1 2024: $14.3m) as strong trading in Q1 2025 was followed by a weak Q2 2025. Securities revenue increased to $19.8m (H1 2024 $14.8m) primarily driven by growth in FX and stock lending.</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Adjusted Profit Before Tax</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decreased 11% to $35.0m (H1 2024: $39.5m). Adjusted Profit Before Tax Margin</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decreased by 300 bps to 32% (H1 2024: 35%).</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11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 months ended</w:t>
            </w:r>
          </w:p>
        </w:tc>
        <w:tc>
          <w:tcPr>
            <w:tcW w:w="1540" w:type="dxa"/>
            <w:vAlign w:val="bottom"/>
          </w:tcPr>
          <w:p>
            <w:pPr>
              <w:jc w:val="right"/>
              <w:ind w:right="186"/>
              <w:spacing w:after="0"/>
              <w:rPr>
                <w:sz w:val="20"/>
                <w:szCs w:val="20"/>
                <w:color w:val="auto"/>
              </w:rPr>
            </w:pPr>
            <w:r>
              <w:rPr>
                <w:rFonts w:ascii="Arial" w:cs="Arial" w:eastAsia="Arial" w:hAnsi="Arial"/>
                <w:sz w:val="13"/>
                <w:szCs w:val="13"/>
                <w:b w:val="1"/>
                <w:bCs w:val="1"/>
                <w:color w:val="auto"/>
              </w:rPr>
              <w:t>3 months ended</w:t>
            </w:r>
          </w:p>
        </w:tc>
        <w:tc>
          <w:tcPr>
            <w:tcW w:w="1200" w:type="dxa"/>
            <w:vAlign w:val="bottom"/>
          </w:tcPr>
          <w:p>
            <w:pPr>
              <w:spacing w:after="0"/>
              <w:rPr>
                <w:sz w:val="16"/>
                <w:szCs w:val="16"/>
                <w:color w:val="auto"/>
              </w:rPr>
            </w:pPr>
          </w:p>
        </w:tc>
        <w:tc>
          <w:tcPr>
            <w:tcW w:w="11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6 months ended</w:t>
            </w:r>
          </w:p>
        </w:tc>
        <w:tc>
          <w:tcPr>
            <w:tcW w:w="1600" w:type="dxa"/>
            <w:vAlign w:val="bottom"/>
          </w:tcPr>
          <w:p>
            <w:pPr>
              <w:jc w:val="right"/>
              <w:ind w:right="246"/>
              <w:spacing w:after="0"/>
              <w:rPr>
                <w:sz w:val="20"/>
                <w:szCs w:val="20"/>
                <w:color w:val="auto"/>
              </w:rPr>
            </w:pPr>
            <w:r>
              <w:rPr>
                <w:rFonts w:ascii="Arial" w:cs="Arial" w:eastAsia="Arial" w:hAnsi="Arial"/>
                <w:sz w:val="13"/>
                <w:szCs w:val="13"/>
                <w:b w:val="1"/>
                <w:bCs w:val="1"/>
                <w:color w:val="auto"/>
              </w:rPr>
              <w:t>6 months ended</w:t>
            </w:r>
          </w:p>
        </w:tc>
        <w:tc>
          <w:tcPr>
            <w:tcW w:w="980" w:type="dxa"/>
            <w:vAlign w:val="bottom"/>
          </w:tcPr>
          <w:p>
            <w:pPr>
              <w:spacing w:after="0"/>
              <w:rPr>
                <w:sz w:val="16"/>
                <w:szCs w:val="16"/>
                <w:color w:val="auto"/>
              </w:rPr>
            </w:pPr>
          </w:p>
        </w:tc>
      </w:tr>
      <w:tr>
        <w:trPr>
          <w:trHeight w:val="192"/>
        </w:trPr>
        <w:tc>
          <w:tcPr>
            <w:tcW w:w="3620" w:type="dxa"/>
            <w:vAlign w:val="bottom"/>
          </w:tcPr>
          <w:p>
            <w:pPr>
              <w:spacing w:after="0"/>
              <w:rPr>
                <w:sz w:val="16"/>
                <w:szCs w:val="16"/>
                <w:color w:val="auto"/>
              </w:rPr>
            </w:pPr>
          </w:p>
        </w:tc>
        <w:tc>
          <w:tcPr>
            <w:tcW w:w="11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540" w:type="dxa"/>
            <w:vAlign w:val="bottom"/>
          </w:tcPr>
          <w:p>
            <w:pPr>
              <w:jc w:val="right"/>
              <w:ind w:right="186"/>
              <w:spacing w:after="0"/>
              <w:rPr>
                <w:sz w:val="20"/>
                <w:szCs w:val="20"/>
                <w:color w:val="auto"/>
              </w:rPr>
            </w:pPr>
            <w:r>
              <w:rPr>
                <w:rFonts w:ascii="Arial" w:cs="Arial" w:eastAsia="Arial" w:hAnsi="Arial"/>
                <w:sz w:val="13"/>
                <w:szCs w:val="13"/>
                <w:b w:val="1"/>
                <w:bCs w:val="1"/>
                <w:color w:val="auto"/>
              </w:rPr>
              <w:t>30 June 2024</w:t>
            </w:r>
          </w:p>
        </w:tc>
        <w:tc>
          <w:tcPr>
            <w:tcW w:w="1200" w:type="dxa"/>
            <w:vAlign w:val="bottom"/>
          </w:tcPr>
          <w:p>
            <w:pPr>
              <w:spacing w:after="0"/>
              <w:rPr>
                <w:sz w:val="16"/>
                <w:szCs w:val="16"/>
                <w:color w:val="auto"/>
              </w:rPr>
            </w:pPr>
          </w:p>
        </w:tc>
        <w:tc>
          <w:tcPr>
            <w:tcW w:w="11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600" w:type="dxa"/>
            <w:vAlign w:val="bottom"/>
          </w:tcPr>
          <w:p>
            <w:pPr>
              <w:jc w:val="right"/>
              <w:ind w:right="246"/>
              <w:spacing w:after="0"/>
              <w:rPr>
                <w:sz w:val="20"/>
                <w:szCs w:val="20"/>
                <w:color w:val="auto"/>
              </w:rPr>
            </w:pPr>
            <w:r>
              <w:rPr>
                <w:rFonts w:ascii="Arial" w:cs="Arial" w:eastAsia="Arial" w:hAnsi="Arial"/>
                <w:sz w:val="13"/>
                <w:szCs w:val="13"/>
                <w:b w:val="1"/>
                <w:bCs w:val="1"/>
                <w:color w:val="auto"/>
              </w:rPr>
              <w:t>30 June 2024</w:t>
            </w:r>
          </w:p>
        </w:tc>
        <w:tc>
          <w:tcPr>
            <w:tcW w:w="980" w:type="dxa"/>
            <w:vAlign w:val="bottom"/>
          </w:tcPr>
          <w:p>
            <w:pPr>
              <w:spacing w:after="0"/>
              <w:rPr>
                <w:sz w:val="16"/>
                <w:szCs w:val="16"/>
                <w:color w:val="auto"/>
              </w:rPr>
            </w:pPr>
          </w:p>
        </w:tc>
      </w:tr>
      <w:tr>
        <w:trPr>
          <w:trHeight w:val="224"/>
        </w:trPr>
        <w:tc>
          <w:tcPr>
            <w:tcW w:w="3620" w:type="dxa"/>
            <w:vAlign w:val="bottom"/>
          </w:tcPr>
          <w:p>
            <w:pPr>
              <w:spacing w:after="0"/>
              <w:rPr>
                <w:sz w:val="19"/>
                <w:szCs w:val="19"/>
                <w:color w:val="auto"/>
              </w:rPr>
            </w:pPr>
          </w:p>
        </w:tc>
        <w:tc>
          <w:tcPr>
            <w:tcW w:w="114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540" w:type="dxa"/>
            <w:vAlign w:val="bottom"/>
          </w:tcPr>
          <w:p>
            <w:pPr>
              <w:jc w:val="right"/>
              <w:ind w:right="186"/>
              <w:spacing w:after="0"/>
              <w:rPr>
                <w:sz w:val="20"/>
                <w:szCs w:val="20"/>
                <w:color w:val="auto"/>
              </w:rPr>
            </w:pPr>
            <w:r>
              <w:rPr>
                <w:rFonts w:ascii="Arial" w:cs="Arial" w:eastAsia="Arial" w:hAnsi="Arial"/>
                <w:sz w:val="13"/>
                <w:szCs w:val="13"/>
                <w:b w:val="1"/>
                <w:bCs w:val="1"/>
                <w:color w:val="auto"/>
              </w:rPr>
              <w:t>$m</w:t>
            </w:r>
          </w:p>
        </w:tc>
        <w:tc>
          <w:tcPr>
            <w:tcW w:w="1200" w:type="dxa"/>
            <w:vAlign w:val="bottom"/>
          </w:tcPr>
          <w:p>
            <w:pPr>
              <w:jc w:val="right"/>
              <w:ind w:right="84"/>
              <w:spacing w:after="0"/>
              <w:rPr>
                <w:sz w:val="20"/>
                <w:szCs w:val="20"/>
                <w:color w:val="auto"/>
              </w:rPr>
            </w:pPr>
            <w:r>
              <w:rPr>
                <w:rFonts w:ascii="Arial" w:cs="Arial" w:eastAsia="Arial" w:hAnsi="Arial"/>
                <w:sz w:val="13"/>
                <w:szCs w:val="13"/>
                <w:b w:val="1"/>
                <w:bCs w:val="1"/>
                <w:color w:val="auto"/>
              </w:rPr>
              <w:t>Change</w:t>
            </w:r>
          </w:p>
        </w:tc>
        <w:tc>
          <w:tcPr>
            <w:tcW w:w="114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600" w:type="dxa"/>
            <w:vAlign w:val="bottom"/>
          </w:tcPr>
          <w:p>
            <w:pPr>
              <w:jc w:val="right"/>
              <w:ind w:right="246"/>
              <w:spacing w:after="0"/>
              <w:rPr>
                <w:sz w:val="20"/>
                <w:szCs w:val="20"/>
                <w:color w:val="auto"/>
              </w:rPr>
            </w:pPr>
            <w:r>
              <w:rPr>
                <w:rFonts w:ascii="Arial" w:cs="Arial" w:eastAsia="Arial" w:hAnsi="Arial"/>
                <w:sz w:val="13"/>
                <w:szCs w:val="13"/>
                <w:b w:val="1"/>
                <w:bCs w:val="1"/>
                <w:color w:val="auto"/>
              </w:rPr>
              <w:t>$m</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Change</w:t>
            </w:r>
          </w:p>
        </w:tc>
      </w:tr>
      <w:tr>
        <w:trPr>
          <w:trHeight w:val="236"/>
        </w:trPr>
        <w:tc>
          <w:tcPr>
            <w:tcW w:w="362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Metals</w:t>
            </w:r>
          </w:p>
        </w:tc>
        <w:tc>
          <w:tcPr>
            <w:tcW w:w="11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41.2</w:t>
            </w:r>
          </w:p>
        </w:tc>
        <w:tc>
          <w:tcPr>
            <w:tcW w:w="1540" w:type="dxa"/>
            <w:vAlign w:val="bottom"/>
            <w:tcBorders>
              <w:top w:val="single" w:sz="8" w:color="793690"/>
            </w:tcBorders>
          </w:tcPr>
          <w:p>
            <w:pPr>
              <w:jc w:val="right"/>
              <w:ind w:right="246"/>
              <w:spacing w:after="0"/>
              <w:rPr>
                <w:sz w:val="20"/>
                <w:szCs w:val="20"/>
                <w:color w:val="auto"/>
              </w:rPr>
            </w:pPr>
            <w:r>
              <w:rPr>
                <w:rFonts w:ascii="Arial" w:cs="Arial" w:eastAsia="Arial" w:hAnsi="Arial"/>
                <w:sz w:val="15"/>
                <w:szCs w:val="15"/>
                <w:color w:val="auto"/>
              </w:rPr>
              <w:t>47.0</w:t>
            </w:r>
          </w:p>
        </w:tc>
        <w:tc>
          <w:tcPr>
            <w:tcW w:w="1200" w:type="dxa"/>
            <w:vAlign w:val="bottom"/>
            <w:tcBorders>
              <w:top w:val="single" w:sz="8" w:color="793690"/>
            </w:tcBorders>
          </w:tcPr>
          <w:p>
            <w:pPr>
              <w:jc w:val="right"/>
              <w:ind w:right="84"/>
              <w:spacing w:after="0"/>
              <w:rPr>
                <w:sz w:val="20"/>
                <w:szCs w:val="20"/>
                <w:color w:val="auto"/>
              </w:rPr>
            </w:pPr>
            <w:r>
              <w:rPr>
                <w:rFonts w:ascii="Arial" w:cs="Arial" w:eastAsia="Arial" w:hAnsi="Arial"/>
                <w:sz w:val="15"/>
                <w:szCs w:val="15"/>
                <w:color w:val="auto"/>
              </w:rPr>
              <w:t>(12)%</w:t>
            </w:r>
          </w:p>
        </w:tc>
        <w:tc>
          <w:tcPr>
            <w:tcW w:w="11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63.9</w:t>
            </w:r>
          </w:p>
        </w:tc>
        <w:tc>
          <w:tcPr>
            <w:tcW w:w="1600" w:type="dxa"/>
            <w:vAlign w:val="bottom"/>
            <w:tcBorders>
              <w:top w:val="single" w:sz="8" w:color="793690"/>
            </w:tcBorders>
          </w:tcPr>
          <w:p>
            <w:pPr>
              <w:jc w:val="right"/>
              <w:ind w:right="286"/>
              <w:spacing w:after="0"/>
              <w:rPr>
                <w:sz w:val="20"/>
                <w:szCs w:val="20"/>
                <w:color w:val="auto"/>
              </w:rPr>
            </w:pPr>
            <w:r>
              <w:rPr>
                <w:rFonts w:ascii="Arial" w:cs="Arial" w:eastAsia="Arial" w:hAnsi="Arial"/>
                <w:sz w:val="15"/>
                <w:szCs w:val="15"/>
                <w:color w:val="auto"/>
              </w:rPr>
              <w:t>68.4</w:t>
            </w:r>
          </w:p>
        </w:tc>
        <w:tc>
          <w:tcPr>
            <w:tcW w:w="98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(7)%</w:t>
            </w:r>
          </w:p>
        </w:tc>
      </w:tr>
      <w:tr>
        <w:trPr>
          <w:trHeight w:val="237"/>
        </w:trPr>
        <w:tc>
          <w:tcPr>
            <w:tcW w:w="36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Agriculture</w:t>
            </w: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(0.1)</w:t>
            </w:r>
          </w:p>
        </w:tc>
        <w:tc>
          <w:tcPr>
            <w:tcW w:w="1540" w:type="dxa"/>
            <w:vAlign w:val="bottom"/>
            <w:tcBorders>
              <w:top w:val="single" w:sz="8" w:color="DADAE7"/>
            </w:tcBorders>
          </w:tcPr>
          <w:p>
            <w:pPr>
              <w:jc w:val="right"/>
              <w:ind w:right="246"/>
              <w:spacing w:after="0"/>
              <w:rPr>
                <w:sz w:val="20"/>
                <w:szCs w:val="20"/>
                <w:color w:val="auto"/>
              </w:rPr>
            </w:pPr>
            <w:r>
              <w:rPr>
                <w:rFonts w:ascii="Arial" w:cs="Arial" w:eastAsia="Arial" w:hAnsi="Arial"/>
                <w:sz w:val="15"/>
                <w:szCs w:val="15"/>
                <w:color w:val="auto"/>
              </w:rPr>
              <w:t>8.7</w:t>
            </w:r>
          </w:p>
        </w:tc>
        <w:tc>
          <w:tcPr>
            <w:tcW w:w="1200" w:type="dxa"/>
            <w:vAlign w:val="bottom"/>
            <w:tcBorders>
              <w:top w:val="single" w:sz="8" w:color="DADAE7"/>
            </w:tcBorders>
          </w:tcPr>
          <w:p>
            <w:pPr>
              <w:jc w:val="right"/>
              <w:ind w:right="84"/>
              <w:spacing w:after="0"/>
              <w:rPr>
                <w:sz w:val="20"/>
                <w:szCs w:val="20"/>
                <w:color w:val="auto"/>
              </w:rPr>
            </w:pPr>
            <w:r>
              <w:rPr>
                <w:rFonts w:ascii="Arial" w:cs="Arial" w:eastAsia="Arial" w:hAnsi="Arial"/>
                <w:sz w:val="15"/>
                <w:szCs w:val="15"/>
                <w:color w:val="auto"/>
              </w:rPr>
              <w:t>(101)%</w:t>
            </w: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7.1</w:t>
            </w:r>
          </w:p>
        </w:tc>
        <w:tc>
          <w:tcPr>
            <w:tcW w:w="1600" w:type="dxa"/>
            <w:vAlign w:val="bottom"/>
            <w:tcBorders>
              <w:top w:val="single" w:sz="8" w:color="DADAE7"/>
            </w:tcBorders>
          </w:tcPr>
          <w:p>
            <w:pPr>
              <w:jc w:val="right"/>
              <w:ind w:right="286"/>
              <w:spacing w:after="0"/>
              <w:rPr>
                <w:sz w:val="20"/>
                <w:szCs w:val="20"/>
                <w:color w:val="auto"/>
              </w:rPr>
            </w:pPr>
            <w:r>
              <w:rPr>
                <w:rFonts w:ascii="Arial" w:cs="Arial" w:eastAsia="Arial" w:hAnsi="Arial"/>
                <w:sz w:val="15"/>
                <w:szCs w:val="15"/>
                <w:color w:val="auto"/>
              </w:rPr>
              <w:t>14.3</w:t>
            </w:r>
          </w:p>
        </w:tc>
        <w:tc>
          <w:tcPr>
            <w:tcW w:w="98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(50)%</w:t>
            </w:r>
          </w:p>
        </w:tc>
      </w:tr>
      <w:tr>
        <w:trPr>
          <w:trHeight w:val="236"/>
        </w:trPr>
        <w:tc>
          <w:tcPr>
            <w:tcW w:w="36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Energy</w:t>
            </w: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10.9</w:t>
            </w:r>
          </w:p>
        </w:tc>
        <w:tc>
          <w:tcPr>
            <w:tcW w:w="1540" w:type="dxa"/>
            <w:vAlign w:val="bottom"/>
            <w:tcBorders>
              <w:top w:val="single" w:sz="8" w:color="DADAE7"/>
            </w:tcBorders>
          </w:tcPr>
          <w:p>
            <w:pPr>
              <w:jc w:val="right"/>
              <w:ind w:right="246"/>
              <w:spacing w:after="0"/>
              <w:rPr>
                <w:sz w:val="20"/>
                <w:szCs w:val="20"/>
                <w:color w:val="auto"/>
              </w:rPr>
            </w:pPr>
            <w:r>
              <w:rPr>
                <w:rFonts w:ascii="Arial" w:cs="Arial" w:eastAsia="Arial" w:hAnsi="Arial"/>
                <w:sz w:val="15"/>
                <w:szCs w:val="15"/>
                <w:color w:val="auto"/>
              </w:rPr>
              <w:t>6.2</w:t>
            </w:r>
          </w:p>
        </w:tc>
        <w:tc>
          <w:tcPr>
            <w:tcW w:w="1200" w:type="dxa"/>
            <w:vAlign w:val="bottom"/>
            <w:tcBorders>
              <w:top w:val="single" w:sz="8" w:color="DADAE7"/>
            </w:tcBorders>
          </w:tcPr>
          <w:p>
            <w:pPr>
              <w:jc w:val="right"/>
              <w:ind w:right="84"/>
              <w:spacing w:after="0"/>
              <w:rPr>
                <w:sz w:val="20"/>
                <w:szCs w:val="20"/>
                <w:color w:val="auto"/>
              </w:rPr>
            </w:pPr>
            <w:r>
              <w:rPr>
                <w:rFonts w:ascii="Arial" w:cs="Arial" w:eastAsia="Arial" w:hAnsi="Arial"/>
                <w:sz w:val="15"/>
                <w:szCs w:val="15"/>
                <w:color w:val="auto"/>
              </w:rPr>
              <w:t>76%</w:t>
            </w: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19.5</w:t>
            </w:r>
          </w:p>
        </w:tc>
        <w:tc>
          <w:tcPr>
            <w:tcW w:w="1600" w:type="dxa"/>
            <w:vAlign w:val="bottom"/>
            <w:tcBorders>
              <w:top w:val="single" w:sz="8" w:color="DADAE7"/>
            </w:tcBorders>
          </w:tcPr>
          <w:p>
            <w:pPr>
              <w:jc w:val="right"/>
              <w:ind w:right="286"/>
              <w:spacing w:after="0"/>
              <w:rPr>
                <w:sz w:val="20"/>
                <w:szCs w:val="20"/>
                <w:color w:val="auto"/>
              </w:rPr>
            </w:pPr>
            <w:r>
              <w:rPr>
                <w:rFonts w:ascii="Arial" w:cs="Arial" w:eastAsia="Arial" w:hAnsi="Arial"/>
                <w:sz w:val="15"/>
                <w:szCs w:val="15"/>
                <w:color w:val="auto"/>
              </w:rPr>
              <w:t>13.8</w:t>
            </w:r>
          </w:p>
        </w:tc>
        <w:tc>
          <w:tcPr>
            <w:tcW w:w="98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41%</w:t>
            </w:r>
          </w:p>
        </w:tc>
      </w:tr>
      <w:tr>
        <w:trPr>
          <w:trHeight w:val="237"/>
        </w:trPr>
        <w:tc>
          <w:tcPr>
            <w:tcW w:w="36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Securities</w:t>
            </w: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5.4</w:t>
            </w:r>
          </w:p>
        </w:tc>
        <w:tc>
          <w:tcPr>
            <w:tcW w:w="1540" w:type="dxa"/>
            <w:vAlign w:val="bottom"/>
            <w:tcBorders>
              <w:top w:val="single" w:sz="8" w:color="DADAE7"/>
            </w:tcBorders>
          </w:tcPr>
          <w:p>
            <w:pPr>
              <w:jc w:val="right"/>
              <w:ind w:right="246"/>
              <w:spacing w:after="0"/>
              <w:rPr>
                <w:sz w:val="20"/>
                <w:szCs w:val="20"/>
                <w:color w:val="auto"/>
              </w:rPr>
            </w:pPr>
            <w:r>
              <w:rPr>
                <w:rFonts w:ascii="Arial" w:cs="Arial" w:eastAsia="Arial" w:hAnsi="Arial"/>
                <w:sz w:val="15"/>
                <w:szCs w:val="15"/>
                <w:color w:val="auto"/>
              </w:rPr>
              <w:t>7.6</w:t>
            </w:r>
          </w:p>
        </w:tc>
        <w:tc>
          <w:tcPr>
            <w:tcW w:w="1200" w:type="dxa"/>
            <w:vAlign w:val="bottom"/>
            <w:tcBorders>
              <w:top w:val="single" w:sz="8" w:color="DADAE7"/>
            </w:tcBorders>
          </w:tcPr>
          <w:p>
            <w:pPr>
              <w:jc w:val="right"/>
              <w:ind w:right="84"/>
              <w:spacing w:after="0"/>
              <w:rPr>
                <w:sz w:val="20"/>
                <w:szCs w:val="20"/>
                <w:color w:val="auto"/>
              </w:rPr>
            </w:pPr>
            <w:r>
              <w:rPr>
                <w:rFonts w:ascii="Arial" w:cs="Arial" w:eastAsia="Arial" w:hAnsi="Arial"/>
                <w:sz w:val="15"/>
                <w:szCs w:val="15"/>
                <w:color w:val="auto"/>
              </w:rPr>
              <w:t>(29)%</w:t>
            </w: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19.8</w:t>
            </w:r>
          </w:p>
        </w:tc>
        <w:tc>
          <w:tcPr>
            <w:tcW w:w="1600" w:type="dxa"/>
            <w:vAlign w:val="bottom"/>
            <w:tcBorders>
              <w:top w:val="single" w:sz="8" w:color="DADAE7"/>
            </w:tcBorders>
          </w:tcPr>
          <w:p>
            <w:pPr>
              <w:jc w:val="right"/>
              <w:ind w:right="286"/>
              <w:spacing w:after="0"/>
              <w:rPr>
                <w:sz w:val="20"/>
                <w:szCs w:val="20"/>
                <w:color w:val="auto"/>
              </w:rPr>
            </w:pPr>
            <w:r>
              <w:rPr>
                <w:rFonts w:ascii="Arial" w:cs="Arial" w:eastAsia="Arial" w:hAnsi="Arial"/>
                <w:sz w:val="15"/>
                <w:szCs w:val="15"/>
                <w:color w:val="auto"/>
              </w:rPr>
              <w:t>14.8</w:t>
            </w:r>
          </w:p>
        </w:tc>
        <w:tc>
          <w:tcPr>
            <w:tcW w:w="98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34%</w:t>
            </w:r>
          </w:p>
        </w:tc>
      </w:tr>
      <w:tr>
        <w:trPr>
          <w:trHeight w:val="237"/>
        </w:trPr>
        <w:tc>
          <w:tcPr>
            <w:tcW w:w="362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Revenue</w:t>
            </w:r>
          </w:p>
        </w:tc>
        <w:tc>
          <w:tcPr>
            <w:tcW w:w="11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57.4</w:t>
            </w:r>
          </w:p>
        </w:tc>
        <w:tc>
          <w:tcPr>
            <w:tcW w:w="1540" w:type="dxa"/>
            <w:vAlign w:val="bottom"/>
            <w:tcBorders>
              <w:top w:val="single" w:sz="8" w:color="793690"/>
            </w:tcBorders>
          </w:tcPr>
          <w:p>
            <w:pPr>
              <w:jc w:val="right"/>
              <w:ind w:right="246"/>
              <w:spacing w:after="0"/>
              <w:rPr>
                <w:sz w:val="20"/>
                <w:szCs w:val="20"/>
                <w:color w:val="auto"/>
              </w:rPr>
            </w:pPr>
            <w:r>
              <w:rPr>
                <w:rFonts w:ascii="Arial" w:cs="Arial" w:eastAsia="Arial" w:hAnsi="Arial"/>
                <w:sz w:val="15"/>
                <w:szCs w:val="15"/>
                <w:color w:val="auto"/>
              </w:rPr>
              <w:t>69.5</w:t>
            </w:r>
          </w:p>
        </w:tc>
        <w:tc>
          <w:tcPr>
            <w:tcW w:w="1200" w:type="dxa"/>
            <w:vAlign w:val="bottom"/>
            <w:tcBorders>
              <w:top w:val="single" w:sz="8" w:color="793690"/>
            </w:tcBorders>
          </w:tcPr>
          <w:p>
            <w:pPr>
              <w:jc w:val="right"/>
              <w:ind w:right="84"/>
              <w:spacing w:after="0"/>
              <w:rPr>
                <w:sz w:val="20"/>
                <w:szCs w:val="20"/>
                <w:color w:val="auto"/>
              </w:rPr>
            </w:pPr>
            <w:r>
              <w:rPr>
                <w:rFonts w:ascii="Arial" w:cs="Arial" w:eastAsia="Arial" w:hAnsi="Arial"/>
                <w:sz w:val="15"/>
                <w:szCs w:val="15"/>
                <w:color w:val="auto"/>
              </w:rPr>
              <w:t>(17)%</w:t>
            </w:r>
          </w:p>
        </w:tc>
        <w:tc>
          <w:tcPr>
            <w:tcW w:w="11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110.3</w:t>
            </w:r>
          </w:p>
        </w:tc>
        <w:tc>
          <w:tcPr>
            <w:tcW w:w="1600" w:type="dxa"/>
            <w:vAlign w:val="bottom"/>
            <w:tcBorders>
              <w:top w:val="single" w:sz="8" w:color="793690"/>
            </w:tcBorders>
          </w:tcPr>
          <w:p>
            <w:pPr>
              <w:jc w:val="right"/>
              <w:ind w:right="286"/>
              <w:spacing w:after="0"/>
              <w:rPr>
                <w:sz w:val="20"/>
                <w:szCs w:val="20"/>
                <w:color w:val="auto"/>
              </w:rPr>
            </w:pPr>
            <w:r>
              <w:rPr>
                <w:rFonts w:ascii="Arial" w:cs="Arial" w:eastAsia="Arial" w:hAnsi="Arial"/>
                <w:sz w:val="15"/>
                <w:szCs w:val="15"/>
                <w:color w:val="auto"/>
              </w:rPr>
              <w:t>111.3</w:t>
            </w:r>
          </w:p>
        </w:tc>
        <w:tc>
          <w:tcPr>
            <w:tcW w:w="98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(1)%</w:t>
            </w:r>
          </w:p>
        </w:tc>
      </w:tr>
      <w:tr>
        <w:trPr>
          <w:trHeight w:val="236"/>
        </w:trPr>
        <w:tc>
          <w:tcPr>
            <w:tcW w:w="36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Front office costs</w:t>
            </w: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(32.6)</w:t>
            </w:r>
          </w:p>
        </w:tc>
        <w:tc>
          <w:tcPr>
            <w:tcW w:w="1540" w:type="dxa"/>
            <w:vAlign w:val="bottom"/>
            <w:tcBorders>
              <w:top w:val="single" w:sz="8" w:color="DADAE7"/>
            </w:tcBorders>
          </w:tcPr>
          <w:p>
            <w:pPr>
              <w:jc w:val="right"/>
              <w:ind w:right="206"/>
              <w:spacing w:after="0"/>
              <w:rPr>
                <w:sz w:val="20"/>
                <w:szCs w:val="20"/>
                <w:color w:val="auto"/>
              </w:rPr>
            </w:pPr>
            <w:r>
              <w:rPr>
                <w:rFonts w:ascii="Arial" w:cs="Arial" w:eastAsia="Arial" w:hAnsi="Arial"/>
                <w:sz w:val="15"/>
                <w:szCs w:val="15"/>
                <w:color w:val="auto"/>
              </w:rPr>
              <w:t>(32.3)</w:t>
            </w:r>
          </w:p>
        </w:tc>
        <w:tc>
          <w:tcPr>
            <w:tcW w:w="1200" w:type="dxa"/>
            <w:vAlign w:val="bottom"/>
            <w:tcBorders>
              <w:top w:val="single" w:sz="8" w:color="DADAE7"/>
            </w:tcBorders>
          </w:tcPr>
          <w:p>
            <w:pPr>
              <w:jc w:val="right"/>
              <w:ind w:right="84"/>
              <w:spacing w:after="0"/>
              <w:rPr>
                <w:sz w:val="20"/>
                <w:szCs w:val="20"/>
                <w:color w:val="auto"/>
              </w:rPr>
            </w:pPr>
            <w:r>
              <w:rPr>
                <w:rFonts w:ascii="Arial" w:cs="Arial" w:eastAsia="Arial" w:hAnsi="Arial"/>
                <w:sz w:val="15"/>
                <w:szCs w:val="15"/>
                <w:color w:val="auto"/>
              </w:rPr>
              <w:t>1%</w:t>
            </w: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(61.5)</w:t>
            </w:r>
          </w:p>
        </w:tc>
        <w:tc>
          <w:tcPr>
            <w:tcW w:w="1600" w:type="dxa"/>
            <w:vAlign w:val="bottom"/>
            <w:tcBorders>
              <w:top w:val="single" w:sz="8" w:color="DADAE7"/>
            </w:tcBorders>
          </w:tcPr>
          <w:p>
            <w:pPr>
              <w:jc w:val="right"/>
              <w:ind w:right="246"/>
              <w:spacing w:after="0"/>
              <w:rPr>
                <w:sz w:val="20"/>
                <w:szCs w:val="20"/>
                <w:color w:val="auto"/>
              </w:rPr>
            </w:pPr>
            <w:r>
              <w:rPr>
                <w:rFonts w:ascii="Arial" w:cs="Arial" w:eastAsia="Arial" w:hAnsi="Arial"/>
                <w:sz w:val="15"/>
                <w:szCs w:val="15"/>
                <w:color w:val="auto"/>
              </w:rPr>
              <w:t>(55.2)</w:t>
            </w:r>
          </w:p>
        </w:tc>
        <w:tc>
          <w:tcPr>
            <w:tcW w:w="98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11%</w:t>
            </w:r>
          </w:p>
        </w:tc>
      </w:tr>
      <w:tr>
        <w:trPr>
          <w:trHeight w:val="237"/>
        </w:trPr>
        <w:tc>
          <w:tcPr>
            <w:tcW w:w="36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Control and support costs</w:t>
            </w: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(6.5)</w:t>
            </w:r>
          </w:p>
        </w:tc>
        <w:tc>
          <w:tcPr>
            <w:tcW w:w="1540" w:type="dxa"/>
            <w:vAlign w:val="bottom"/>
            <w:tcBorders>
              <w:top w:val="single" w:sz="8" w:color="DADAE7"/>
            </w:tcBorders>
          </w:tcPr>
          <w:p>
            <w:pPr>
              <w:jc w:val="right"/>
              <w:ind w:right="206"/>
              <w:spacing w:after="0"/>
              <w:rPr>
                <w:sz w:val="20"/>
                <w:szCs w:val="20"/>
                <w:color w:val="auto"/>
              </w:rPr>
            </w:pPr>
            <w:r>
              <w:rPr>
                <w:rFonts w:ascii="Arial" w:cs="Arial" w:eastAsia="Arial" w:hAnsi="Arial"/>
                <w:sz w:val="15"/>
                <w:szCs w:val="15"/>
                <w:color w:val="auto"/>
              </w:rPr>
              <w:t>(8.2)</w:t>
            </w:r>
          </w:p>
        </w:tc>
        <w:tc>
          <w:tcPr>
            <w:tcW w:w="1200" w:type="dxa"/>
            <w:vAlign w:val="bottom"/>
            <w:tcBorders>
              <w:top w:val="single" w:sz="8" w:color="DADAE7"/>
            </w:tcBorders>
          </w:tcPr>
          <w:p>
            <w:pPr>
              <w:jc w:val="right"/>
              <w:ind w:right="84"/>
              <w:spacing w:after="0"/>
              <w:rPr>
                <w:sz w:val="20"/>
                <w:szCs w:val="20"/>
                <w:color w:val="auto"/>
              </w:rPr>
            </w:pPr>
            <w:r>
              <w:rPr>
                <w:rFonts w:ascii="Arial" w:cs="Arial" w:eastAsia="Arial" w:hAnsi="Arial"/>
                <w:sz w:val="15"/>
                <w:szCs w:val="15"/>
                <w:color w:val="auto"/>
              </w:rPr>
              <w:t>(21)%</w:t>
            </w: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(13.6)</w:t>
            </w:r>
          </w:p>
        </w:tc>
        <w:tc>
          <w:tcPr>
            <w:tcW w:w="1600" w:type="dxa"/>
            <w:vAlign w:val="bottom"/>
            <w:tcBorders>
              <w:top w:val="single" w:sz="8" w:color="DADAE7"/>
            </w:tcBorders>
          </w:tcPr>
          <w:p>
            <w:pPr>
              <w:jc w:val="right"/>
              <w:ind w:right="246"/>
              <w:spacing w:after="0"/>
              <w:rPr>
                <w:sz w:val="20"/>
                <w:szCs w:val="20"/>
                <w:color w:val="auto"/>
              </w:rPr>
            </w:pPr>
            <w:r>
              <w:rPr>
                <w:rFonts w:ascii="Arial" w:cs="Arial" w:eastAsia="Arial" w:hAnsi="Arial"/>
                <w:sz w:val="15"/>
                <w:szCs w:val="15"/>
                <w:color w:val="auto"/>
              </w:rPr>
              <w:t>(16.4)</w:t>
            </w:r>
          </w:p>
        </w:tc>
        <w:tc>
          <w:tcPr>
            <w:tcW w:w="98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(17)%</w:t>
            </w:r>
          </w:p>
        </w:tc>
      </w:tr>
      <w:tr>
        <w:trPr>
          <w:trHeight w:val="236"/>
        </w:trPr>
        <w:tc>
          <w:tcPr>
            <w:tcW w:w="3620" w:type="dxa"/>
            <w:vAlign w:val="bottom"/>
            <w:tcBorders>
              <w:top w:val="single" w:sz="8" w:color="DADAE7"/>
              <w:bottom w:val="single" w:sz="8" w:color="DADAE7"/>
            </w:tcBorders>
          </w:tcPr>
          <w:p>
            <w:pPr>
              <w:ind w:left="20"/>
              <w:spacing w:after="0"/>
              <w:rPr>
                <w:sz w:val="20"/>
                <w:szCs w:val="20"/>
                <w:color w:val="auto"/>
              </w:rPr>
            </w:pPr>
            <w:r>
              <w:rPr>
                <w:rFonts w:ascii="Arial" w:cs="Arial" w:eastAsia="Arial" w:hAnsi="Arial"/>
                <w:sz w:val="15"/>
                <w:szCs w:val="15"/>
                <w:color w:val="auto"/>
              </w:rPr>
              <w:t>Provision for credit losses</w:t>
            </w:r>
          </w:p>
        </w:tc>
        <w:tc>
          <w:tcPr>
            <w:tcW w:w="1140" w:type="dxa"/>
            <w:vAlign w:val="bottom"/>
            <w:tcBorders>
              <w:top w:val="single" w:sz="8" w:color="DADAE7"/>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540" w:type="dxa"/>
            <w:vAlign w:val="bottom"/>
            <w:tcBorders>
              <w:top w:val="single" w:sz="8" w:color="DADAE7"/>
              <w:bottom w:val="single" w:sz="8" w:color="DADAE7"/>
            </w:tcBorders>
          </w:tcPr>
          <w:p>
            <w:pPr>
              <w:jc w:val="right"/>
              <w:ind w:right="246"/>
              <w:spacing w:after="0"/>
              <w:rPr>
                <w:sz w:val="20"/>
                <w:szCs w:val="20"/>
                <w:color w:val="auto"/>
              </w:rPr>
            </w:pPr>
            <w:r>
              <w:rPr>
                <w:rFonts w:ascii="Arial" w:cs="Arial" w:eastAsia="Arial" w:hAnsi="Arial"/>
                <w:sz w:val="15"/>
                <w:szCs w:val="15"/>
                <w:color w:val="auto"/>
              </w:rPr>
              <w:t>—</w:t>
            </w:r>
          </w:p>
        </w:tc>
        <w:tc>
          <w:tcPr>
            <w:tcW w:w="1200" w:type="dxa"/>
            <w:vAlign w:val="bottom"/>
            <w:tcBorders>
              <w:top w:val="single" w:sz="8" w:color="DADAE7"/>
              <w:bottom w:val="single" w:sz="8" w:color="DADAE7"/>
            </w:tcBorders>
          </w:tcPr>
          <w:p>
            <w:pPr>
              <w:jc w:val="right"/>
              <w:ind w:right="84"/>
              <w:spacing w:after="0"/>
              <w:rPr>
                <w:sz w:val="20"/>
                <w:szCs w:val="20"/>
                <w:color w:val="auto"/>
              </w:rPr>
            </w:pPr>
            <w:r>
              <w:rPr>
                <w:rFonts w:ascii="Arial" w:cs="Arial" w:eastAsia="Arial" w:hAnsi="Arial"/>
                <w:sz w:val="15"/>
                <w:szCs w:val="15"/>
                <w:color w:val="auto"/>
              </w:rPr>
              <w:t>n.m.</w:t>
            </w:r>
            <w:r>
              <w:rPr>
                <w:rFonts w:ascii="Arial" w:cs="Arial" w:eastAsia="Arial" w:hAnsi="Arial"/>
                <w:sz w:val="19"/>
                <w:szCs w:val="19"/>
                <w:color w:val="auto"/>
                <w:vertAlign w:val="superscript"/>
              </w:rPr>
              <w:t>3</w:t>
            </w:r>
          </w:p>
        </w:tc>
        <w:tc>
          <w:tcPr>
            <w:tcW w:w="1140" w:type="dxa"/>
            <w:vAlign w:val="bottom"/>
            <w:tcBorders>
              <w:top w:val="single" w:sz="8" w:color="DADAE7"/>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600" w:type="dxa"/>
            <w:vAlign w:val="bottom"/>
            <w:tcBorders>
              <w:top w:val="single" w:sz="8" w:color="DADAE7"/>
              <w:bottom w:val="single" w:sz="8" w:color="DADAE7"/>
            </w:tcBorders>
          </w:tcPr>
          <w:p>
            <w:pPr>
              <w:jc w:val="right"/>
              <w:ind w:right="286"/>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DADAE7"/>
              <w:bottom w:val="single" w:sz="8" w:color="DADAE7"/>
            </w:tcBorders>
          </w:tcPr>
          <w:p>
            <w:pPr>
              <w:jc w:val="right"/>
              <w:spacing w:after="0"/>
              <w:rPr>
                <w:sz w:val="20"/>
                <w:szCs w:val="20"/>
                <w:color w:val="auto"/>
              </w:rPr>
            </w:pPr>
            <w:r>
              <w:rPr>
                <w:rFonts w:ascii="Arial" w:cs="Arial" w:eastAsia="Arial" w:hAnsi="Arial"/>
                <w:sz w:val="15"/>
                <w:szCs w:val="15"/>
                <w:color w:val="auto"/>
              </w:rPr>
              <w:t>n.m.</w:t>
            </w:r>
            <w:r>
              <w:rPr>
                <w:rFonts w:ascii="Arial" w:cs="Arial" w:eastAsia="Arial" w:hAnsi="Arial"/>
                <w:sz w:val="19"/>
                <w:szCs w:val="19"/>
                <w:color w:val="auto"/>
                <w:vertAlign w:val="superscript"/>
              </w:rPr>
              <w:t>3</w:t>
            </w:r>
          </w:p>
        </w:tc>
      </w:tr>
      <w:tr>
        <w:trPr>
          <w:trHeight w:val="237"/>
        </w:trPr>
        <w:tc>
          <w:tcPr>
            <w:tcW w:w="3620" w:type="dxa"/>
            <w:vAlign w:val="bottom"/>
          </w:tcPr>
          <w:p>
            <w:pPr>
              <w:ind w:left="20"/>
              <w:spacing w:after="0"/>
              <w:rPr>
                <w:sz w:val="20"/>
                <w:szCs w:val="20"/>
                <w:color w:val="auto"/>
              </w:rPr>
            </w:pPr>
            <w:r>
              <w:rPr>
                <w:rFonts w:ascii="Arial" w:cs="Arial" w:eastAsia="Arial" w:hAnsi="Arial"/>
                <w:sz w:val="15"/>
                <w:szCs w:val="15"/>
                <w:color w:val="auto"/>
              </w:rPr>
              <w:t>Depreciation and amortisation</w:t>
            </w:r>
          </w:p>
        </w:tc>
        <w:tc>
          <w:tcPr>
            <w:tcW w:w="114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(0.1)</w:t>
            </w:r>
          </w:p>
        </w:tc>
        <w:tc>
          <w:tcPr>
            <w:tcW w:w="1540" w:type="dxa"/>
            <w:vAlign w:val="bottom"/>
          </w:tcPr>
          <w:p>
            <w:pPr>
              <w:jc w:val="right"/>
              <w:ind w:right="206"/>
              <w:spacing w:after="0"/>
              <w:rPr>
                <w:sz w:val="20"/>
                <w:szCs w:val="20"/>
                <w:color w:val="auto"/>
              </w:rPr>
            </w:pPr>
            <w:r>
              <w:rPr>
                <w:rFonts w:ascii="Arial" w:cs="Arial" w:eastAsia="Arial" w:hAnsi="Arial"/>
                <w:sz w:val="15"/>
                <w:szCs w:val="15"/>
                <w:color w:val="auto"/>
              </w:rPr>
              <w:t>(0.1)</w:t>
            </w:r>
          </w:p>
        </w:tc>
        <w:tc>
          <w:tcPr>
            <w:tcW w:w="1200" w:type="dxa"/>
            <w:vAlign w:val="bottom"/>
          </w:tcPr>
          <w:p>
            <w:pPr>
              <w:jc w:val="right"/>
              <w:ind w:right="84"/>
              <w:spacing w:after="0"/>
              <w:rPr>
                <w:sz w:val="20"/>
                <w:szCs w:val="20"/>
                <w:color w:val="auto"/>
              </w:rPr>
            </w:pPr>
            <w:r>
              <w:rPr>
                <w:rFonts w:ascii="Arial" w:cs="Arial" w:eastAsia="Arial" w:hAnsi="Arial"/>
                <w:sz w:val="15"/>
                <w:szCs w:val="15"/>
                <w:color w:val="auto"/>
              </w:rPr>
              <w:t>0%</w:t>
            </w:r>
          </w:p>
        </w:tc>
        <w:tc>
          <w:tcPr>
            <w:tcW w:w="114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(0.2)</w:t>
            </w:r>
          </w:p>
        </w:tc>
        <w:tc>
          <w:tcPr>
            <w:tcW w:w="1600" w:type="dxa"/>
            <w:vAlign w:val="bottom"/>
          </w:tcPr>
          <w:p>
            <w:pPr>
              <w:jc w:val="right"/>
              <w:ind w:right="246"/>
              <w:spacing w:after="0"/>
              <w:rPr>
                <w:sz w:val="20"/>
                <w:szCs w:val="20"/>
                <w:color w:val="auto"/>
              </w:rPr>
            </w:pPr>
            <w:r>
              <w:rPr>
                <w:rFonts w:ascii="Arial" w:cs="Arial" w:eastAsia="Arial" w:hAnsi="Arial"/>
                <w:sz w:val="15"/>
                <w:szCs w:val="15"/>
                <w:color w:val="auto"/>
              </w:rPr>
              <w:t>(0.2)</w:t>
            </w:r>
          </w:p>
        </w:tc>
        <w:tc>
          <w:tcPr>
            <w:tcW w:w="98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236"/>
        </w:trPr>
        <w:tc>
          <w:tcPr>
            <w:tcW w:w="3620" w:type="dxa"/>
            <w:vAlign w:val="bottom"/>
            <w:tcBorders>
              <w:top w:val="single" w:sz="8" w:color="DADAE7"/>
              <w:bottom w:val="single" w:sz="8" w:color="793690"/>
            </w:tcBorders>
          </w:tcPr>
          <w:p>
            <w:pPr>
              <w:ind w:left="20"/>
              <w:spacing w:after="0"/>
              <w:rPr>
                <w:sz w:val="20"/>
                <w:szCs w:val="20"/>
                <w:color w:val="auto"/>
              </w:rPr>
            </w:pPr>
            <w:r>
              <w:rPr>
                <w:rFonts w:ascii="Arial" w:cs="Arial" w:eastAsia="Arial" w:hAnsi="Arial"/>
                <w:sz w:val="15"/>
                <w:szCs w:val="15"/>
                <w:color w:val="auto"/>
              </w:rPr>
              <w:t>Other income</w:t>
            </w:r>
          </w:p>
        </w:tc>
        <w:tc>
          <w:tcPr>
            <w:tcW w:w="1140" w:type="dxa"/>
            <w:vAlign w:val="bottom"/>
            <w:tcBorders>
              <w:top w:val="single" w:sz="8" w:color="DADAE7"/>
              <w:bottom w:val="single" w:sz="8" w:color="793690"/>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540" w:type="dxa"/>
            <w:vAlign w:val="bottom"/>
            <w:tcBorders>
              <w:top w:val="single" w:sz="8" w:color="DADAE7"/>
              <w:bottom w:val="single" w:sz="8" w:color="793690"/>
            </w:tcBorders>
          </w:tcPr>
          <w:p>
            <w:pPr>
              <w:jc w:val="right"/>
              <w:ind w:right="246"/>
              <w:spacing w:after="0"/>
              <w:rPr>
                <w:sz w:val="20"/>
                <w:szCs w:val="20"/>
                <w:color w:val="auto"/>
              </w:rPr>
            </w:pPr>
            <w:r>
              <w:rPr>
                <w:rFonts w:ascii="Arial" w:cs="Arial" w:eastAsia="Arial" w:hAnsi="Arial"/>
                <w:sz w:val="15"/>
                <w:szCs w:val="15"/>
                <w:color w:val="auto"/>
              </w:rPr>
              <w:t>—</w:t>
            </w:r>
          </w:p>
        </w:tc>
        <w:tc>
          <w:tcPr>
            <w:tcW w:w="1200" w:type="dxa"/>
            <w:vAlign w:val="bottom"/>
            <w:tcBorders>
              <w:top w:val="single" w:sz="8" w:color="DADAE7"/>
              <w:bottom w:val="single" w:sz="8" w:color="793690"/>
            </w:tcBorders>
          </w:tcPr>
          <w:p>
            <w:pPr>
              <w:jc w:val="right"/>
              <w:ind w:right="84"/>
              <w:spacing w:after="0"/>
              <w:rPr>
                <w:sz w:val="20"/>
                <w:szCs w:val="20"/>
                <w:color w:val="auto"/>
              </w:rPr>
            </w:pPr>
            <w:r>
              <w:rPr>
                <w:rFonts w:ascii="Arial" w:cs="Arial" w:eastAsia="Arial" w:hAnsi="Arial"/>
                <w:sz w:val="15"/>
                <w:szCs w:val="15"/>
                <w:color w:val="auto"/>
              </w:rPr>
              <w:t>n.m.</w:t>
            </w:r>
            <w:r>
              <w:rPr>
                <w:rFonts w:ascii="Arial" w:cs="Arial" w:eastAsia="Arial" w:hAnsi="Arial"/>
                <w:sz w:val="19"/>
                <w:szCs w:val="19"/>
                <w:color w:val="auto"/>
                <w:vertAlign w:val="superscript"/>
              </w:rPr>
              <w:t>3</w:t>
            </w:r>
          </w:p>
        </w:tc>
        <w:tc>
          <w:tcPr>
            <w:tcW w:w="1140" w:type="dxa"/>
            <w:vAlign w:val="bottom"/>
            <w:tcBorders>
              <w:top w:val="single" w:sz="8" w:color="DADAE7"/>
              <w:bottom w:val="single" w:sz="8" w:color="793690"/>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600" w:type="dxa"/>
            <w:vAlign w:val="bottom"/>
            <w:tcBorders>
              <w:top w:val="single" w:sz="8" w:color="DADAE7"/>
              <w:bottom w:val="single" w:sz="8" w:color="793690"/>
            </w:tcBorders>
          </w:tcPr>
          <w:p>
            <w:pPr>
              <w:jc w:val="right"/>
              <w:ind w:right="286"/>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DADAE7"/>
              <w:bottom w:val="single" w:sz="8" w:color="793690"/>
            </w:tcBorders>
          </w:tcPr>
          <w:p>
            <w:pPr>
              <w:jc w:val="right"/>
              <w:spacing w:after="0"/>
              <w:rPr>
                <w:sz w:val="20"/>
                <w:szCs w:val="20"/>
                <w:color w:val="auto"/>
              </w:rPr>
            </w:pPr>
            <w:r>
              <w:rPr>
                <w:rFonts w:ascii="Arial" w:cs="Arial" w:eastAsia="Arial" w:hAnsi="Arial"/>
                <w:sz w:val="15"/>
                <w:szCs w:val="15"/>
                <w:color w:val="auto"/>
              </w:rPr>
              <w:t>n.m.</w:t>
            </w:r>
            <w:r>
              <w:rPr>
                <w:rFonts w:ascii="Arial" w:cs="Arial" w:eastAsia="Arial" w:hAnsi="Arial"/>
                <w:sz w:val="19"/>
                <w:szCs w:val="19"/>
                <w:color w:val="auto"/>
                <w:vertAlign w:val="superscript"/>
              </w:rPr>
              <w:t>3</w:t>
            </w:r>
          </w:p>
        </w:tc>
      </w:tr>
      <w:tr>
        <w:trPr>
          <w:trHeight w:val="237"/>
        </w:trPr>
        <w:tc>
          <w:tcPr>
            <w:tcW w:w="3620" w:type="dxa"/>
            <w:vAlign w:val="bottom"/>
            <w:tcBorders>
              <w:bottom w:val="single" w:sz="8" w:color="DADAE7"/>
            </w:tcBorders>
          </w:tcPr>
          <w:p>
            <w:pPr>
              <w:ind w:left="20"/>
              <w:spacing w:after="0"/>
              <w:rPr>
                <w:sz w:val="20"/>
                <w:szCs w:val="20"/>
                <w:color w:val="auto"/>
              </w:rPr>
            </w:pPr>
            <w:r>
              <w:rPr>
                <w:rFonts w:ascii="Arial" w:cs="Arial" w:eastAsia="Arial" w:hAnsi="Arial"/>
                <w:sz w:val="15"/>
                <w:szCs w:val="15"/>
                <w:b w:val="1"/>
                <w:bCs w:val="1"/>
                <w:color w:val="auto"/>
              </w:rPr>
              <w:t>Adjusted Profit Before Tax ($m)</w:t>
            </w:r>
            <w:r>
              <w:rPr>
                <w:rFonts w:ascii="Arial" w:cs="Arial" w:eastAsia="Arial" w:hAnsi="Arial"/>
                <w:sz w:val="19"/>
                <w:szCs w:val="19"/>
                <w:b w:val="1"/>
                <w:bCs w:val="1"/>
                <w:color w:val="auto"/>
                <w:vertAlign w:val="superscript"/>
              </w:rPr>
              <w:t>1</w:t>
            </w:r>
          </w:p>
        </w:tc>
        <w:tc>
          <w:tcPr>
            <w:tcW w:w="114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18.2</w:t>
            </w:r>
          </w:p>
        </w:tc>
        <w:tc>
          <w:tcPr>
            <w:tcW w:w="1540" w:type="dxa"/>
            <w:vAlign w:val="bottom"/>
            <w:tcBorders>
              <w:bottom w:val="single" w:sz="8" w:color="DADAE7"/>
            </w:tcBorders>
          </w:tcPr>
          <w:p>
            <w:pPr>
              <w:jc w:val="right"/>
              <w:ind w:right="246"/>
              <w:spacing w:after="0"/>
              <w:rPr>
                <w:sz w:val="20"/>
                <w:szCs w:val="20"/>
                <w:color w:val="auto"/>
              </w:rPr>
            </w:pPr>
            <w:r>
              <w:rPr>
                <w:rFonts w:ascii="Arial" w:cs="Arial" w:eastAsia="Arial" w:hAnsi="Arial"/>
                <w:sz w:val="15"/>
                <w:szCs w:val="15"/>
                <w:color w:val="auto"/>
              </w:rPr>
              <w:t>28.9</w:t>
            </w:r>
          </w:p>
        </w:tc>
        <w:tc>
          <w:tcPr>
            <w:tcW w:w="1200" w:type="dxa"/>
            <w:vAlign w:val="bottom"/>
            <w:tcBorders>
              <w:bottom w:val="single" w:sz="8" w:color="DADAE7"/>
            </w:tcBorders>
          </w:tcPr>
          <w:p>
            <w:pPr>
              <w:jc w:val="right"/>
              <w:ind w:right="84"/>
              <w:spacing w:after="0"/>
              <w:rPr>
                <w:sz w:val="20"/>
                <w:szCs w:val="20"/>
                <w:color w:val="auto"/>
              </w:rPr>
            </w:pPr>
            <w:r>
              <w:rPr>
                <w:rFonts w:ascii="Arial" w:cs="Arial" w:eastAsia="Arial" w:hAnsi="Arial"/>
                <w:sz w:val="15"/>
                <w:szCs w:val="15"/>
                <w:color w:val="auto"/>
              </w:rPr>
              <w:t>(37)%</w:t>
            </w:r>
          </w:p>
        </w:tc>
        <w:tc>
          <w:tcPr>
            <w:tcW w:w="114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35.0</w:t>
            </w:r>
          </w:p>
        </w:tc>
        <w:tc>
          <w:tcPr>
            <w:tcW w:w="1600" w:type="dxa"/>
            <w:vAlign w:val="bottom"/>
            <w:tcBorders>
              <w:bottom w:val="single" w:sz="8" w:color="DADAE7"/>
            </w:tcBorders>
          </w:tcPr>
          <w:p>
            <w:pPr>
              <w:jc w:val="right"/>
              <w:ind w:right="286"/>
              <w:spacing w:after="0"/>
              <w:rPr>
                <w:sz w:val="20"/>
                <w:szCs w:val="20"/>
                <w:color w:val="auto"/>
              </w:rPr>
            </w:pPr>
            <w:r>
              <w:rPr>
                <w:rFonts w:ascii="Arial" w:cs="Arial" w:eastAsia="Arial" w:hAnsi="Arial"/>
                <w:sz w:val="15"/>
                <w:szCs w:val="15"/>
                <w:color w:val="auto"/>
              </w:rPr>
              <w:t>39.5</w:t>
            </w:r>
          </w:p>
        </w:tc>
        <w:tc>
          <w:tcPr>
            <w:tcW w:w="980" w:type="dxa"/>
            <w:vAlign w:val="bottom"/>
            <w:tcBorders>
              <w:bottom w:val="single" w:sz="8" w:color="DADAE7"/>
            </w:tcBorders>
          </w:tcPr>
          <w:p>
            <w:pPr>
              <w:jc w:val="right"/>
              <w:spacing w:after="0"/>
              <w:rPr>
                <w:sz w:val="20"/>
                <w:szCs w:val="20"/>
                <w:color w:val="auto"/>
              </w:rPr>
            </w:pPr>
            <w:r>
              <w:rPr>
                <w:rFonts w:ascii="Arial" w:cs="Arial" w:eastAsia="Arial" w:hAnsi="Arial"/>
                <w:sz w:val="15"/>
                <w:szCs w:val="15"/>
                <w:color w:val="auto"/>
              </w:rPr>
              <w:t>(11)%</w:t>
            </w:r>
          </w:p>
        </w:tc>
      </w:tr>
      <w:tr>
        <w:trPr>
          <w:trHeight w:val="236"/>
        </w:trPr>
        <w:tc>
          <w:tcPr>
            <w:tcW w:w="362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Adjusted Profit Before Tax Margin</w:t>
            </w:r>
            <w:r>
              <w:rPr>
                <w:rFonts w:ascii="Arial" w:cs="Arial" w:eastAsia="Arial" w:hAnsi="Arial"/>
                <w:sz w:val="19"/>
                <w:szCs w:val="19"/>
                <w:color w:val="auto"/>
                <w:vertAlign w:val="superscript"/>
              </w:rPr>
              <w:t>1</w:t>
            </w:r>
          </w:p>
        </w:tc>
        <w:tc>
          <w:tcPr>
            <w:tcW w:w="114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32%</w:t>
            </w:r>
          </w:p>
        </w:tc>
        <w:tc>
          <w:tcPr>
            <w:tcW w:w="1540" w:type="dxa"/>
            <w:vAlign w:val="bottom"/>
            <w:tcBorders>
              <w:bottom w:val="single" w:sz="8" w:color="DADAE7"/>
            </w:tcBorders>
          </w:tcPr>
          <w:p>
            <w:pPr>
              <w:jc w:val="right"/>
              <w:ind w:right="186"/>
              <w:spacing w:after="0"/>
              <w:rPr>
                <w:sz w:val="20"/>
                <w:szCs w:val="20"/>
                <w:color w:val="auto"/>
              </w:rPr>
            </w:pPr>
            <w:r>
              <w:rPr>
                <w:rFonts w:ascii="Arial" w:cs="Arial" w:eastAsia="Arial" w:hAnsi="Arial"/>
                <w:sz w:val="15"/>
                <w:szCs w:val="15"/>
                <w:color w:val="auto"/>
              </w:rPr>
              <w:t>42%</w:t>
            </w:r>
          </w:p>
        </w:tc>
        <w:tc>
          <w:tcPr>
            <w:tcW w:w="1200" w:type="dxa"/>
            <w:vAlign w:val="bottom"/>
            <w:tcBorders>
              <w:bottom w:val="single" w:sz="8" w:color="DADAE7"/>
            </w:tcBorders>
          </w:tcPr>
          <w:p>
            <w:pPr>
              <w:jc w:val="right"/>
              <w:ind w:right="84"/>
              <w:spacing w:after="0"/>
              <w:rPr>
                <w:sz w:val="20"/>
                <w:szCs w:val="20"/>
                <w:color w:val="auto"/>
              </w:rPr>
            </w:pPr>
            <w:r>
              <w:rPr>
                <w:rFonts w:ascii="Arial" w:cs="Arial" w:eastAsia="Arial" w:hAnsi="Arial"/>
                <w:sz w:val="15"/>
                <w:szCs w:val="15"/>
                <w:color w:val="auto"/>
              </w:rPr>
              <w:t>(1,000) bps</w:t>
            </w:r>
          </w:p>
        </w:tc>
        <w:tc>
          <w:tcPr>
            <w:tcW w:w="114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32%</w:t>
            </w:r>
          </w:p>
        </w:tc>
        <w:tc>
          <w:tcPr>
            <w:tcW w:w="1600" w:type="dxa"/>
            <w:vAlign w:val="bottom"/>
            <w:tcBorders>
              <w:bottom w:val="single" w:sz="8" w:color="DADAE7"/>
            </w:tcBorders>
          </w:tcPr>
          <w:p>
            <w:pPr>
              <w:jc w:val="right"/>
              <w:ind w:right="246"/>
              <w:spacing w:after="0"/>
              <w:rPr>
                <w:sz w:val="20"/>
                <w:szCs w:val="20"/>
                <w:color w:val="auto"/>
              </w:rPr>
            </w:pPr>
            <w:r>
              <w:rPr>
                <w:rFonts w:ascii="Arial" w:cs="Arial" w:eastAsia="Arial" w:hAnsi="Arial"/>
                <w:sz w:val="15"/>
                <w:szCs w:val="15"/>
                <w:color w:val="auto"/>
              </w:rPr>
              <w:t>35%</w:t>
            </w:r>
          </w:p>
        </w:tc>
        <w:tc>
          <w:tcPr>
            <w:tcW w:w="980" w:type="dxa"/>
            <w:vAlign w:val="bottom"/>
            <w:tcBorders>
              <w:bottom w:val="single" w:sz="8" w:color="DADAE7"/>
            </w:tcBorders>
          </w:tcPr>
          <w:p>
            <w:pPr>
              <w:jc w:val="right"/>
              <w:spacing w:after="0"/>
              <w:rPr>
                <w:sz w:val="20"/>
                <w:szCs w:val="20"/>
                <w:color w:val="auto"/>
              </w:rPr>
            </w:pPr>
            <w:r>
              <w:rPr>
                <w:rFonts w:ascii="Arial" w:cs="Arial" w:eastAsia="Arial" w:hAnsi="Arial"/>
                <w:sz w:val="15"/>
                <w:szCs w:val="15"/>
                <w:color w:val="auto"/>
              </w:rPr>
              <w:t>(300) bps</w:t>
            </w:r>
          </w:p>
        </w:tc>
      </w:tr>
      <w:tr>
        <w:trPr>
          <w:trHeight w:val="237"/>
        </w:trPr>
        <w:tc>
          <w:tcPr>
            <w:tcW w:w="3620" w:type="dxa"/>
            <w:vAlign w:val="bottom"/>
            <w:tcBorders>
              <w:bottom w:val="single" w:sz="8" w:color="793690"/>
            </w:tcBorders>
          </w:tcPr>
          <w:p>
            <w:pPr>
              <w:ind w:left="20"/>
              <w:spacing w:after="0"/>
              <w:rPr>
                <w:sz w:val="20"/>
                <w:szCs w:val="20"/>
                <w:color w:val="auto"/>
              </w:rPr>
            </w:pPr>
            <w:r>
              <w:rPr>
                <w:rFonts w:ascii="Arial" w:cs="Arial" w:eastAsia="Arial" w:hAnsi="Arial"/>
                <w:sz w:val="15"/>
                <w:szCs w:val="15"/>
                <w:color w:val="auto"/>
              </w:rPr>
              <w:t>Front office headcount (No.)</w:t>
            </w:r>
            <w:r>
              <w:rPr>
                <w:rFonts w:ascii="Arial" w:cs="Arial" w:eastAsia="Arial" w:hAnsi="Arial"/>
                <w:sz w:val="19"/>
                <w:szCs w:val="19"/>
                <w:color w:val="auto"/>
                <w:vertAlign w:val="superscript"/>
              </w:rPr>
              <w:t>2</w:t>
            </w:r>
          </w:p>
        </w:tc>
        <w:tc>
          <w:tcPr>
            <w:tcW w:w="1140" w:type="dxa"/>
            <w:vAlign w:val="bottom"/>
            <w:tcBorders>
              <w:bottom w:val="single" w:sz="8" w:color="793690"/>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158</w:t>
            </w:r>
          </w:p>
        </w:tc>
        <w:tc>
          <w:tcPr>
            <w:tcW w:w="1540" w:type="dxa"/>
            <w:vAlign w:val="bottom"/>
            <w:tcBorders>
              <w:bottom w:val="single" w:sz="8" w:color="793690"/>
            </w:tcBorders>
          </w:tcPr>
          <w:p>
            <w:pPr>
              <w:jc w:val="right"/>
              <w:ind w:right="246"/>
              <w:spacing w:after="0"/>
              <w:rPr>
                <w:sz w:val="20"/>
                <w:szCs w:val="20"/>
                <w:color w:val="auto"/>
              </w:rPr>
            </w:pPr>
            <w:r>
              <w:rPr>
                <w:rFonts w:ascii="Arial" w:cs="Arial" w:eastAsia="Arial" w:hAnsi="Arial"/>
                <w:sz w:val="15"/>
                <w:szCs w:val="15"/>
                <w:color w:val="auto"/>
              </w:rPr>
              <w:t>145</w:t>
            </w:r>
          </w:p>
        </w:tc>
        <w:tc>
          <w:tcPr>
            <w:tcW w:w="1200" w:type="dxa"/>
            <w:vAlign w:val="bottom"/>
            <w:tcBorders>
              <w:bottom w:val="single" w:sz="8" w:color="793690"/>
            </w:tcBorders>
          </w:tcPr>
          <w:p>
            <w:pPr>
              <w:jc w:val="right"/>
              <w:ind w:right="84"/>
              <w:spacing w:after="0"/>
              <w:rPr>
                <w:sz w:val="20"/>
                <w:szCs w:val="20"/>
                <w:color w:val="auto"/>
              </w:rPr>
            </w:pPr>
            <w:r>
              <w:rPr>
                <w:rFonts w:ascii="Arial" w:cs="Arial" w:eastAsia="Arial" w:hAnsi="Arial"/>
                <w:sz w:val="15"/>
                <w:szCs w:val="15"/>
                <w:color w:val="auto"/>
              </w:rPr>
              <w:t>9%</w:t>
            </w:r>
          </w:p>
        </w:tc>
        <w:tc>
          <w:tcPr>
            <w:tcW w:w="1140" w:type="dxa"/>
            <w:vAlign w:val="bottom"/>
            <w:tcBorders>
              <w:bottom w:val="single" w:sz="8" w:color="793690"/>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152</w:t>
            </w:r>
          </w:p>
        </w:tc>
        <w:tc>
          <w:tcPr>
            <w:tcW w:w="1600" w:type="dxa"/>
            <w:vAlign w:val="bottom"/>
            <w:tcBorders>
              <w:bottom w:val="single" w:sz="8" w:color="793690"/>
            </w:tcBorders>
          </w:tcPr>
          <w:p>
            <w:pPr>
              <w:jc w:val="right"/>
              <w:ind w:right="286"/>
              <w:spacing w:after="0"/>
              <w:rPr>
                <w:sz w:val="20"/>
                <w:szCs w:val="20"/>
                <w:color w:val="auto"/>
              </w:rPr>
            </w:pPr>
            <w:r>
              <w:rPr>
                <w:rFonts w:ascii="Arial" w:cs="Arial" w:eastAsia="Arial" w:hAnsi="Arial"/>
                <w:sz w:val="15"/>
                <w:szCs w:val="15"/>
                <w:color w:val="auto"/>
              </w:rPr>
              <w:t>143</w:t>
            </w:r>
          </w:p>
        </w:tc>
        <w:tc>
          <w:tcPr>
            <w:tcW w:w="980" w:type="dxa"/>
            <w:vAlign w:val="bottom"/>
            <w:tcBorders>
              <w:bottom w:val="single" w:sz="8" w:color="793690"/>
            </w:tcBorders>
          </w:tcPr>
          <w:p>
            <w:pPr>
              <w:jc w:val="right"/>
              <w:spacing w:after="0"/>
              <w:rPr>
                <w:sz w:val="20"/>
                <w:szCs w:val="20"/>
                <w:color w:val="auto"/>
              </w:rPr>
            </w:pPr>
            <w:r>
              <w:rPr>
                <w:rFonts w:ascii="Arial" w:cs="Arial" w:eastAsia="Arial" w:hAnsi="Arial"/>
                <w:sz w:val="15"/>
                <w:szCs w:val="15"/>
                <w:color w:val="auto"/>
              </w:rPr>
              <w:t>6%</w:t>
            </w:r>
          </w:p>
        </w:tc>
      </w:tr>
    </w:tbl>
    <w:p>
      <w:pPr>
        <w:spacing w:after="0" w:line="297" w:lineRule="exact"/>
        <w:rPr>
          <w:sz w:val="20"/>
          <w:szCs w:val="20"/>
          <w:color w:val="auto"/>
        </w:rPr>
      </w:pPr>
    </w:p>
    <w:p>
      <w:pPr>
        <w:ind w:left="160" w:right="560" w:hanging="152"/>
        <w:spacing w:after="0" w:line="285" w:lineRule="auto"/>
        <w:tabs>
          <w:tab w:leader="none" w:pos="226"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These are non-IFRS financial measures. See Appendix 1 “Non-IFRS Financial Measures and Key Performance Indicators” for additional information and for a reconciliation of each such IFRS measure to its most directly comparable IFRS measure.</w:t>
      </w:r>
    </w:p>
    <w:p>
      <w:pPr>
        <w:spacing w:after="0" w:line="10" w:lineRule="exact"/>
        <w:rPr>
          <w:rFonts w:ascii="Arial" w:cs="Arial" w:eastAsia="Arial" w:hAnsi="Arial"/>
          <w:sz w:val="11"/>
          <w:szCs w:val="11"/>
          <w:color w:val="auto"/>
        </w:rPr>
      </w:pPr>
    </w:p>
    <w:p>
      <w:pPr>
        <w:ind w:left="220" w:hanging="212"/>
        <w:spacing w:after="0"/>
        <w:tabs>
          <w:tab w:leader="none" w:pos="2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headcount is the average for the period. Management have re-assessed headcount for Clearing and Market Making and re-allocated for Q2 24 and H1 24.</w:t>
      </w:r>
    </w:p>
    <w:p>
      <w:pPr>
        <w:spacing w:after="0" w:line="62" w:lineRule="exact"/>
        <w:rPr>
          <w:rFonts w:ascii="Arial" w:cs="Arial" w:eastAsia="Arial" w:hAnsi="Arial"/>
          <w:sz w:val="11"/>
          <w:szCs w:val="11"/>
          <w:color w:val="auto"/>
        </w:rPr>
      </w:pPr>
    </w:p>
    <w:p>
      <w:pPr>
        <w:ind w:left="120" w:hanging="112"/>
        <w:spacing w:after="0"/>
        <w:tabs>
          <w:tab w:leader="none" w:pos="1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n.m = not meaningful as a percentage.</w:t>
      </w:r>
    </w:p>
    <w:p>
      <w:pPr>
        <w:sectPr>
          <w:pgSz w:w="11900" w:h="16838" w:orient="portrait"/>
          <w:cols w:equalWidth="0" w:num="1">
            <w:col w:w="11220"/>
          </w:cols>
          <w:pgMar w:left="320" w:top="135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9</w:t>
      </w:r>
    </w:p>
    <w:p>
      <w:pPr>
        <w:sectPr>
          <w:pgSz w:w="11900" w:h="16838" w:orient="portrait"/>
          <w:cols w:equalWidth="0" w:num="1">
            <w:col w:w="11220"/>
          </w:cols>
          <w:pgMar w:left="320" w:top="1353" w:right="3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22"/>
          <w:szCs w:val="22"/>
          <w:b w:val="1"/>
          <w:bCs w:val="1"/>
          <w:color w:val="793690"/>
        </w:rPr>
        <w:t xml:space="preserve">Financial Review </w:t>
      </w:r>
      <w:r>
        <w:rPr>
          <w:rFonts w:ascii="Arial" w:cs="Arial" w:eastAsia="Arial" w:hAnsi="Arial"/>
          <w:sz w:val="22"/>
          <w:szCs w:val="22"/>
          <w:color w:val="793690"/>
        </w:rPr>
        <w:t>(continued)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Hedging and Investment Solutions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Our Hedging and Investment Solutions business provides high quality bespoke hedging and investment solutions to our clients.</w:t>
      </w:r>
    </w:p>
    <w:p>
      <w:pPr>
        <w:spacing w:after="0" w:line="111" w:lineRule="exact"/>
        <w:rPr>
          <w:sz w:val="20"/>
          <w:szCs w:val="20"/>
          <w:color w:val="auto"/>
        </w:rPr>
      </w:pPr>
    </w:p>
    <w:p>
      <w:pPr>
        <w:ind w:right="200"/>
        <w:spacing w:after="0" w:line="283" w:lineRule="auto"/>
        <w:rPr>
          <w:sz w:val="20"/>
          <w:szCs w:val="20"/>
          <w:color w:val="auto"/>
        </w:rPr>
      </w:pPr>
      <w:r>
        <w:rPr>
          <w:rFonts w:ascii="Arial" w:cs="Arial" w:eastAsia="Arial" w:hAnsi="Arial"/>
          <w:sz w:val="15"/>
          <w:szCs w:val="15"/>
          <w:color w:val="auto"/>
        </w:rPr>
        <w:t>Tailored commodity hedging solutions enable corporates to hedge their exposure to movements in energy and commodity prices, as well as currencies and interest rates, across a variety of different time horizons.</w:t>
      </w:r>
    </w:p>
    <w:p>
      <w:pPr>
        <w:spacing w:after="0" w:line="66" w:lineRule="exact"/>
        <w:rPr>
          <w:sz w:val="20"/>
          <w:szCs w:val="20"/>
          <w:color w:val="auto"/>
        </w:rPr>
      </w:pPr>
    </w:p>
    <w:p>
      <w:pPr>
        <w:ind w:right="180"/>
        <w:spacing w:after="0" w:line="283" w:lineRule="auto"/>
        <w:rPr>
          <w:sz w:val="20"/>
          <w:szCs w:val="20"/>
          <w:color w:val="auto"/>
        </w:rPr>
      </w:pPr>
      <w:r>
        <w:rPr>
          <w:rFonts w:ascii="Arial" w:cs="Arial" w:eastAsia="Arial" w:hAnsi="Arial"/>
          <w:sz w:val="15"/>
          <w:szCs w:val="15"/>
          <w:color w:val="auto"/>
        </w:rPr>
        <w:t>Our financial products offering allows investors to gain exposure to a particular market or asset class, for example equity indices, in a cost-effective manner through a structured product.</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Performance for the three months ended 30 June 2025</w:t>
      </w:r>
    </w:p>
    <w:p>
      <w:pPr>
        <w:spacing w:after="0" w:line="33" w:lineRule="exact"/>
        <w:rPr>
          <w:sz w:val="20"/>
          <w:szCs w:val="20"/>
          <w:color w:val="auto"/>
        </w:rPr>
      </w:pPr>
    </w:p>
    <w:p>
      <w:pPr>
        <w:jc w:val="both"/>
        <w:ind w:right="20"/>
        <w:spacing w:after="0" w:line="263" w:lineRule="auto"/>
        <w:rPr>
          <w:sz w:val="20"/>
          <w:szCs w:val="20"/>
          <w:color w:val="auto"/>
        </w:rPr>
      </w:pPr>
      <w:r>
        <w:rPr>
          <w:rFonts w:ascii="Arial" w:cs="Arial" w:eastAsia="Arial" w:hAnsi="Arial"/>
          <w:sz w:val="15"/>
          <w:szCs w:val="15"/>
          <w:color w:val="auto"/>
        </w:rPr>
        <w:t>Revenue decreased by 9% to $40.7m (Q2 2024: $44.7m) driven by challenging market conditions, notably volatility following the announcements of US tariffs in April, before improving later in the quarter. Notwithstanding, the business performed well in this environment adding new clients and assisting existing clients with their risk management requirements.</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auto"/>
        </w:rPr>
        <w:t>Hedging Solutions revenue decreased by $3.4m to $19.6m (Q2 2024: $23.0m) as uncertainty around tariff announcements led to an overall reduction and shortening</w:t>
      </w:r>
    </w:p>
    <w:p>
      <w:pPr>
        <w:spacing w:after="0" w:line="28" w:lineRule="exact"/>
        <w:rPr>
          <w:sz w:val="20"/>
          <w:szCs w:val="20"/>
          <w:color w:val="auto"/>
        </w:rPr>
      </w:pPr>
    </w:p>
    <w:p>
      <w:pPr>
        <w:ind w:right="480"/>
        <w:spacing w:after="0" w:line="285" w:lineRule="auto"/>
        <w:rPr>
          <w:sz w:val="20"/>
          <w:szCs w:val="20"/>
          <w:color w:val="auto"/>
        </w:rPr>
      </w:pPr>
      <w:r>
        <w:rPr>
          <w:rFonts w:ascii="Arial" w:cs="Arial" w:eastAsia="Arial" w:hAnsi="Arial"/>
          <w:sz w:val="15"/>
          <w:szCs w:val="15"/>
          <w:color w:val="auto"/>
        </w:rPr>
        <w:t>of duration in client hedging activity. Financial Products revenue was marginally down $0.6m to $21.1m (Q2 2024: $21.7m) as US tariff announcements in April caused an initial slowdown in client activity which subsequently recovered later in the quarter.</w:t>
      </w:r>
    </w:p>
    <w:p>
      <w:pPr>
        <w:spacing w:after="0" w:line="50" w:lineRule="exact"/>
        <w:rPr>
          <w:sz w:val="20"/>
          <w:szCs w:val="20"/>
          <w:color w:val="auto"/>
        </w:rPr>
      </w:pPr>
    </w:p>
    <w:p>
      <w:pPr>
        <w:ind w:right="180"/>
        <w:spacing w:after="0" w:line="241" w:lineRule="auto"/>
        <w:rPr>
          <w:sz w:val="20"/>
          <w:szCs w:val="20"/>
          <w:color w:val="auto"/>
        </w:rPr>
      </w:pPr>
      <w:r>
        <w:rPr>
          <w:rFonts w:ascii="Arial" w:cs="Arial" w:eastAsia="Arial" w:hAnsi="Arial"/>
          <w:sz w:val="15"/>
          <w:szCs w:val="15"/>
          <w:color w:val="auto"/>
        </w:rPr>
        <w:t>Adjusted Profit Before Tax</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decreased by 55% to $6.3m (Q2 2024: $14.1m), while Adjusted Profit Before Tax Margins</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also decreased to 15% (Q2 2024: 32%) as a result of the ongoing investment in our technology platform to support future growth, while Q2 2024 also benefited from a $1.8m bad debt provision release for a position fully provided for in 2023.</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Performance for the six months ended 30 June 2025</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Q2 2025 was a more challenging market when compared to Q1 2025 following the announcement of US tariffs in April. Notwithstanding, on a cumulative basis H1</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2025 Hedging and Investment Solutions revenue was stable at $85.7m compared to H1 2024 of $86.0m.</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Financial products revenue increased by 19% to $51.8m (H1 2024: $43.5m) driven by growth in clients. Hedging Solutions revenue decreased by 20% to $33.9m (H1</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2024: $42.5m) as an overall reduction and shortening of duration in client hedging activity was caused by the US tariff announcements in Q2 2025.</w:t>
      </w:r>
    </w:p>
    <w:p>
      <w:pPr>
        <w:spacing w:after="0" w:line="109" w:lineRule="exact"/>
        <w:rPr>
          <w:sz w:val="20"/>
          <w:szCs w:val="20"/>
          <w:color w:val="auto"/>
        </w:rPr>
      </w:pPr>
    </w:p>
    <w:p>
      <w:pPr>
        <w:ind w:right="180"/>
        <w:spacing w:after="0" w:line="231" w:lineRule="auto"/>
        <w:rPr>
          <w:sz w:val="20"/>
          <w:szCs w:val="20"/>
          <w:color w:val="auto"/>
        </w:rPr>
      </w:pPr>
      <w:r>
        <w:rPr>
          <w:rFonts w:ascii="Arial" w:cs="Arial" w:eastAsia="Arial" w:hAnsi="Arial"/>
          <w:sz w:val="15"/>
          <w:szCs w:val="15"/>
          <w:color w:val="auto"/>
        </w:rPr>
        <w:t>Adjusted Profit Before Tax</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decreased 33% to $17.3m (H1 2024: $26.0m). Adjusted Profit Before Tax Margin</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decreased by 1,000 bps to 20% (H1 2024: 30%) as a result of the ongoing investment in our technology platform to support future growth.</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11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 months ended</w:t>
            </w:r>
          </w:p>
        </w:tc>
        <w:tc>
          <w:tcPr>
            <w:tcW w:w="1540" w:type="dxa"/>
            <w:vAlign w:val="bottom"/>
          </w:tcPr>
          <w:p>
            <w:pPr>
              <w:jc w:val="right"/>
              <w:ind w:right="186"/>
              <w:spacing w:after="0"/>
              <w:rPr>
                <w:sz w:val="20"/>
                <w:szCs w:val="20"/>
                <w:color w:val="auto"/>
              </w:rPr>
            </w:pPr>
            <w:r>
              <w:rPr>
                <w:rFonts w:ascii="Arial" w:cs="Arial" w:eastAsia="Arial" w:hAnsi="Arial"/>
                <w:sz w:val="13"/>
                <w:szCs w:val="13"/>
                <w:b w:val="1"/>
                <w:bCs w:val="1"/>
                <w:color w:val="auto"/>
              </w:rPr>
              <w:t>3 months ended</w:t>
            </w:r>
          </w:p>
        </w:tc>
        <w:tc>
          <w:tcPr>
            <w:tcW w:w="1200" w:type="dxa"/>
            <w:vAlign w:val="bottom"/>
          </w:tcPr>
          <w:p>
            <w:pPr>
              <w:spacing w:after="0"/>
              <w:rPr>
                <w:sz w:val="16"/>
                <w:szCs w:val="16"/>
                <w:color w:val="auto"/>
              </w:rPr>
            </w:pPr>
          </w:p>
        </w:tc>
        <w:tc>
          <w:tcPr>
            <w:tcW w:w="116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6 months ended</w:t>
            </w:r>
          </w:p>
        </w:tc>
        <w:tc>
          <w:tcPr>
            <w:tcW w:w="1540" w:type="dxa"/>
            <w:vAlign w:val="bottom"/>
          </w:tcPr>
          <w:p>
            <w:pPr>
              <w:jc w:val="right"/>
              <w:ind w:right="186"/>
              <w:spacing w:after="0"/>
              <w:rPr>
                <w:sz w:val="20"/>
                <w:szCs w:val="20"/>
                <w:color w:val="auto"/>
              </w:rPr>
            </w:pPr>
            <w:r>
              <w:rPr>
                <w:rFonts w:ascii="Arial" w:cs="Arial" w:eastAsia="Arial" w:hAnsi="Arial"/>
                <w:sz w:val="13"/>
                <w:szCs w:val="13"/>
                <w:b w:val="1"/>
                <w:bCs w:val="1"/>
                <w:color w:val="auto"/>
              </w:rPr>
              <w:t>6 months ended</w:t>
            </w:r>
          </w:p>
        </w:tc>
        <w:tc>
          <w:tcPr>
            <w:tcW w:w="1040" w:type="dxa"/>
            <w:vAlign w:val="bottom"/>
          </w:tcPr>
          <w:p>
            <w:pPr>
              <w:spacing w:after="0"/>
              <w:rPr>
                <w:sz w:val="16"/>
                <w:szCs w:val="16"/>
                <w:color w:val="auto"/>
              </w:rPr>
            </w:pPr>
          </w:p>
        </w:tc>
      </w:tr>
      <w:tr>
        <w:trPr>
          <w:trHeight w:val="192"/>
        </w:trPr>
        <w:tc>
          <w:tcPr>
            <w:tcW w:w="3600" w:type="dxa"/>
            <w:vAlign w:val="bottom"/>
          </w:tcPr>
          <w:p>
            <w:pPr>
              <w:spacing w:after="0"/>
              <w:rPr>
                <w:sz w:val="16"/>
                <w:szCs w:val="16"/>
                <w:color w:val="auto"/>
              </w:rPr>
            </w:pPr>
          </w:p>
        </w:tc>
        <w:tc>
          <w:tcPr>
            <w:tcW w:w="11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540" w:type="dxa"/>
            <w:vAlign w:val="bottom"/>
          </w:tcPr>
          <w:p>
            <w:pPr>
              <w:jc w:val="right"/>
              <w:ind w:right="186"/>
              <w:spacing w:after="0"/>
              <w:rPr>
                <w:sz w:val="20"/>
                <w:szCs w:val="20"/>
                <w:color w:val="auto"/>
              </w:rPr>
            </w:pPr>
            <w:r>
              <w:rPr>
                <w:rFonts w:ascii="Arial" w:cs="Arial" w:eastAsia="Arial" w:hAnsi="Arial"/>
                <w:sz w:val="13"/>
                <w:szCs w:val="13"/>
                <w:b w:val="1"/>
                <w:bCs w:val="1"/>
                <w:color w:val="auto"/>
              </w:rPr>
              <w:t>30 June 2024</w:t>
            </w:r>
          </w:p>
        </w:tc>
        <w:tc>
          <w:tcPr>
            <w:tcW w:w="1200" w:type="dxa"/>
            <w:vAlign w:val="bottom"/>
          </w:tcPr>
          <w:p>
            <w:pPr>
              <w:spacing w:after="0"/>
              <w:rPr>
                <w:sz w:val="16"/>
                <w:szCs w:val="16"/>
                <w:color w:val="auto"/>
              </w:rPr>
            </w:pPr>
          </w:p>
        </w:tc>
        <w:tc>
          <w:tcPr>
            <w:tcW w:w="116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540" w:type="dxa"/>
            <w:vAlign w:val="bottom"/>
          </w:tcPr>
          <w:p>
            <w:pPr>
              <w:jc w:val="right"/>
              <w:ind w:right="186"/>
              <w:spacing w:after="0"/>
              <w:rPr>
                <w:sz w:val="20"/>
                <w:szCs w:val="20"/>
                <w:color w:val="auto"/>
              </w:rPr>
            </w:pPr>
            <w:r>
              <w:rPr>
                <w:rFonts w:ascii="Arial" w:cs="Arial" w:eastAsia="Arial" w:hAnsi="Arial"/>
                <w:sz w:val="13"/>
                <w:szCs w:val="13"/>
                <w:b w:val="1"/>
                <w:bCs w:val="1"/>
                <w:color w:val="auto"/>
              </w:rPr>
              <w:t>30 June 2024</w:t>
            </w:r>
          </w:p>
        </w:tc>
        <w:tc>
          <w:tcPr>
            <w:tcW w:w="1040" w:type="dxa"/>
            <w:vAlign w:val="bottom"/>
          </w:tcPr>
          <w:p>
            <w:pPr>
              <w:spacing w:after="0"/>
              <w:rPr>
                <w:sz w:val="16"/>
                <w:szCs w:val="16"/>
                <w:color w:val="auto"/>
              </w:rPr>
            </w:pPr>
          </w:p>
        </w:tc>
      </w:tr>
      <w:tr>
        <w:trPr>
          <w:trHeight w:val="224"/>
        </w:trPr>
        <w:tc>
          <w:tcPr>
            <w:tcW w:w="3600" w:type="dxa"/>
            <w:vAlign w:val="bottom"/>
          </w:tcPr>
          <w:p>
            <w:pPr>
              <w:spacing w:after="0"/>
              <w:rPr>
                <w:sz w:val="19"/>
                <w:szCs w:val="19"/>
                <w:color w:val="auto"/>
              </w:rPr>
            </w:pPr>
          </w:p>
        </w:tc>
        <w:tc>
          <w:tcPr>
            <w:tcW w:w="114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540" w:type="dxa"/>
            <w:vAlign w:val="bottom"/>
          </w:tcPr>
          <w:p>
            <w:pPr>
              <w:jc w:val="right"/>
              <w:ind w:right="186"/>
              <w:spacing w:after="0"/>
              <w:rPr>
                <w:sz w:val="20"/>
                <w:szCs w:val="20"/>
                <w:color w:val="auto"/>
              </w:rPr>
            </w:pPr>
            <w:r>
              <w:rPr>
                <w:rFonts w:ascii="Arial" w:cs="Arial" w:eastAsia="Arial" w:hAnsi="Arial"/>
                <w:sz w:val="13"/>
                <w:szCs w:val="13"/>
                <w:b w:val="1"/>
                <w:bCs w:val="1"/>
                <w:color w:val="auto"/>
              </w:rPr>
              <w:t>$m</w:t>
            </w:r>
          </w:p>
        </w:tc>
        <w:tc>
          <w:tcPr>
            <w:tcW w:w="1200" w:type="dxa"/>
            <w:vAlign w:val="bottom"/>
          </w:tcPr>
          <w:p>
            <w:pPr>
              <w:jc w:val="right"/>
              <w:ind w:right="85"/>
              <w:spacing w:after="0"/>
              <w:rPr>
                <w:sz w:val="20"/>
                <w:szCs w:val="20"/>
                <w:color w:val="auto"/>
              </w:rPr>
            </w:pPr>
            <w:r>
              <w:rPr>
                <w:rFonts w:ascii="Arial" w:cs="Arial" w:eastAsia="Arial" w:hAnsi="Arial"/>
                <w:sz w:val="13"/>
                <w:szCs w:val="13"/>
                <w:b w:val="1"/>
                <w:bCs w:val="1"/>
                <w:color w:val="auto"/>
              </w:rPr>
              <w:t>Change</w:t>
            </w:r>
          </w:p>
        </w:tc>
        <w:tc>
          <w:tcPr>
            <w:tcW w:w="116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540" w:type="dxa"/>
            <w:vAlign w:val="bottom"/>
          </w:tcPr>
          <w:p>
            <w:pPr>
              <w:jc w:val="right"/>
              <w:ind w:right="186"/>
              <w:spacing w:after="0"/>
              <w:rPr>
                <w:sz w:val="20"/>
                <w:szCs w:val="20"/>
                <w:color w:val="auto"/>
              </w:rPr>
            </w:pPr>
            <w:r>
              <w:rPr>
                <w:rFonts w:ascii="Arial" w:cs="Arial" w:eastAsia="Arial" w:hAnsi="Arial"/>
                <w:sz w:val="13"/>
                <w:szCs w:val="13"/>
                <w:b w:val="1"/>
                <w:bCs w:val="1"/>
                <w:color w:val="auto"/>
              </w:rPr>
              <w:t>$m</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Change</w:t>
            </w:r>
          </w:p>
        </w:tc>
      </w:tr>
      <w:tr>
        <w:trPr>
          <w:trHeight w:val="237"/>
        </w:trPr>
        <w:tc>
          <w:tcPr>
            <w:tcW w:w="360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Hedging solutions</w:t>
            </w:r>
          </w:p>
        </w:tc>
        <w:tc>
          <w:tcPr>
            <w:tcW w:w="11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19.6</w:t>
            </w:r>
          </w:p>
        </w:tc>
        <w:tc>
          <w:tcPr>
            <w:tcW w:w="1540" w:type="dxa"/>
            <w:vAlign w:val="bottom"/>
            <w:tcBorders>
              <w:top w:val="single" w:sz="8" w:color="793690"/>
            </w:tcBorders>
          </w:tcPr>
          <w:p>
            <w:pPr>
              <w:jc w:val="right"/>
              <w:ind w:right="226"/>
              <w:spacing w:after="0"/>
              <w:rPr>
                <w:sz w:val="20"/>
                <w:szCs w:val="20"/>
                <w:color w:val="auto"/>
              </w:rPr>
            </w:pPr>
            <w:r>
              <w:rPr>
                <w:rFonts w:ascii="Arial" w:cs="Arial" w:eastAsia="Arial" w:hAnsi="Arial"/>
                <w:sz w:val="15"/>
                <w:szCs w:val="15"/>
                <w:color w:val="auto"/>
              </w:rPr>
              <w:t>23.0</w:t>
            </w:r>
          </w:p>
        </w:tc>
        <w:tc>
          <w:tcPr>
            <w:tcW w:w="1200" w:type="dxa"/>
            <w:vAlign w:val="bottom"/>
            <w:tcBorders>
              <w:top w:val="single" w:sz="8" w:color="793690"/>
            </w:tcBorders>
          </w:tcPr>
          <w:p>
            <w:pPr>
              <w:jc w:val="right"/>
              <w:ind w:right="85"/>
              <w:spacing w:after="0"/>
              <w:rPr>
                <w:sz w:val="20"/>
                <w:szCs w:val="20"/>
                <w:color w:val="auto"/>
              </w:rPr>
            </w:pPr>
            <w:r>
              <w:rPr>
                <w:rFonts w:ascii="Arial" w:cs="Arial" w:eastAsia="Arial" w:hAnsi="Arial"/>
                <w:sz w:val="15"/>
                <w:szCs w:val="15"/>
                <w:color w:val="auto"/>
              </w:rPr>
              <w:t>(15)%</w:t>
            </w:r>
          </w:p>
        </w:tc>
        <w:tc>
          <w:tcPr>
            <w:tcW w:w="1160" w:type="dxa"/>
            <w:vAlign w:val="bottom"/>
            <w:tcBorders>
              <w:top w:val="single" w:sz="8" w:color="793690"/>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33.9</w:t>
            </w:r>
          </w:p>
        </w:tc>
        <w:tc>
          <w:tcPr>
            <w:tcW w:w="1540" w:type="dxa"/>
            <w:vAlign w:val="bottom"/>
            <w:tcBorders>
              <w:top w:val="single" w:sz="8" w:color="793690"/>
            </w:tcBorders>
          </w:tcPr>
          <w:p>
            <w:pPr>
              <w:jc w:val="right"/>
              <w:ind w:right="246"/>
              <w:spacing w:after="0"/>
              <w:rPr>
                <w:sz w:val="20"/>
                <w:szCs w:val="20"/>
                <w:color w:val="auto"/>
              </w:rPr>
            </w:pPr>
            <w:r>
              <w:rPr>
                <w:rFonts w:ascii="Arial" w:cs="Arial" w:eastAsia="Arial" w:hAnsi="Arial"/>
                <w:sz w:val="15"/>
                <w:szCs w:val="15"/>
                <w:color w:val="auto"/>
              </w:rPr>
              <w:t>42.5</w:t>
            </w:r>
          </w:p>
        </w:tc>
        <w:tc>
          <w:tcPr>
            <w:tcW w:w="10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(20)%</w:t>
            </w:r>
          </w:p>
        </w:tc>
      </w:tr>
      <w:tr>
        <w:trPr>
          <w:trHeight w:val="236"/>
        </w:trPr>
        <w:tc>
          <w:tcPr>
            <w:tcW w:w="36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Financial products</w:t>
            </w: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21.1</w:t>
            </w:r>
          </w:p>
        </w:tc>
        <w:tc>
          <w:tcPr>
            <w:tcW w:w="1540" w:type="dxa"/>
            <w:vAlign w:val="bottom"/>
            <w:tcBorders>
              <w:top w:val="single" w:sz="8" w:color="DADAE7"/>
            </w:tcBorders>
          </w:tcPr>
          <w:p>
            <w:pPr>
              <w:jc w:val="right"/>
              <w:ind w:right="226"/>
              <w:spacing w:after="0"/>
              <w:rPr>
                <w:sz w:val="20"/>
                <w:szCs w:val="20"/>
                <w:color w:val="auto"/>
              </w:rPr>
            </w:pPr>
            <w:r>
              <w:rPr>
                <w:rFonts w:ascii="Arial" w:cs="Arial" w:eastAsia="Arial" w:hAnsi="Arial"/>
                <w:sz w:val="15"/>
                <w:szCs w:val="15"/>
                <w:color w:val="auto"/>
              </w:rPr>
              <w:t>21.7</w:t>
            </w:r>
          </w:p>
        </w:tc>
        <w:tc>
          <w:tcPr>
            <w:tcW w:w="1200" w:type="dxa"/>
            <w:vAlign w:val="bottom"/>
            <w:tcBorders>
              <w:top w:val="single" w:sz="8" w:color="DADAE7"/>
            </w:tcBorders>
          </w:tcPr>
          <w:p>
            <w:pPr>
              <w:jc w:val="right"/>
              <w:ind w:right="85"/>
              <w:spacing w:after="0"/>
              <w:rPr>
                <w:sz w:val="20"/>
                <w:szCs w:val="20"/>
                <w:color w:val="auto"/>
              </w:rPr>
            </w:pPr>
            <w:r>
              <w:rPr>
                <w:rFonts w:ascii="Arial" w:cs="Arial" w:eastAsia="Arial" w:hAnsi="Arial"/>
                <w:sz w:val="15"/>
                <w:szCs w:val="15"/>
                <w:color w:val="auto"/>
              </w:rPr>
              <w:t>(3)%</w:t>
            </w:r>
          </w:p>
        </w:tc>
        <w:tc>
          <w:tcPr>
            <w:tcW w:w="116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51.8</w:t>
            </w:r>
          </w:p>
        </w:tc>
        <w:tc>
          <w:tcPr>
            <w:tcW w:w="1540" w:type="dxa"/>
            <w:vAlign w:val="bottom"/>
            <w:tcBorders>
              <w:top w:val="single" w:sz="8" w:color="DADAE7"/>
            </w:tcBorders>
          </w:tcPr>
          <w:p>
            <w:pPr>
              <w:jc w:val="right"/>
              <w:ind w:right="246"/>
              <w:spacing w:after="0"/>
              <w:rPr>
                <w:sz w:val="20"/>
                <w:szCs w:val="20"/>
                <w:color w:val="auto"/>
              </w:rPr>
            </w:pPr>
            <w:r>
              <w:rPr>
                <w:rFonts w:ascii="Arial" w:cs="Arial" w:eastAsia="Arial" w:hAnsi="Arial"/>
                <w:sz w:val="15"/>
                <w:szCs w:val="15"/>
                <w:color w:val="auto"/>
              </w:rPr>
              <w:t>43.5</w:t>
            </w:r>
          </w:p>
        </w:tc>
        <w:tc>
          <w:tcPr>
            <w:tcW w:w="10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19%</w:t>
            </w:r>
          </w:p>
        </w:tc>
      </w:tr>
      <w:tr>
        <w:trPr>
          <w:trHeight w:val="237"/>
        </w:trPr>
        <w:tc>
          <w:tcPr>
            <w:tcW w:w="360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Revenue</w:t>
            </w:r>
          </w:p>
        </w:tc>
        <w:tc>
          <w:tcPr>
            <w:tcW w:w="11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40.7</w:t>
            </w:r>
          </w:p>
        </w:tc>
        <w:tc>
          <w:tcPr>
            <w:tcW w:w="1540" w:type="dxa"/>
            <w:vAlign w:val="bottom"/>
            <w:tcBorders>
              <w:top w:val="single" w:sz="8" w:color="793690"/>
            </w:tcBorders>
          </w:tcPr>
          <w:p>
            <w:pPr>
              <w:jc w:val="right"/>
              <w:ind w:right="226"/>
              <w:spacing w:after="0"/>
              <w:rPr>
                <w:sz w:val="20"/>
                <w:szCs w:val="20"/>
                <w:color w:val="auto"/>
              </w:rPr>
            </w:pPr>
            <w:r>
              <w:rPr>
                <w:rFonts w:ascii="Arial" w:cs="Arial" w:eastAsia="Arial" w:hAnsi="Arial"/>
                <w:sz w:val="15"/>
                <w:szCs w:val="15"/>
                <w:color w:val="auto"/>
              </w:rPr>
              <w:t>44.7</w:t>
            </w:r>
          </w:p>
        </w:tc>
        <w:tc>
          <w:tcPr>
            <w:tcW w:w="1200" w:type="dxa"/>
            <w:vAlign w:val="bottom"/>
            <w:tcBorders>
              <w:top w:val="single" w:sz="8" w:color="793690"/>
            </w:tcBorders>
          </w:tcPr>
          <w:p>
            <w:pPr>
              <w:jc w:val="right"/>
              <w:ind w:right="85"/>
              <w:spacing w:after="0"/>
              <w:rPr>
                <w:sz w:val="20"/>
                <w:szCs w:val="20"/>
                <w:color w:val="auto"/>
              </w:rPr>
            </w:pPr>
            <w:r>
              <w:rPr>
                <w:rFonts w:ascii="Arial" w:cs="Arial" w:eastAsia="Arial" w:hAnsi="Arial"/>
                <w:sz w:val="15"/>
                <w:szCs w:val="15"/>
                <w:color w:val="auto"/>
              </w:rPr>
              <w:t>(9)%</w:t>
            </w:r>
          </w:p>
        </w:tc>
        <w:tc>
          <w:tcPr>
            <w:tcW w:w="1160" w:type="dxa"/>
            <w:vAlign w:val="bottom"/>
            <w:tcBorders>
              <w:top w:val="single" w:sz="8" w:color="793690"/>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85.7</w:t>
            </w:r>
          </w:p>
        </w:tc>
        <w:tc>
          <w:tcPr>
            <w:tcW w:w="1540" w:type="dxa"/>
            <w:vAlign w:val="bottom"/>
            <w:tcBorders>
              <w:top w:val="single" w:sz="8" w:color="793690"/>
            </w:tcBorders>
          </w:tcPr>
          <w:p>
            <w:pPr>
              <w:jc w:val="right"/>
              <w:ind w:right="246"/>
              <w:spacing w:after="0"/>
              <w:rPr>
                <w:sz w:val="20"/>
                <w:szCs w:val="20"/>
                <w:color w:val="auto"/>
              </w:rPr>
            </w:pPr>
            <w:r>
              <w:rPr>
                <w:rFonts w:ascii="Arial" w:cs="Arial" w:eastAsia="Arial" w:hAnsi="Arial"/>
                <w:sz w:val="15"/>
                <w:szCs w:val="15"/>
                <w:color w:val="auto"/>
              </w:rPr>
              <w:t>86.0</w:t>
            </w:r>
          </w:p>
        </w:tc>
        <w:tc>
          <w:tcPr>
            <w:tcW w:w="10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w:t>
            </w:r>
          </w:p>
        </w:tc>
      </w:tr>
      <w:tr>
        <w:trPr>
          <w:trHeight w:val="236"/>
        </w:trPr>
        <w:tc>
          <w:tcPr>
            <w:tcW w:w="36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Front office costs</w:t>
            </w: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(25.3)</w:t>
            </w:r>
          </w:p>
        </w:tc>
        <w:tc>
          <w:tcPr>
            <w:tcW w:w="1540" w:type="dxa"/>
            <w:vAlign w:val="bottom"/>
            <w:tcBorders>
              <w:top w:val="single" w:sz="8" w:color="DADAE7"/>
            </w:tcBorders>
          </w:tcPr>
          <w:p>
            <w:pPr>
              <w:jc w:val="right"/>
              <w:ind w:right="186"/>
              <w:spacing w:after="0"/>
              <w:rPr>
                <w:sz w:val="20"/>
                <w:szCs w:val="20"/>
                <w:color w:val="auto"/>
              </w:rPr>
            </w:pPr>
            <w:r>
              <w:rPr>
                <w:rFonts w:ascii="Arial" w:cs="Arial" w:eastAsia="Arial" w:hAnsi="Arial"/>
                <w:sz w:val="15"/>
                <w:szCs w:val="15"/>
                <w:color w:val="auto"/>
              </w:rPr>
              <w:t>(25.5)</w:t>
            </w:r>
          </w:p>
        </w:tc>
        <w:tc>
          <w:tcPr>
            <w:tcW w:w="1200" w:type="dxa"/>
            <w:vAlign w:val="bottom"/>
            <w:tcBorders>
              <w:top w:val="single" w:sz="8" w:color="DADAE7"/>
            </w:tcBorders>
          </w:tcPr>
          <w:p>
            <w:pPr>
              <w:jc w:val="right"/>
              <w:ind w:right="85"/>
              <w:spacing w:after="0"/>
              <w:rPr>
                <w:sz w:val="20"/>
                <w:szCs w:val="20"/>
                <w:color w:val="auto"/>
              </w:rPr>
            </w:pPr>
            <w:r>
              <w:rPr>
                <w:rFonts w:ascii="Arial" w:cs="Arial" w:eastAsia="Arial" w:hAnsi="Arial"/>
                <w:sz w:val="15"/>
                <w:szCs w:val="15"/>
                <w:color w:val="auto"/>
              </w:rPr>
              <w:t>(1)%</w:t>
            </w:r>
          </w:p>
        </w:tc>
        <w:tc>
          <w:tcPr>
            <w:tcW w:w="11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(51.0)</w:t>
            </w:r>
          </w:p>
        </w:tc>
        <w:tc>
          <w:tcPr>
            <w:tcW w:w="1540" w:type="dxa"/>
            <w:vAlign w:val="bottom"/>
            <w:tcBorders>
              <w:top w:val="single" w:sz="8" w:color="DADAE7"/>
            </w:tcBorders>
          </w:tcPr>
          <w:p>
            <w:pPr>
              <w:jc w:val="right"/>
              <w:ind w:right="206"/>
              <w:spacing w:after="0"/>
              <w:rPr>
                <w:sz w:val="20"/>
                <w:szCs w:val="20"/>
                <w:color w:val="auto"/>
              </w:rPr>
            </w:pPr>
            <w:r>
              <w:rPr>
                <w:rFonts w:ascii="Arial" w:cs="Arial" w:eastAsia="Arial" w:hAnsi="Arial"/>
                <w:sz w:val="15"/>
                <w:szCs w:val="15"/>
                <w:color w:val="auto"/>
              </w:rPr>
              <w:t>(48.2)</w:t>
            </w:r>
          </w:p>
        </w:tc>
        <w:tc>
          <w:tcPr>
            <w:tcW w:w="10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6%</w:t>
            </w:r>
          </w:p>
        </w:tc>
      </w:tr>
      <w:tr>
        <w:trPr>
          <w:trHeight w:val="237"/>
        </w:trPr>
        <w:tc>
          <w:tcPr>
            <w:tcW w:w="36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Control and support costs</w:t>
            </w: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(9.0)</w:t>
            </w:r>
          </w:p>
        </w:tc>
        <w:tc>
          <w:tcPr>
            <w:tcW w:w="1540" w:type="dxa"/>
            <w:vAlign w:val="bottom"/>
            <w:tcBorders>
              <w:top w:val="single" w:sz="8" w:color="DADAE7"/>
            </w:tcBorders>
          </w:tcPr>
          <w:p>
            <w:pPr>
              <w:jc w:val="right"/>
              <w:ind w:right="186"/>
              <w:spacing w:after="0"/>
              <w:rPr>
                <w:sz w:val="20"/>
                <w:szCs w:val="20"/>
                <w:color w:val="auto"/>
              </w:rPr>
            </w:pPr>
            <w:r>
              <w:rPr>
                <w:rFonts w:ascii="Arial" w:cs="Arial" w:eastAsia="Arial" w:hAnsi="Arial"/>
                <w:sz w:val="15"/>
                <w:szCs w:val="15"/>
                <w:color w:val="auto"/>
              </w:rPr>
              <w:t>(6.7)</w:t>
            </w:r>
          </w:p>
        </w:tc>
        <w:tc>
          <w:tcPr>
            <w:tcW w:w="1200" w:type="dxa"/>
            <w:vAlign w:val="bottom"/>
            <w:tcBorders>
              <w:top w:val="single" w:sz="8" w:color="DADAE7"/>
            </w:tcBorders>
          </w:tcPr>
          <w:p>
            <w:pPr>
              <w:jc w:val="right"/>
              <w:ind w:right="85"/>
              <w:spacing w:after="0"/>
              <w:rPr>
                <w:sz w:val="20"/>
                <w:szCs w:val="20"/>
                <w:color w:val="auto"/>
              </w:rPr>
            </w:pPr>
            <w:r>
              <w:rPr>
                <w:rFonts w:ascii="Arial" w:cs="Arial" w:eastAsia="Arial" w:hAnsi="Arial"/>
                <w:sz w:val="15"/>
                <w:szCs w:val="15"/>
                <w:color w:val="auto"/>
              </w:rPr>
              <w:t>34%</w:t>
            </w:r>
          </w:p>
        </w:tc>
        <w:tc>
          <w:tcPr>
            <w:tcW w:w="11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(17.1)</w:t>
            </w:r>
          </w:p>
        </w:tc>
        <w:tc>
          <w:tcPr>
            <w:tcW w:w="1540" w:type="dxa"/>
            <w:vAlign w:val="bottom"/>
            <w:tcBorders>
              <w:top w:val="single" w:sz="8" w:color="DADAE7"/>
            </w:tcBorders>
          </w:tcPr>
          <w:p>
            <w:pPr>
              <w:jc w:val="right"/>
              <w:ind w:right="206"/>
              <w:spacing w:after="0"/>
              <w:rPr>
                <w:sz w:val="20"/>
                <w:szCs w:val="20"/>
                <w:color w:val="auto"/>
              </w:rPr>
            </w:pPr>
            <w:r>
              <w:rPr>
                <w:rFonts w:ascii="Arial" w:cs="Arial" w:eastAsia="Arial" w:hAnsi="Arial"/>
                <w:sz w:val="15"/>
                <w:szCs w:val="15"/>
                <w:color w:val="auto"/>
              </w:rPr>
              <w:t>(13.3)</w:t>
            </w:r>
          </w:p>
        </w:tc>
        <w:tc>
          <w:tcPr>
            <w:tcW w:w="10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29%</w:t>
            </w:r>
          </w:p>
        </w:tc>
      </w:tr>
      <w:tr>
        <w:trPr>
          <w:trHeight w:val="236"/>
        </w:trPr>
        <w:tc>
          <w:tcPr>
            <w:tcW w:w="36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Provision for credit losses</w:t>
            </w: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540" w:type="dxa"/>
            <w:vAlign w:val="bottom"/>
            <w:tcBorders>
              <w:top w:val="single" w:sz="8" w:color="DADAE7"/>
            </w:tcBorders>
          </w:tcPr>
          <w:p>
            <w:pPr>
              <w:jc w:val="right"/>
              <w:ind w:right="226"/>
              <w:spacing w:after="0"/>
              <w:rPr>
                <w:sz w:val="20"/>
                <w:szCs w:val="20"/>
                <w:color w:val="auto"/>
              </w:rPr>
            </w:pPr>
            <w:r>
              <w:rPr>
                <w:rFonts w:ascii="Arial" w:cs="Arial" w:eastAsia="Arial" w:hAnsi="Arial"/>
                <w:sz w:val="15"/>
                <w:szCs w:val="15"/>
                <w:color w:val="auto"/>
              </w:rPr>
              <w:t>1.8</w:t>
            </w:r>
          </w:p>
        </w:tc>
        <w:tc>
          <w:tcPr>
            <w:tcW w:w="1200" w:type="dxa"/>
            <w:vAlign w:val="bottom"/>
            <w:tcBorders>
              <w:top w:val="single" w:sz="8" w:color="DADAE7"/>
            </w:tcBorders>
          </w:tcPr>
          <w:p>
            <w:pPr>
              <w:jc w:val="right"/>
              <w:ind w:right="85"/>
              <w:spacing w:after="0"/>
              <w:rPr>
                <w:sz w:val="20"/>
                <w:szCs w:val="20"/>
                <w:color w:val="auto"/>
              </w:rPr>
            </w:pPr>
            <w:r>
              <w:rPr>
                <w:rFonts w:ascii="Arial" w:cs="Arial" w:eastAsia="Arial" w:hAnsi="Arial"/>
                <w:sz w:val="15"/>
                <w:szCs w:val="15"/>
                <w:color w:val="auto"/>
              </w:rPr>
              <w:t>(100)%</w:t>
            </w:r>
          </w:p>
        </w:tc>
        <w:tc>
          <w:tcPr>
            <w:tcW w:w="116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w:t>
            </w:r>
          </w:p>
        </w:tc>
        <w:tc>
          <w:tcPr>
            <w:tcW w:w="1540" w:type="dxa"/>
            <w:vAlign w:val="bottom"/>
            <w:tcBorders>
              <w:top w:val="single" w:sz="8" w:color="DADAE7"/>
            </w:tcBorders>
          </w:tcPr>
          <w:p>
            <w:pPr>
              <w:jc w:val="right"/>
              <w:ind w:right="246"/>
              <w:spacing w:after="0"/>
              <w:rPr>
                <w:sz w:val="20"/>
                <w:szCs w:val="20"/>
                <w:color w:val="auto"/>
              </w:rPr>
            </w:pPr>
            <w:r>
              <w:rPr>
                <w:rFonts w:ascii="Arial" w:cs="Arial" w:eastAsia="Arial" w:hAnsi="Arial"/>
                <w:sz w:val="15"/>
                <w:szCs w:val="15"/>
                <w:color w:val="auto"/>
              </w:rPr>
              <w:t>1.8</w:t>
            </w:r>
          </w:p>
        </w:tc>
        <w:tc>
          <w:tcPr>
            <w:tcW w:w="10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(100)%</w:t>
            </w:r>
          </w:p>
        </w:tc>
      </w:tr>
      <w:tr>
        <w:trPr>
          <w:trHeight w:val="237"/>
        </w:trPr>
        <w:tc>
          <w:tcPr>
            <w:tcW w:w="36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Depreciation and amortisation</w:t>
            </w: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(0.1)</w:t>
            </w:r>
          </w:p>
        </w:tc>
        <w:tc>
          <w:tcPr>
            <w:tcW w:w="1540" w:type="dxa"/>
            <w:vAlign w:val="bottom"/>
            <w:tcBorders>
              <w:top w:val="single" w:sz="8" w:color="DADAE7"/>
            </w:tcBorders>
          </w:tcPr>
          <w:p>
            <w:pPr>
              <w:jc w:val="right"/>
              <w:ind w:right="186"/>
              <w:spacing w:after="0"/>
              <w:rPr>
                <w:sz w:val="20"/>
                <w:szCs w:val="20"/>
                <w:color w:val="auto"/>
              </w:rPr>
            </w:pPr>
            <w:r>
              <w:rPr>
                <w:rFonts w:ascii="Arial" w:cs="Arial" w:eastAsia="Arial" w:hAnsi="Arial"/>
                <w:sz w:val="15"/>
                <w:szCs w:val="15"/>
                <w:color w:val="auto"/>
              </w:rPr>
              <w:t>(0.2)</w:t>
            </w:r>
          </w:p>
        </w:tc>
        <w:tc>
          <w:tcPr>
            <w:tcW w:w="1200" w:type="dxa"/>
            <w:vAlign w:val="bottom"/>
            <w:tcBorders>
              <w:top w:val="single" w:sz="8" w:color="DADAE7"/>
            </w:tcBorders>
          </w:tcPr>
          <w:p>
            <w:pPr>
              <w:jc w:val="right"/>
              <w:ind w:right="85"/>
              <w:spacing w:after="0"/>
              <w:rPr>
                <w:sz w:val="20"/>
                <w:szCs w:val="20"/>
                <w:color w:val="auto"/>
              </w:rPr>
            </w:pPr>
            <w:r>
              <w:rPr>
                <w:rFonts w:ascii="Arial" w:cs="Arial" w:eastAsia="Arial" w:hAnsi="Arial"/>
                <w:sz w:val="15"/>
                <w:szCs w:val="15"/>
                <w:color w:val="auto"/>
              </w:rPr>
              <w:t>(50)%</w:t>
            </w:r>
          </w:p>
        </w:tc>
        <w:tc>
          <w:tcPr>
            <w:tcW w:w="11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(0.3)</w:t>
            </w:r>
          </w:p>
        </w:tc>
        <w:tc>
          <w:tcPr>
            <w:tcW w:w="1540" w:type="dxa"/>
            <w:vAlign w:val="bottom"/>
            <w:tcBorders>
              <w:top w:val="single" w:sz="8" w:color="DADAE7"/>
            </w:tcBorders>
          </w:tcPr>
          <w:p>
            <w:pPr>
              <w:jc w:val="right"/>
              <w:ind w:right="206"/>
              <w:spacing w:after="0"/>
              <w:rPr>
                <w:sz w:val="20"/>
                <w:szCs w:val="20"/>
                <w:color w:val="auto"/>
              </w:rPr>
            </w:pPr>
            <w:r>
              <w:rPr>
                <w:rFonts w:ascii="Arial" w:cs="Arial" w:eastAsia="Arial" w:hAnsi="Arial"/>
                <w:sz w:val="15"/>
                <w:szCs w:val="15"/>
                <w:color w:val="auto"/>
              </w:rPr>
              <w:t>(0.3)</w:t>
            </w:r>
          </w:p>
        </w:tc>
        <w:tc>
          <w:tcPr>
            <w:tcW w:w="10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0%</w:t>
            </w:r>
          </w:p>
        </w:tc>
      </w:tr>
      <w:tr>
        <w:trPr>
          <w:trHeight w:val="237"/>
        </w:trPr>
        <w:tc>
          <w:tcPr>
            <w:tcW w:w="3600" w:type="dxa"/>
            <w:vAlign w:val="bottom"/>
            <w:tcBorders>
              <w:top w:val="single" w:sz="8" w:color="DADAE7"/>
              <w:bottom w:val="single" w:sz="8" w:color="793690"/>
            </w:tcBorders>
          </w:tcPr>
          <w:p>
            <w:pPr>
              <w:ind w:left="20"/>
              <w:spacing w:after="0"/>
              <w:rPr>
                <w:sz w:val="20"/>
                <w:szCs w:val="20"/>
                <w:color w:val="auto"/>
              </w:rPr>
            </w:pPr>
            <w:r>
              <w:rPr>
                <w:rFonts w:ascii="Arial" w:cs="Arial" w:eastAsia="Arial" w:hAnsi="Arial"/>
                <w:sz w:val="15"/>
                <w:szCs w:val="15"/>
                <w:color w:val="auto"/>
              </w:rPr>
              <w:t>Other income</w:t>
            </w:r>
          </w:p>
        </w:tc>
        <w:tc>
          <w:tcPr>
            <w:tcW w:w="1140" w:type="dxa"/>
            <w:vAlign w:val="bottom"/>
            <w:tcBorders>
              <w:top w:val="single" w:sz="8" w:color="DADAE7"/>
              <w:bottom w:val="single" w:sz="8" w:color="793690"/>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540" w:type="dxa"/>
            <w:vAlign w:val="bottom"/>
            <w:tcBorders>
              <w:top w:val="single" w:sz="8" w:color="DADAE7"/>
              <w:bottom w:val="single" w:sz="8" w:color="793690"/>
            </w:tcBorders>
          </w:tcPr>
          <w:p>
            <w:pPr>
              <w:jc w:val="right"/>
              <w:ind w:right="226"/>
              <w:spacing w:after="0"/>
              <w:rPr>
                <w:sz w:val="20"/>
                <w:szCs w:val="20"/>
                <w:color w:val="auto"/>
              </w:rPr>
            </w:pPr>
            <w:r>
              <w:rPr>
                <w:rFonts w:ascii="Arial" w:cs="Arial" w:eastAsia="Arial" w:hAnsi="Arial"/>
                <w:sz w:val="15"/>
                <w:szCs w:val="15"/>
                <w:color w:val="auto"/>
              </w:rPr>
              <w:t>—</w:t>
            </w:r>
          </w:p>
        </w:tc>
        <w:tc>
          <w:tcPr>
            <w:tcW w:w="1200" w:type="dxa"/>
            <w:vAlign w:val="bottom"/>
            <w:tcBorders>
              <w:top w:val="single" w:sz="8" w:color="DADAE7"/>
              <w:bottom w:val="single" w:sz="8" w:color="793690"/>
            </w:tcBorders>
          </w:tcPr>
          <w:p>
            <w:pPr>
              <w:jc w:val="right"/>
              <w:ind w:right="85"/>
              <w:spacing w:after="0"/>
              <w:rPr>
                <w:sz w:val="20"/>
                <w:szCs w:val="20"/>
                <w:color w:val="auto"/>
              </w:rPr>
            </w:pPr>
            <w:r>
              <w:rPr>
                <w:rFonts w:ascii="Arial" w:cs="Arial" w:eastAsia="Arial" w:hAnsi="Arial"/>
                <w:sz w:val="15"/>
                <w:szCs w:val="15"/>
                <w:color w:val="auto"/>
              </w:rPr>
              <w:t>n.m.</w:t>
            </w:r>
            <w:r>
              <w:rPr>
                <w:rFonts w:ascii="Arial" w:cs="Arial" w:eastAsia="Arial" w:hAnsi="Arial"/>
                <w:sz w:val="19"/>
                <w:szCs w:val="19"/>
                <w:color w:val="auto"/>
                <w:vertAlign w:val="superscript"/>
              </w:rPr>
              <w:t>4</w:t>
            </w:r>
          </w:p>
        </w:tc>
        <w:tc>
          <w:tcPr>
            <w:tcW w:w="1160" w:type="dxa"/>
            <w:vAlign w:val="bottom"/>
            <w:tcBorders>
              <w:top w:val="single" w:sz="8" w:color="DADAE7"/>
              <w:bottom w:val="single" w:sz="8" w:color="793690"/>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w:t>
            </w:r>
          </w:p>
        </w:tc>
        <w:tc>
          <w:tcPr>
            <w:tcW w:w="1540" w:type="dxa"/>
            <w:vAlign w:val="bottom"/>
            <w:tcBorders>
              <w:top w:val="single" w:sz="8" w:color="DADAE7"/>
              <w:bottom w:val="single" w:sz="8" w:color="793690"/>
            </w:tcBorders>
          </w:tcPr>
          <w:p>
            <w:pPr>
              <w:jc w:val="right"/>
              <w:ind w:right="246"/>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DADAE7"/>
              <w:bottom w:val="single" w:sz="8" w:color="793690"/>
            </w:tcBorders>
          </w:tcPr>
          <w:p>
            <w:pPr>
              <w:jc w:val="right"/>
              <w:spacing w:after="0"/>
              <w:rPr>
                <w:sz w:val="20"/>
                <w:szCs w:val="20"/>
                <w:color w:val="auto"/>
              </w:rPr>
            </w:pPr>
            <w:r>
              <w:rPr>
                <w:rFonts w:ascii="Arial" w:cs="Arial" w:eastAsia="Arial" w:hAnsi="Arial"/>
                <w:sz w:val="15"/>
                <w:szCs w:val="15"/>
                <w:color w:val="auto"/>
              </w:rPr>
              <w:t>n.m.</w:t>
            </w:r>
            <w:r>
              <w:rPr>
                <w:rFonts w:ascii="Arial" w:cs="Arial" w:eastAsia="Arial" w:hAnsi="Arial"/>
                <w:sz w:val="19"/>
                <w:szCs w:val="19"/>
                <w:color w:val="auto"/>
                <w:vertAlign w:val="superscript"/>
              </w:rPr>
              <w:t>4</w:t>
            </w:r>
          </w:p>
        </w:tc>
      </w:tr>
      <w:tr>
        <w:trPr>
          <w:trHeight w:val="236"/>
        </w:trPr>
        <w:tc>
          <w:tcPr>
            <w:tcW w:w="3600" w:type="dxa"/>
            <w:vAlign w:val="bottom"/>
            <w:tcBorders>
              <w:bottom w:val="single" w:sz="8" w:color="DADAE7"/>
            </w:tcBorders>
          </w:tcPr>
          <w:p>
            <w:pPr>
              <w:ind w:left="20"/>
              <w:spacing w:after="0"/>
              <w:rPr>
                <w:sz w:val="20"/>
                <w:szCs w:val="20"/>
                <w:color w:val="auto"/>
              </w:rPr>
            </w:pPr>
            <w:r>
              <w:rPr>
                <w:rFonts w:ascii="Arial" w:cs="Arial" w:eastAsia="Arial" w:hAnsi="Arial"/>
                <w:sz w:val="15"/>
                <w:szCs w:val="15"/>
                <w:b w:val="1"/>
                <w:bCs w:val="1"/>
                <w:color w:val="auto"/>
              </w:rPr>
              <w:t>Adjusted Profit Before Tax ($m)</w:t>
            </w:r>
            <w:r>
              <w:rPr>
                <w:rFonts w:ascii="Arial" w:cs="Arial" w:eastAsia="Arial" w:hAnsi="Arial"/>
                <w:sz w:val="19"/>
                <w:szCs w:val="19"/>
                <w:b w:val="1"/>
                <w:bCs w:val="1"/>
                <w:color w:val="auto"/>
                <w:vertAlign w:val="superscript"/>
              </w:rPr>
              <w:t>1</w:t>
            </w:r>
          </w:p>
        </w:tc>
        <w:tc>
          <w:tcPr>
            <w:tcW w:w="114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6.3</w:t>
            </w:r>
          </w:p>
        </w:tc>
        <w:tc>
          <w:tcPr>
            <w:tcW w:w="1540" w:type="dxa"/>
            <w:vAlign w:val="bottom"/>
            <w:tcBorders>
              <w:bottom w:val="single" w:sz="8" w:color="DADAE7"/>
            </w:tcBorders>
          </w:tcPr>
          <w:p>
            <w:pPr>
              <w:jc w:val="right"/>
              <w:ind w:right="226"/>
              <w:spacing w:after="0"/>
              <w:rPr>
                <w:sz w:val="20"/>
                <w:szCs w:val="20"/>
                <w:color w:val="auto"/>
              </w:rPr>
            </w:pPr>
            <w:r>
              <w:rPr>
                <w:rFonts w:ascii="Arial" w:cs="Arial" w:eastAsia="Arial" w:hAnsi="Arial"/>
                <w:sz w:val="15"/>
                <w:szCs w:val="15"/>
                <w:color w:val="auto"/>
              </w:rPr>
              <w:t>14.1</w:t>
            </w:r>
          </w:p>
        </w:tc>
        <w:tc>
          <w:tcPr>
            <w:tcW w:w="1200" w:type="dxa"/>
            <w:vAlign w:val="bottom"/>
            <w:tcBorders>
              <w:bottom w:val="single" w:sz="8" w:color="DADAE7"/>
            </w:tcBorders>
          </w:tcPr>
          <w:p>
            <w:pPr>
              <w:jc w:val="right"/>
              <w:ind w:right="85"/>
              <w:spacing w:after="0"/>
              <w:rPr>
                <w:sz w:val="20"/>
                <w:szCs w:val="20"/>
                <w:color w:val="auto"/>
              </w:rPr>
            </w:pPr>
            <w:r>
              <w:rPr>
                <w:rFonts w:ascii="Arial" w:cs="Arial" w:eastAsia="Arial" w:hAnsi="Arial"/>
                <w:sz w:val="15"/>
                <w:szCs w:val="15"/>
                <w:color w:val="auto"/>
              </w:rPr>
              <w:t>(55)%</w:t>
            </w:r>
          </w:p>
        </w:tc>
        <w:tc>
          <w:tcPr>
            <w:tcW w:w="1160" w:type="dxa"/>
            <w:vAlign w:val="bottom"/>
            <w:tcBorders>
              <w:bottom w:val="single" w:sz="8" w:color="DADAE7"/>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17.3</w:t>
            </w:r>
          </w:p>
        </w:tc>
        <w:tc>
          <w:tcPr>
            <w:tcW w:w="1540" w:type="dxa"/>
            <w:vAlign w:val="bottom"/>
            <w:tcBorders>
              <w:bottom w:val="single" w:sz="8" w:color="DADAE7"/>
            </w:tcBorders>
          </w:tcPr>
          <w:p>
            <w:pPr>
              <w:jc w:val="right"/>
              <w:ind w:right="246"/>
              <w:spacing w:after="0"/>
              <w:rPr>
                <w:sz w:val="20"/>
                <w:szCs w:val="20"/>
                <w:color w:val="auto"/>
              </w:rPr>
            </w:pPr>
            <w:r>
              <w:rPr>
                <w:rFonts w:ascii="Arial" w:cs="Arial" w:eastAsia="Arial" w:hAnsi="Arial"/>
                <w:sz w:val="15"/>
                <w:szCs w:val="15"/>
                <w:color w:val="auto"/>
              </w:rPr>
              <w:t>26.0</w:t>
            </w:r>
          </w:p>
        </w:tc>
        <w:tc>
          <w:tcPr>
            <w:tcW w:w="1040" w:type="dxa"/>
            <w:vAlign w:val="bottom"/>
            <w:tcBorders>
              <w:bottom w:val="single" w:sz="8" w:color="DADAE7"/>
            </w:tcBorders>
          </w:tcPr>
          <w:p>
            <w:pPr>
              <w:jc w:val="right"/>
              <w:spacing w:after="0"/>
              <w:rPr>
                <w:sz w:val="20"/>
                <w:szCs w:val="20"/>
                <w:color w:val="auto"/>
              </w:rPr>
            </w:pPr>
            <w:r>
              <w:rPr>
                <w:rFonts w:ascii="Arial" w:cs="Arial" w:eastAsia="Arial" w:hAnsi="Arial"/>
                <w:sz w:val="15"/>
                <w:szCs w:val="15"/>
                <w:color w:val="auto"/>
              </w:rPr>
              <w:t>(33)%</w:t>
            </w:r>
          </w:p>
        </w:tc>
      </w:tr>
      <w:tr>
        <w:trPr>
          <w:trHeight w:val="237"/>
        </w:trPr>
        <w:tc>
          <w:tcPr>
            <w:tcW w:w="360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Adjusted Profit Before Tax Margin</w:t>
            </w:r>
            <w:r>
              <w:rPr>
                <w:rFonts w:ascii="Arial" w:cs="Arial" w:eastAsia="Arial" w:hAnsi="Arial"/>
                <w:sz w:val="19"/>
                <w:szCs w:val="19"/>
                <w:color w:val="auto"/>
                <w:vertAlign w:val="superscript"/>
              </w:rPr>
              <w:t>1</w:t>
            </w:r>
          </w:p>
        </w:tc>
        <w:tc>
          <w:tcPr>
            <w:tcW w:w="114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15%</w:t>
            </w:r>
          </w:p>
        </w:tc>
        <w:tc>
          <w:tcPr>
            <w:tcW w:w="1540" w:type="dxa"/>
            <w:vAlign w:val="bottom"/>
            <w:tcBorders>
              <w:bottom w:val="single" w:sz="8" w:color="DADAE7"/>
            </w:tcBorders>
          </w:tcPr>
          <w:p>
            <w:pPr>
              <w:jc w:val="right"/>
              <w:ind w:right="186"/>
              <w:spacing w:after="0"/>
              <w:rPr>
                <w:sz w:val="20"/>
                <w:szCs w:val="20"/>
                <w:color w:val="auto"/>
              </w:rPr>
            </w:pPr>
            <w:r>
              <w:rPr>
                <w:rFonts w:ascii="Arial" w:cs="Arial" w:eastAsia="Arial" w:hAnsi="Arial"/>
                <w:sz w:val="15"/>
                <w:szCs w:val="15"/>
                <w:color w:val="auto"/>
              </w:rPr>
              <w:t>32%</w:t>
            </w:r>
          </w:p>
        </w:tc>
        <w:tc>
          <w:tcPr>
            <w:tcW w:w="1200" w:type="dxa"/>
            <w:vAlign w:val="bottom"/>
            <w:tcBorders>
              <w:bottom w:val="single" w:sz="8" w:color="DADAE7"/>
            </w:tcBorders>
          </w:tcPr>
          <w:p>
            <w:pPr>
              <w:jc w:val="right"/>
              <w:ind w:right="85"/>
              <w:spacing w:after="0"/>
              <w:rPr>
                <w:sz w:val="20"/>
                <w:szCs w:val="20"/>
                <w:color w:val="auto"/>
              </w:rPr>
            </w:pPr>
            <w:r>
              <w:rPr>
                <w:rFonts w:ascii="Arial" w:cs="Arial" w:eastAsia="Arial" w:hAnsi="Arial"/>
                <w:sz w:val="15"/>
                <w:szCs w:val="15"/>
                <w:color w:val="auto"/>
              </w:rPr>
              <w:t>(1,700) bps</w:t>
            </w:r>
          </w:p>
        </w:tc>
        <w:tc>
          <w:tcPr>
            <w:tcW w:w="116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20%</w:t>
            </w:r>
          </w:p>
        </w:tc>
        <w:tc>
          <w:tcPr>
            <w:tcW w:w="1540" w:type="dxa"/>
            <w:vAlign w:val="bottom"/>
            <w:tcBorders>
              <w:bottom w:val="single" w:sz="8" w:color="DADAE7"/>
            </w:tcBorders>
          </w:tcPr>
          <w:p>
            <w:pPr>
              <w:jc w:val="right"/>
              <w:ind w:right="186"/>
              <w:spacing w:after="0"/>
              <w:rPr>
                <w:sz w:val="20"/>
                <w:szCs w:val="20"/>
                <w:color w:val="auto"/>
              </w:rPr>
            </w:pPr>
            <w:r>
              <w:rPr>
                <w:rFonts w:ascii="Arial" w:cs="Arial" w:eastAsia="Arial" w:hAnsi="Arial"/>
                <w:sz w:val="15"/>
                <w:szCs w:val="15"/>
                <w:color w:val="auto"/>
              </w:rPr>
              <w:t>30%</w:t>
            </w:r>
          </w:p>
        </w:tc>
        <w:tc>
          <w:tcPr>
            <w:tcW w:w="1040" w:type="dxa"/>
            <w:vAlign w:val="bottom"/>
            <w:tcBorders>
              <w:bottom w:val="single" w:sz="8" w:color="DADAE7"/>
            </w:tcBorders>
          </w:tcPr>
          <w:p>
            <w:pPr>
              <w:jc w:val="right"/>
              <w:spacing w:after="0"/>
              <w:rPr>
                <w:sz w:val="20"/>
                <w:szCs w:val="20"/>
                <w:color w:val="auto"/>
              </w:rPr>
            </w:pPr>
            <w:r>
              <w:rPr>
                <w:rFonts w:ascii="Arial" w:cs="Arial" w:eastAsia="Arial" w:hAnsi="Arial"/>
                <w:sz w:val="15"/>
                <w:szCs w:val="15"/>
                <w:color w:val="auto"/>
              </w:rPr>
              <w:t>(1,000) bps</w:t>
            </w:r>
          </w:p>
        </w:tc>
      </w:tr>
      <w:tr>
        <w:trPr>
          <w:trHeight w:val="236"/>
        </w:trPr>
        <w:tc>
          <w:tcPr>
            <w:tcW w:w="360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Front office headcount (No.)</w:t>
            </w:r>
            <w:r>
              <w:rPr>
                <w:rFonts w:ascii="Arial" w:cs="Arial" w:eastAsia="Arial" w:hAnsi="Arial"/>
                <w:sz w:val="19"/>
                <w:szCs w:val="19"/>
                <w:color w:val="auto"/>
                <w:vertAlign w:val="superscript"/>
              </w:rPr>
              <w:t>2</w:t>
            </w:r>
          </w:p>
        </w:tc>
        <w:tc>
          <w:tcPr>
            <w:tcW w:w="114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204</w:t>
            </w:r>
          </w:p>
        </w:tc>
        <w:tc>
          <w:tcPr>
            <w:tcW w:w="1540" w:type="dxa"/>
            <w:vAlign w:val="bottom"/>
            <w:tcBorders>
              <w:bottom w:val="single" w:sz="8" w:color="DADAE7"/>
            </w:tcBorders>
          </w:tcPr>
          <w:p>
            <w:pPr>
              <w:jc w:val="right"/>
              <w:ind w:right="226"/>
              <w:spacing w:after="0"/>
              <w:rPr>
                <w:sz w:val="20"/>
                <w:szCs w:val="20"/>
                <w:color w:val="auto"/>
              </w:rPr>
            </w:pPr>
            <w:r>
              <w:rPr>
                <w:rFonts w:ascii="Arial" w:cs="Arial" w:eastAsia="Arial" w:hAnsi="Arial"/>
                <w:sz w:val="15"/>
                <w:szCs w:val="15"/>
                <w:color w:val="auto"/>
              </w:rPr>
              <w:t>176</w:t>
            </w:r>
          </w:p>
        </w:tc>
        <w:tc>
          <w:tcPr>
            <w:tcW w:w="1200" w:type="dxa"/>
            <w:vAlign w:val="bottom"/>
            <w:tcBorders>
              <w:bottom w:val="single" w:sz="8" w:color="DADAE7"/>
            </w:tcBorders>
          </w:tcPr>
          <w:p>
            <w:pPr>
              <w:jc w:val="right"/>
              <w:ind w:right="85"/>
              <w:spacing w:after="0"/>
              <w:rPr>
                <w:sz w:val="20"/>
                <w:szCs w:val="20"/>
                <w:color w:val="auto"/>
              </w:rPr>
            </w:pPr>
            <w:r>
              <w:rPr>
                <w:rFonts w:ascii="Arial" w:cs="Arial" w:eastAsia="Arial" w:hAnsi="Arial"/>
                <w:sz w:val="15"/>
                <w:szCs w:val="15"/>
                <w:color w:val="auto"/>
              </w:rPr>
              <w:t>16%</w:t>
            </w:r>
          </w:p>
        </w:tc>
        <w:tc>
          <w:tcPr>
            <w:tcW w:w="1160" w:type="dxa"/>
            <w:vAlign w:val="bottom"/>
            <w:tcBorders>
              <w:bottom w:val="single" w:sz="8" w:color="DADAE7"/>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200</w:t>
            </w:r>
          </w:p>
        </w:tc>
        <w:tc>
          <w:tcPr>
            <w:tcW w:w="1540" w:type="dxa"/>
            <w:vAlign w:val="bottom"/>
            <w:tcBorders>
              <w:bottom w:val="single" w:sz="8" w:color="DADAE7"/>
            </w:tcBorders>
          </w:tcPr>
          <w:p>
            <w:pPr>
              <w:jc w:val="right"/>
              <w:ind w:right="246"/>
              <w:spacing w:after="0"/>
              <w:rPr>
                <w:sz w:val="20"/>
                <w:szCs w:val="20"/>
                <w:color w:val="auto"/>
              </w:rPr>
            </w:pPr>
            <w:r>
              <w:rPr>
                <w:rFonts w:ascii="Arial" w:cs="Arial" w:eastAsia="Arial" w:hAnsi="Arial"/>
                <w:sz w:val="15"/>
                <w:szCs w:val="15"/>
                <w:color w:val="auto"/>
              </w:rPr>
              <w:t>171</w:t>
            </w:r>
          </w:p>
        </w:tc>
        <w:tc>
          <w:tcPr>
            <w:tcW w:w="1040" w:type="dxa"/>
            <w:vAlign w:val="bottom"/>
            <w:tcBorders>
              <w:bottom w:val="single" w:sz="8" w:color="DADAE7"/>
            </w:tcBorders>
          </w:tcPr>
          <w:p>
            <w:pPr>
              <w:jc w:val="right"/>
              <w:spacing w:after="0"/>
              <w:rPr>
                <w:sz w:val="20"/>
                <w:szCs w:val="20"/>
                <w:color w:val="auto"/>
              </w:rPr>
            </w:pPr>
            <w:r>
              <w:rPr>
                <w:rFonts w:ascii="Arial" w:cs="Arial" w:eastAsia="Arial" w:hAnsi="Arial"/>
                <w:sz w:val="15"/>
                <w:szCs w:val="15"/>
                <w:color w:val="auto"/>
              </w:rPr>
              <w:t>17%</w:t>
            </w:r>
          </w:p>
        </w:tc>
      </w:tr>
      <w:tr>
        <w:trPr>
          <w:trHeight w:val="237"/>
        </w:trPr>
        <w:tc>
          <w:tcPr>
            <w:tcW w:w="3600" w:type="dxa"/>
            <w:vAlign w:val="bottom"/>
            <w:tcBorders>
              <w:bottom w:val="single" w:sz="8" w:color="793690"/>
            </w:tcBorders>
          </w:tcPr>
          <w:p>
            <w:pPr>
              <w:ind w:left="20"/>
              <w:spacing w:after="0"/>
              <w:rPr>
                <w:sz w:val="20"/>
                <w:szCs w:val="20"/>
                <w:color w:val="auto"/>
              </w:rPr>
            </w:pPr>
            <w:r>
              <w:rPr>
                <w:rFonts w:ascii="Arial" w:cs="Arial" w:eastAsia="Arial" w:hAnsi="Arial"/>
                <w:sz w:val="15"/>
                <w:szCs w:val="15"/>
                <w:color w:val="auto"/>
              </w:rPr>
              <w:t>Structured notes balance ($m)</w:t>
            </w:r>
            <w:r>
              <w:rPr>
                <w:rFonts w:ascii="Arial" w:cs="Arial" w:eastAsia="Arial" w:hAnsi="Arial"/>
                <w:sz w:val="19"/>
                <w:szCs w:val="19"/>
                <w:color w:val="auto"/>
                <w:vertAlign w:val="superscript"/>
              </w:rPr>
              <w:t>3</w:t>
            </w:r>
          </w:p>
        </w:tc>
        <w:tc>
          <w:tcPr>
            <w:tcW w:w="1140" w:type="dxa"/>
            <w:vAlign w:val="bottom"/>
            <w:tcBorders>
              <w:bottom w:val="single" w:sz="8" w:color="793690"/>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3,763.6</w:t>
            </w:r>
          </w:p>
        </w:tc>
        <w:tc>
          <w:tcPr>
            <w:tcW w:w="1540" w:type="dxa"/>
            <w:vAlign w:val="bottom"/>
            <w:tcBorders>
              <w:bottom w:val="single" w:sz="8" w:color="793690"/>
            </w:tcBorders>
          </w:tcPr>
          <w:p>
            <w:pPr>
              <w:jc w:val="right"/>
              <w:ind w:right="226"/>
              <w:spacing w:after="0"/>
              <w:rPr>
                <w:sz w:val="20"/>
                <w:szCs w:val="20"/>
                <w:color w:val="auto"/>
              </w:rPr>
            </w:pPr>
            <w:r>
              <w:rPr>
                <w:rFonts w:ascii="Arial" w:cs="Arial" w:eastAsia="Arial" w:hAnsi="Arial"/>
                <w:sz w:val="15"/>
                <w:szCs w:val="15"/>
                <w:color w:val="auto"/>
              </w:rPr>
              <w:t>2,112.8</w:t>
            </w:r>
          </w:p>
        </w:tc>
        <w:tc>
          <w:tcPr>
            <w:tcW w:w="1200" w:type="dxa"/>
            <w:vAlign w:val="bottom"/>
            <w:tcBorders>
              <w:bottom w:val="single" w:sz="8" w:color="793690"/>
            </w:tcBorders>
          </w:tcPr>
          <w:p>
            <w:pPr>
              <w:jc w:val="right"/>
              <w:ind w:right="85"/>
              <w:spacing w:after="0"/>
              <w:rPr>
                <w:sz w:val="20"/>
                <w:szCs w:val="20"/>
                <w:color w:val="auto"/>
              </w:rPr>
            </w:pPr>
            <w:r>
              <w:rPr>
                <w:rFonts w:ascii="Arial" w:cs="Arial" w:eastAsia="Arial" w:hAnsi="Arial"/>
                <w:sz w:val="15"/>
                <w:szCs w:val="15"/>
                <w:color w:val="auto"/>
              </w:rPr>
              <w:t>78%</w:t>
            </w:r>
          </w:p>
        </w:tc>
        <w:tc>
          <w:tcPr>
            <w:tcW w:w="1160" w:type="dxa"/>
            <w:vAlign w:val="bottom"/>
            <w:tcBorders>
              <w:bottom w:val="single" w:sz="8" w:color="793690"/>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3,763.6</w:t>
            </w:r>
          </w:p>
        </w:tc>
        <w:tc>
          <w:tcPr>
            <w:tcW w:w="1540" w:type="dxa"/>
            <w:vAlign w:val="bottom"/>
            <w:tcBorders>
              <w:bottom w:val="single" w:sz="8" w:color="793690"/>
            </w:tcBorders>
          </w:tcPr>
          <w:p>
            <w:pPr>
              <w:jc w:val="right"/>
              <w:ind w:right="246"/>
              <w:spacing w:after="0"/>
              <w:rPr>
                <w:sz w:val="20"/>
                <w:szCs w:val="20"/>
                <w:color w:val="auto"/>
              </w:rPr>
            </w:pPr>
            <w:r>
              <w:rPr>
                <w:rFonts w:ascii="Arial" w:cs="Arial" w:eastAsia="Arial" w:hAnsi="Arial"/>
                <w:sz w:val="15"/>
                <w:szCs w:val="15"/>
                <w:color w:val="auto"/>
              </w:rPr>
              <w:t>2,112.8</w:t>
            </w:r>
          </w:p>
        </w:tc>
        <w:tc>
          <w:tcPr>
            <w:tcW w:w="1040" w:type="dxa"/>
            <w:vAlign w:val="bottom"/>
            <w:tcBorders>
              <w:bottom w:val="single" w:sz="8" w:color="793690"/>
            </w:tcBorders>
          </w:tcPr>
          <w:p>
            <w:pPr>
              <w:jc w:val="right"/>
              <w:spacing w:after="0"/>
              <w:rPr>
                <w:sz w:val="20"/>
                <w:szCs w:val="20"/>
                <w:color w:val="auto"/>
              </w:rPr>
            </w:pPr>
            <w:r>
              <w:rPr>
                <w:rFonts w:ascii="Arial" w:cs="Arial" w:eastAsia="Arial" w:hAnsi="Arial"/>
                <w:sz w:val="15"/>
                <w:szCs w:val="15"/>
                <w:color w:val="auto"/>
              </w:rPr>
              <w:t>78%</w:t>
            </w:r>
          </w:p>
        </w:tc>
      </w:tr>
    </w:tbl>
    <w:p>
      <w:pPr>
        <w:spacing w:after="0" w:line="200" w:lineRule="exact"/>
        <w:rPr>
          <w:sz w:val="20"/>
          <w:szCs w:val="20"/>
          <w:color w:val="auto"/>
        </w:rPr>
      </w:pPr>
    </w:p>
    <w:p>
      <w:pPr>
        <w:spacing w:after="0" w:line="232" w:lineRule="exact"/>
        <w:rPr>
          <w:sz w:val="20"/>
          <w:szCs w:val="20"/>
          <w:color w:val="auto"/>
        </w:rPr>
      </w:pPr>
    </w:p>
    <w:p>
      <w:pPr>
        <w:ind w:left="160" w:right="40" w:hanging="152"/>
        <w:spacing w:after="0" w:line="259" w:lineRule="auto"/>
        <w:tabs>
          <w:tab w:leader="none" w:pos="148"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These are non-IFRS financial measures. See Appendix 1 “Non-IFRS Financial Measures and Key Performance Indicators” for additional information and for a reconciliation of each such IFRS measure to its most directly comparable IFRS measure.</w:t>
      </w:r>
    </w:p>
    <w:p>
      <w:pPr>
        <w:spacing w:after="0" w:line="37" w:lineRule="exact"/>
        <w:rPr>
          <w:rFonts w:ascii="Arial" w:cs="Arial" w:eastAsia="Arial" w:hAnsi="Arial"/>
          <w:sz w:val="11"/>
          <w:szCs w:val="11"/>
          <w:color w:val="auto"/>
        </w:rPr>
      </w:pPr>
    </w:p>
    <w:p>
      <w:pPr>
        <w:ind w:left="220" w:hanging="212"/>
        <w:spacing w:after="0"/>
        <w:tabs>
          <w:tab w:leader="none" w:pos="22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The headcount is the average for the period.</w:t>
      </w:r>
    </w:p>
    <w:p>
      <w:pPr>
        <w:spacing w:after="0" w:line="62" w:lineRule="exact"/>
        <w:rPr>
          <w:rFonts w:ascii="Arial" w:cs="Arial" w:eastAsia="Arial" w:hAnsi="Arial"/>
          <w:sz w:val="11"/>
          <w:szCs w:val="11"/>
          <w:color w:val="auto"/>
        </w:rPr>
      </w:pPr>
    </w:p>
    <w:p>
      <w:pPr>
        <w:ind w:left="160" w:hanging="152"/>
        <w:spacing w:after="0" w:line="259" w:lineRule="auto"/>
        <w:tabs>
          <w:tab w:leader="none" w:pos="138"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The Structured Notes balance presented is period end (e.g. 30 June 2025 and 30 June 2024). The 30 June 2025 balance consisted of 5,871 notes with an average maturity of 15 months and a total market value of $3,763.6m. The 30 June 2024 balance consisted of 3,271 notes with an average maturity of 16 months and a total market value of $2,112.8m).</w:t>
      </w:r>
    </w:p>
    <w:p>
      <w:pPr>
        <w:spacing w:after="0" w:line="37" w:lineRule="exact"/>
        <w:rPr>
          <w:rFonts w:ascii="Arial" w:cs="Arial" w:eastAsia="Arial" w:hAnsi="Arial"/>
          <w:sz w:val="11"/>
          <w:szCs w:val="11"/>
          <w:color w:val="auto"/>
        </w:rPr>
      </w:pPr>
    </w:p>
    <w:p>
      <w:pPr>
        <w:ind w:left="120" w:hanging="112"/>
        <w:spacing w:after="0"/>
        <w:tabs>
          <w:tab w:leader="none" w:pos="120" w:val="left"/>
        </w:tabs>
        <w:numPr>
          <w:ilvl w:val="0"/>
          <w:numId w:val="14"/>
        </w:numPr>
        <w:rPr>
          <w:rFonts w:ascii="Arial" w:cs="Arial" w:eastAsia="Arial" w:hAnsi="Arial"/>
          <w:sz w:val="11"/>
          <w:szCs w:val="11"/>
          <w:color w:val="auto"/>
        </w:rPr>
      </w:pPr>
      <w:r>
        <w:rPr>
          <w:rFonts w:ascii="Arial" w:cs="Arial" w:eastAsia="Arial" w:hAnsi="Arial"/>
          <w:sz w:val="11"/>
          <w:szCs w:val="11"/>
          <w:color w:val="auto"/>
        </w:rPr>
        <w:t>n.m = not meaningful as a percentage.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10</w:t>
      </w:r>
    </w:p>
    <w:p>
      <w:pPr>
        <w:sectPr>
          <w:pgSz w:w="11900" w:h="16838" w:orient="portrait"/>
          <w:cols w:equalWidth="0" w:num="1">
            <w:col w:w="11220"/>
          </w:cols>
          <w:pgMar w:left="320" w:top="1353" w:right="35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793690"/>
        </w:rPr>
        <w:t xml:space="preserve">Financial Review </w:t>
      </w:r>
      <w:r>
        <w:rPr>
          <w:rFonts w:ascii="Arial" w:cs="Arial" w:eastAsia="Arial" w:hAnsi="Arial"/>
          <w:sz w:val="22"/>
          <w:szCs w:val="22"/>
          <w:color w:val="793690"/>
        </w:rPr>
        <w:t>(continued)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Corporate</w:t>
      </w:r>
    </w:p>
    <w:p>
      <w:pPr>
        <w:spacing w:after="0" w:line="6" w:lineRule="exact"/>
        <w:rPr>
          <w:sz w:val="20"/>
          <w:szCs w:val="20"/>
          <w:color w:val="auto"/>
        </w:rPr>
      </w:pPr>
    </w:p>
    <w:p>
      <w:pPr>
        <w:jc w:val="both"/>
        <w:ind w:right="240"/>
        <w:spacing w:after="0" w:line="263" w:lineRule="auto"/>
        <w:rPr>
          <w:sz w:val="20"/>
          <w:szCs w:val="20"/>
          <w:color w:val="auto"/>
        </w:rPr>
      </w:pPr>
      <w:r>
        <w:rPr>
          <w:rFonts w:ascii="Arial" w:cs="Arial" w:eastAsia="Arial" w:hAnsi="Arial"/>
          <w:sz w:val="15"/>
          <w:szCs w:val="15"/>
          <w:color w:val="auto"/>
        </w:rPr>
        <w:t>Corporate manages the resources of the Group, makes investment decisions and provides operational support to the business segments. Corporate manages the Group’s funding requirements, interest expense is incurred through debt securities issuance, which is charged to other segments thorough inter-segmental funding allocations to reflect their consumption of these resources.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1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 months ended</w:t>
            </w:r>
          </w:p>
        </w:tc>
        <w:tc>
          <w:tcPr>
            <w:tcW w:w="1720" w:type="dxa"/>
            <w:vAlign w:val="bottom"/>
          </w:tcPr>
          <w:p>
            <w:pPr>
              <w:jc w:val="right"/>
              <w:ind w:right="408"/>
              <w:spacing w:after="0"/>
              <w:rPr>
                <w:sz w:val="20"/>
                <w:szCs w:val="20"/>
                <w:color w:val="auto"/>
              </w:rPr>
            </w:pPr>
            <w:r>
              <w:rPr>
                <w:rFonts w:ascii="Arial" w:cs="Arial" w:eastAsia="Arial" w:hAnsi="Arial"/>
                <w:sz w:val="13"/>
                <w:szCs w:val="13"/>
                <w:b w:val="1"/>
                <w:bCs w:val="1"/>
                <w:color w:val="auto"/>
              </w:rPr>
              <w:t>3 months ended</w:t>
            </w:r>
          </w:p>
        </w:tc>
        <w:tc>
          <w:tcPr>
            <w:tcW w:w="1100" w:type="dxa"/>
            <w:vAlign w:val="bottom"/>
          </w:tcPr>
          <w:p>
            <w:pPr>
              <w:spacing w:after="0"/>
              <w:rPr>
                <w:sz w:val="16"/>
                <w:szCs w:val="16"/>
                <w:color w:val="auto"/>
              </w:rPr>
            </w:pPr>
          </w:p>
        </w:tc>
        <w:tc>
          <w:tcPr>
            <w:tcW w:w="11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6 months ended</w:t>
            </w:r>
          </w:p>
        </w:tc>
        <w:tc>
          <w:tcPr>
            <w:tcW w:w="1740" w:type="dxa"/>
            <w:vAlign w:val="bottom"/>
          </w:tcPr>
          <w:p>
            <w:pPr>
              <w:jc w:val="right"/>
              <w:ind w:right="388"/>
              <w:spacing w:after="0"/>
              <w:rPr>
                <w:sz w:val="20"/>
                <w:szCs w:val="20"/>
                <w:color w:val="auto"/>
              </w:rPr>
            </w:pPr>
            <w:r>
              <w:rPr>
                <w:rFonts w:ascii="Arial" w:cs="Arial" w:eastAsia="Arial" w:hAnsi="Arial"/>
                <w:sz w:val="13"/>
                <w:szCs w:val="13"/>
                <w:b w:val="1"/>
                <w:bCs w:val="1"/>
                <w:color w:val="auto"/>
              </w:rPr>
              <w:t>6 months ended</w:t>
            </w:r>
          </w:p>
        </w:tc>
        <w:tc>
          <w:tcPr>
            <w:tcW w:w="960" w:type="dxa"/>
            <w:vAlign w:val="bottom"/>
          </w:tcPr>
          <w:p>
            <w:pPr>
              <w:spacing w:after="0"/>
              <w:rPr>
                <w:sz w:val="16"/>
                <w:szCs w:val="16"/>
                <w:color w:val="auto"/>
              </w:rPr>
            </w:pPr>
          </w:p>
        </w:tc>
      </w:tr>
      <w:tr>
        <w:trPr>
          <w:trHeight w:val="192"/>
        </w:trPr>
        <w:tc>
          <w:tcPr>
            <w:tcW w:w="3460" w:type="dxa"/>
            <w:vAlign w:val="bottom"/>
          </w:tcPr>
          <w:p>
            <w:pPr>
              <w:spacing w:after="0"/>
              <w:rPr>
                <w:sz w:val="16"/>
                <w:szCs w:val="16"/>
                <w:color w:val="auto"/>
              </w:rPr>
            </w:pPr>
          </w:p>
        </w:tc>
        <w:tc>
          <w:tcPr>
            <w:tcW w:w="11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720" w:type="dxa"/>
            <w:vAlign w:val="bottom"/>
          </w:tcPr>
          <w:p>
            <w:pPr>
              <w:jc w:val="right"/>
              <w:ind w:right="408"/>
              <w:spacing w:after="0"/>
              <w:rPr>
                <w:sz w:val="20"/>
                <w:szCs w:val="20"/>
                <w:color w:val="auto"/>
              </w:rPr>
            </w:pPr>
            <w:r>
              <w:rPr>
                <w:rFonts w:ascii="Arial" w:cs="Arial" w:eastAsia="Arial" w:hAnsi="Arial"/>
                <w:sz w:val="13"/>
                <w:szCs w:val="13"/>
                <w:b w:val="1"/>
                <w:bCs w:val="1"/>
                <w:color w:val="auto"/>
              </w:rPr>
              <w:t>30 June 2024</w:t>
            </w:r>
          </w:p>
        </w:tc>
        <w:tc>
          <w:tcPr>
            <w:tcW w:w="1100" w:type="dxa"/>
            <w:vAlign w:val="bottom"/>
          </w:tcPr>
          <w:p>
            <w:pPr>
              <w:spacing w:after="0"/>
              <w:rPr>
                <w:sz w:val="16"/>
                <w:szCs w:val="16"/>
                <w:color w:val="auto"/>
              </w:rPr>
            </w:pPr>
          </w:p>
        </w:tc>
        <w:tc>
          <w:tcPr>
            <w:tcW w:w="11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740" w:type="dxa"/>
            <w:vAlign w:val="bottom"/>
          </w:tcPr>
          <w:p>
            <w:pPr>
              <w:jc w:val="right"/>
              <w:ind w:right="388"/>
              <w:spacing w:after="0"/>
              <w:rPr>
                <w:sz w:val="20"/>
                <w:szCs w:val="20"/>
                <w:color w:val="auto"/>
              </w:rPr>
            </w:pPr>
            <w:r>
              <w:rPr>
                <w:rFonts w:ascii="Arial" w:cs="Arial" w:eastAsia="Arial" w:hAnsi="Arial"/>
                <w:sz w:val="13"/>
                <w:szCs w:val="13"/>
                <w:b w:val="1"/>
                <w:bCs w:val="1"/>
                <w:color w:val="auto"/>
              </w:rPr>
              <w:t>30 June 2024</w:t>
            </w:r>
          </w:p>
        </w:tc>
        <w:tc>
          <w:tcPr>
            <w:tcW w:w="960" w:type="dxa"/>
            <w:vAlign w:val="bottom"/>
          </w:tcPr>
          <w:p>
            <w:pPr>
              <w:spacing w:after="0"/>
              <w:rPr>
                <w:sz w:val="16"/>
                <w:szCs w:val="16"/>
                <w:color w:val="auto"/>
              </w:rPr>
            </w:pPr>
          </w:p>
        </w:tc>
      </w:tr>
      <w:tr>
        <w:trPr>
          <w:trHeight w:val="224"/>
        </w:trPr>
        <w:tc>
          <w:tcPr>
            <w:tcW w:w="3460" w:type="dxa"/>
            <w:vAlign w:val="bottom"/>
          </w:tcPr>
          <w:p>
            <w:pPr>
              <w:spacing w:after="0"/>
              <w:rPr>
                <w:sz w:val="19"/>
                <w:szCs w:val="19"/>
                <w:color w:val="auto"/>
              </w:rPr>
            </w:pPr>
          </w:p>
        </w:tc>
        <w:tc>
          <w:tcPr>
            <w:tcW w:w="11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720" w:type="dxa"/>
            <w:vAlign w:val="bottom"/>
          </w:tcPr>
          <w:p>
            <w:pPr>
              <w:jc w:val="right"/>
              <w:ind w:right="408"/>
              <w:spacing w:after="0"/>
              <w:rPr>
                <w:sz w:val="20"/>
                <w:szCs w:val="20"/>
                <w:color w:val="auto"/>
              </w:rPr>
            </w:pPr>
            <w:r>
              <w:rPr>
                <w:rFonts w:ascii="Arial" w:cs="Arial" w:eastAsia="Arial" w:hAnsi="Arial"/>
                <w:sz w:val="13"/>
                <w:szCs w:val="13"/>
                <w:b w:val="1"/>
                <w:bCs w:val="1"/>
                <w:color w:val="auto"/>
              </w:rPr>
              <w:t>$m</w:t>
            </w:r>
          </w:p>
        </w:tc>
        <w:tc>
          <w:tcPr>
            <w:tcW w:w="1100" w:type="dxa"/>
            <w:vAlign w:val="bottom"/>
          </w:tcPr>
          <w:p>
            <w:pPr>
              <w:jc w:val="right"/>
              <w:ind w:right="105"/>
              <w:spacing w:after="0"/>
              <w:rPr>
                <w:sz w:val="20"/>
                <w:szCs w:val="20"/>
                <w:color w:val="auto"/>
              </w:rPr>
            </w:pPr>
            <w:r>
              <w:rPr>
                <w:rFonts w:ascii="Arial" w:cs="Arial" w:eastAsia="Arial" w:hAnsi="Arial"/>
                <w:sz w:val="13"/>
                <w:szCs w:val="13"/>
                <w:b w:val="1"/>
                <w:bCs w:val="1"/>
                <w:color w:val="auto"/>
              </w:rPr>
              <w:t>Change</w:t>
            </w:r>
          </w:p>
        </w:tc>
        <w:tc>
          <w:tcPr>
            <w:tcW w:w="11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740" w:type="dxa"/>
            <w:vAlign w:val="bottom"/>
          </w:tcPr>
          <w:p>
            <w:pPr>
              <w:jc w:val="right"/>
              <w:ind w:right="388"/>
              <w:spacing w:after="0"/>
              <w:rPr>
                <w:sz w:val="20"/>
                <w:szCs w:val="20"/>
                <w:color w:val="auto"/>
              </w:rPr>
            </w:pPr>
            <w:r>
              <w:rPr>
                <w:rFonts w:ascii="Arial" w:cs="Arial" w:eastAsia="Arial" w:hAnsi="Arial"/>
                <w:sz w:val="13"/>
                <w:szCs w:val="13"/>
                <w:b w:val="1"/>
                <w:bCs w:val="1"/>
                <w:color w:val="auto"/>
              </w:rPr>
              <w:t>$m</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Change</w:t>
            </w:r>
          </w:p>
        </w:tc>
      </w:tr>
      <w:tr>
        <w:trPr>
          <w:trHeight w:val="236"/>
        </w:trPr>
        <w:tc>
          <w:tcPr>
            <w:tcW w:w="346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Revenue</w:t>
            </w:r>
          </w:p>
        </w:tc>
        <w:tc>
          <w:tcPr>
            <w:tcW w:w="1120" w:type="dxa"/>
            <w:vAlign w:val="bottom"/>
            <w:tcBorders>
              <w:top w:val="single" w:sz="8" w:color="793690"/>
              <w:bottom w:val="single" w:sz="8" w:color="F4EFF6"/>
            </w:tcBorders>
            <w:shd w:val="clear" w:color="auto" w:fill="F4EFF6"/>
          </w:tcPr>
          <w:p>
            <w:pPr>
              <w:jc w:val="right"/>
              <w:ind w:right="8"/>
              <w:spacing w:after="0"/>
              <w:rPr>
                <w:sz w:val="20"/>
                <w:szCs w:val="20"/>
                <w:color w:val="auto"/>
              </w:rPr>
            </w:pPr>
            <w:r>
              <w:rPr>
                <w:rFonts w:ascii="Arial" w:cs="Arial" w:eastAsia="Arial" w:hAnsi="Arial"/>
                <w:sz w:val="15"/>
                <w:szCs w:val="15"/>
                <w:b w:val="1"/>
                <w:bCs w:val="1"/>
                <w:color w:val="auto"/>
              </w:rPr>
              <w:t>2.4</w:t>
            </w:r>
          </w:p>
        </w:tc>
        <w:tc>
          <w:tcPr>
            <w:tcW w:w="1720" w:type="dxa"/>
            <w:vAlign w:val="bottom"/>
            <w:tcBorders>
              <w:top w:val="single" w:sz="8" w:color="793690"/>
            </w:tcBorders>
          </w:tcPr>
          <w:p>
            <w:pPr>
              <w:jc w:val="right"/>
              <w:ind w:right="448"/>
              <w:spacing w:after="0"/>
              <w:rPr>
                <w:sz w:val="20"/>
                <w:szCs w:val="20"/>
                <w:color w:val="auto"/>
              </w:rPr>
            </w:pPr>
            <w:r>
              <w:rPr>
                <w:rFonts w:ascii="Arial" w:cs="Arial" w:eastAsia="Arial" w:hAnsi="Arial"/>
                <w:sz w:val="15"/>
                <w:szCs w:val="15"/>
                <w:color w:val="auto"/>
              </w:rPr>
              <w:t>19.2</w:t>
            </w:r>
          </w:p>
        </w:tc>
        <w:tc>
          <w:tcPr>
            <w:tcW w:w="1100" w:type="dxa"/>
            <w:vAlign w:val="bottom"/>
            <w:tcBorders>
              <w:top w:val="single" w:sz="8" w:color="793690"/>
            </w:tcBorders>
          </w:tcPr>
          <w:p>
            <w:pPr>
              <w:jc w:val="right"/>
              <w:ind w:right="105"/>
              <w:spacing w:after="0"/>
              <w:rPr>
                <w:sz w:val="20"/>
                <w:szCs w:val="20"/>
                <w:color w:val="auto"/>
              </w:rPr>
            </w:pPr>
            <w:r>
              <w:rPr>
                <w:rFonts w:ascii="Arial" w:cs="Arial" w:eastAsia="Arial" w:hAnsi="Arial"/>
                <w:sz w:val="15"/>
                <w:szCs w:val="15"/>
                <w:color w:val="auto"/>
              </w:rPr>
              <w:t>(88)%</w:t>
            </w:r>
          </w:p>
        </w:tc>
        <w:tc>
          <w:tcPr>
            <w:tcW w:w="112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13.1</w:t>
            </w:r>
          </w:p>
        </w:tc>
        <w:tc>
          <w:tcPr>
            <w:tcW w:w="1740" w:type="dxa"/>
            <w:vAlign w:val="bottom"/>
            <w:tcBorders>
              <w:top w:val="single" w:sz="8" w:color="793690"/>
            </w:tcBorders>
          </w:tcPr>
          <w:p>
            <w:pPr>
              <w:jc w:val="right"/>
              <w:ind w:right="448"/>
              <w:spacing w:after="0"/>
              <w:rPr>
                <w:sz w:val="20"/>
                <w:szCs w:val="20"/>
                <w:color w:val="auto"/>
              </w:rPr>
            </w:pPr>
            <w:r>
              <w:rPr>
                <w:rFonts w:ascii="Arial" w:cs="Arial" w:eastAsia="Arial" w:hAnsi="Arial"/>
                <w:sz w:val="15"/>
                <w:szCs w:val="15"/>
                <w:color w:val="auto"/>
              </w:rPr>
              <w:t>33.1</w:t>
            </w:r>
          </w:p>
        </w:tc>
        <w:tc>
          <w:tcPr>
            <w:tcW w:w="96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(60)%</w:t>
            </w:r>
          </w:p>
        </w:tc>
      </w:tr>
      <w:tr>
        <w:trPr>
          <w:trHeight w:val="237"/>
        </w:trPr>
        <w:tc>
          <w:tcPr>
            <w:tcW w:w="3460" w:type="dxa"/>
            <w:vAlign w:val="bottom"/>
            <w:tcBorders>
              <w:top w:val="single" w:sz="8" w:color="DADAE7"/>
              <w:bottom w:val="single" w:sz="8" w:color="DADAE7"/>
            </w:tcBorders>
          </w:tcPr>
          <w:p>
            <w:pPr>
              <w:ind w:left="20"/>
              <w:spacing w:after="0"/>
              <w:rPr>
                <w:sz w:val="20"/>
                <w:szCs w:val="20"/>
                <w:color w:val="auto"/>
              </w:rPr>
            </w:pPr>
            <w:r>
              <w:rPr>
                <w:rFonts w:ascii="Arial" w:cs="Arial" w:eastAsia="Arial" w:hAnsi="Arial"/>
                <w:sz w:val="15"/>
                <w:szCs w:val="15"/>
                <w:color w:val="auto"/>
              </w:rPr>
              <w:t>Control and support costs</w:t>
            </w:r>
            <w:r>
              <w:rPr>
                <w:rFonts w:ascii="Arial" w:cs="Arial" w:eastAsia="Arial" w:hAnsi="Arial"/>
                <w:sz w:val="19"/>
                <w:szCs w:val="19"/>
                <w:color w:val="auto"/>
                <w:vertAlign w:val="superscript"/>
              </w:rPr>
              <w:t>3</w:t>
            </w:r>
          </w:p>
        </w:tc>
        <w:tc>
          <w:tcPr>
            <w:tcW w:w="1120" w:type="dxa"/>
            <w:vAlign w:val="bottom"/>
            <w:tcBorders>
              <w:top w:val="single" w:sz="8" w:color="DADAE7"/>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(56.0)</w:t>
            </w:r>
          </w:p>
        </w:tc>
        <w:tc>
          <w:tcPr>
            <w:tcW w:w="1720" w:type="dxa"/>
            <w:vAlign w:val="bottom"/>
            <w:tcBorders>
              <w:top w:val="single" w:sz="8" w:color="DADAE7"/>
              <w:bottom w:val="single" w:sz="8" w:color="DADAE7"/>
            </w:tcBorders>
          </w:tcPr>
          <w:p>
            <w:pPr>
              <w:jc w:val="right"/>
              <w:ind w:right="408"/>
              <w:spacing w:after="0"/>
              <w:rPr>
                <w:sz w:val="20"/>
                <w:szCs w:val="20"/>
                <w:color w:val="auto"/>
              </w:rPr>
            </w:pPr>
            <w:r>
              <w:rPr>
                <w:rFonts w:ascii="Arial" w:cs="Arial" w:eastAsia="Arial" w:hAnsi="Arial"/>
                <w:sz w:val="15"/>
                <w:szCs w:val="15"/>
                <w:color w:val="auto"/>
              </w:rPr>
              <w:t>(55.8)</w:t>
            </w:r>
          </w:p>
        </w:tc>
        <w:tc>
          <w:tcPr>
            <w:tcW w:w="1100" w:type="dxa"/>
            <w:vAlign w:val="bottom"/>
            <w:tcBorders>
              <w:top w:val="single" w:sz="8" w:color="DADAE7"/>
              <w:bottom w:val="single" w:sz="8" w:color="DADAE7"/>
            </w:tcBorders>
          </w:tcPr>
          <w:p>
            <w:pPr>
              <w:jc w:val="right"/>
              <w:ind w:right="105"/>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DADAE7"/>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(106.2)</w:t>
            </w:r>
          </w:p>
        </w:tc>
        <w:tc>
          <w:tcPr>
            <w:tcW w:w="1740" w:type="dxa"/>
            <w:vAlign w:val="bottom"/>
            <w:tcBorders>
              <w:top w:val="single" w:sz="8" w:color="DADAE7"/>
              <w:bottom w:val="single" w:sz="8" w:color="DADAE7"/>
            </w:tcBorders>
          </w:tcPr>
          <w:p>
            <w:pPr>
              <w:jc w:val="right"/>
              <w:ind w:right="408"/>
              <w:spacing w:after="0"/>
              <w:rPr>
                <w:sz w:val="20"/>
                <w:szCs w:val="20"/>
                <w:color w:val="auto"/>
              </w:rPr>
            </w:pPr>
            <w:r>
              <w:rPr>
                <w:rFonts w:ascii="Arial" w:cs="Arial" w:eastAsia="Arial" w:hAnsi="Arial"/>
                <w:sz w:val="15"/>
                <w:szCs w:val="15"/>
                <w:color w:val="auto"/>
              </w:rPr>
              <w:t>(90.2)</w:t>
            </w:r>
          </w:p>
        </w:tc>
        <w:tc>
          <w:tcPr>
            <w:tcW w:w="960" w:type="dxa"/>
            <w:vAlign w:val="bottom"/>
            <w:tcBorders>
              <w:top w:val="single" w:sz="8" w:color="DADAE7"/>
              <w:bottom w:val="single" w:sz="8" w:color="DADAE7"/>
            </w:tcBorders>
          </w:tcPr>
          <w:p>
            <w:pPr>
              <w:jc w:val="right"/>
              <w:spacing w:after="0"/>
              <w:rPr>
                <w:sz w:val="20"/>
                <w:szCs w:val="20"/>
                <w:color w:val="auto"/>
              </w:rPr>
            </w:pPr>
            <w:r>
              <w:rPr>
                <w:rFonts w:ascii="Arial" w:cs="Arial" w:eastAsia="Arial" w:hAnsi="Arial"/>
                <w:sz w:val="15"/>
                <w:szCs w:val="15"/>
                <w:color w:val="auto"/>
              </w:rPr>
              <w:t>18%</w:t>
            </w:r>
          </w:p>
        </w:tc>
      </w:tr>
      <w:tr>
        <w:trPr>
          <w:trHeight w:val="237"/>
        </w:trPr>
        <w:tc>
          <w:tcPr>
            <w:tcW w:w="346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Recovery of credit losses</w:t>
            </w:r>
          </w:p>
        </w:tc>
        <w:tc>
          <w:tcPr>
            <w:tcW w:w="1120" w:type="dxa"/>
            <w:vAlign w:val="bottom"/>
            <w:tcBorders>
              <w:bottom w:val="single" w:sz="8" w:color="DADAE7"/>
            </w:tcBorders>
            <w:shd w:val="clear" w:color="auto" w:fill="F4EFF6"/>
          </w:tcPr>
          <w:p>
            <w:pPr>
              <w:jc w:val="right"/>
              <w:ind w:right="8"/>
              <w:spacing w:after="0"/>
              <w:rPr>
                <w:sz w:val="20"/>
                <w:szCs w:val="20"/>
                <w:color w:val="auto"/>
              </w:rPr>
            </w:pPr>
            <w:r>
              <w:rPr>
                <w:rFonts w:ascii="Arial" w:cs="Arial" w:eastAsia="Arial" w:hAnsi="Arial"/>
                <w:sz w:val="15"/>
                <w:szCs w:val="15"/>
                <w:b w:val="1"/>
                <w:bCs w:val="1"/>
                <w:color w:val="auto"/>
              </w:rPr>
              <w:t>0.1</w:t>
            </w:r>
          </w:p>
        </w:tc>
        <w:tc>
          <w:tcPr>
            <w:tcW w:w="1720" w:type="dxa"/>
            <w:vAlign w:val="bottom"/>
            <w:tcBorders>
              <w:bottom w:val="single" w:sz="8" w:color="DADAE7"/>
            </w:tcBorders>
          </w:tcPr>
          <w:p>
            <w:pPr>
              <w:jc w:val="right"/>
              <w:ind w:right="448"/>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DADAE7"/>
            </w:tcBorders>
          </w:tcPr>
          <w:p>
            <w:pPr>
              <w:jc w:val="right"/>
              <w:ind w:right="105"/>
              <w:spacing w:after="0"/>
              <w:rPr>
                <w:sz w:val="20"/>
                <w:szCs w:val="20"/>
                <w:color w:val="auto"/>
              </w:rPr>
            </w:pPr>
            <w:r>
              <w:rPr>
                <w:rFonts w:ascii="Arial" w:cs="Arial" w:eastAsia="Arial" w:hAnsi="Arial"/>
                <w:sz w:val="15"/>
                <w:szCs w:val="15"/>
                <w:color w:val="auto"/>
              </w:rPr>
              <w:t>n.m.</w:t>
            </w:r>
            <w:r>
              <w:rPr>
                <w:rFonts w:ascii="Arial" w:cs="Arial" w:eastAsia="Arial" w:hAnsi="Arial"/>
                <w:sz w:val="19"/>
                <w:szCs w:val="19"/>
                <w:color w:val="auto"/>
                <w:vertAlign w:val="superscript"/>
              </w:rPr>
              <w:t>4</w:t>
            </w:r>
          </w:p>
        </w:tc>
        <w:tc>
          <w:tcPr>
            <w:tcW w:w="112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0.1</w:t>
            </w:r>
          </w:p>
        </w:tc>
        <w:tc>
          <w:tcPr>
            <w:tcW w:w="1740" w:type="dxa"/>
            <w:vAlign w:val="bottom"/>
            <w:tcBorders>
              <w:bottom w:val="single" w:sz="8" w:color="DADAE7"/>
            </w:tcBorders>
          </w:tcPr>
          <w:p>
            <w:pPr>
              <w:jc w:val="right"/>
              <w:ind w:right="448"/>
              <w:spacing w:after="0"/>
              <w:rPr>
                <w:sz w:val="20"/>
                <w:szCs w:val="20"/>
                <w:color w:val="auto"/>
              </w:rPr>
            </w:pPr>
            <w:r>
              <w:rPr>
                <w:rFonts w:ascii="Arial" w:cs="Arial" w:eastAsia="Arial" w:hAnsi="Arial"/>
                <w:sz w:val="15"/>
                <w:szCs w:val="15"/>
                <w:color w:val="auto"/>
              </w:rPr>
              <w:t>0.6</w:t>
            </w:r>
          </w:p>
        </w:tc>
        <w:tc>
          <w:tcPr>
            <w:tcW w:w="960" w:type="dxa"/>
            <w:vAlign w:val="bottom"/>
            <w:tcBorders>
              <w:bottom w:val="single" w:sz="8" w:color="DADAE7"/>
            </w:tcBorders>
          </w:tcPr>
          <w:p>
            <w:pPr>
              <w:jc w:val="right"/>
              <w:spacing w:after="0"/>
              <w:rPr>
                <w:sz w:val="20"/>
                <w:szCs w:val="20"/>
                <w:color w:val="auto"/>
              </w:rPr>
            </w:pPr>
            <w:r>
              <w:rPr>
                <w:rFonts w:ascii="Arial" w:cs="Arial" w:eastAsia="Arial" w:hAnsi="Arial"/>
                <w:sz w:val="15"/>
                <w:szCs w:val="15"/>
                <w:color w:val="auto"/>
              </w:rPr>
              <w:t>(83)%</w:t>
            </w:r>
          </w:p>
        </w:tc>
      </w:tr>
      <w:tr>
        <w:trPr>
          <w:trHeight w:val="237"/>
        </w:trPr>
        <w:tc>
          <w:tcPr>
            <w:tcW w:w="3460" w:type="dxa"/>
            <w:vAlign w:val="bottom"/>
          </w:tcPr>
          <w:p>
            <w:pPr>
              <w:ind w:left="20"/>
              <w:spacing w:after="0"/>
              <w:rPr>
                <w:sz w:val="20"/>
                <w:szCs w:val="20"/>
                <w:color w:val="auto"/>
              </w:rPr>
            </w:pPr>
            <w:r>
              <w:rPr>
                <w:rFonts w:ascii="Arial" w:cs="Arial" w:eastAsia="Arial" w:hAnsi="Arial"/>
                <w:sz w:val="15"/>
                <w:szCs w:val="15"/>
                <w:color w:val="auto"/>
              </w:rPr>
              <w:t>Depreciation and amortisation</w:t>
            </w:r>
          </w:p>
        </w:tc>
        <w:tc>
          <w:tcPr>
            <w:tcW w:w="11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(6.5)</w:t>
            </w:r>
          </w:p>
        </w:tc>
        <w:tc>
          <w:tcPr>
            <w:tcW w:w="1720" w:type="dxa"/>
            <w:vAlign w:val="bottom"/>
          </w:tcPr>
          <w:p>
            <w:pPr>
              <w:jc w:val="right"/>
              <w:ind w:right="408"/>
              <w:spacing w:after="0"/>
              <w:rPr>
                <w:sz w:val="20"/>
                <w:szCs w:val="20"/>
                <w:color w:val="auto"/>
              </w:rPr>
            </w:pPr>
            <w:r>
              <w:rPr>
                <w:rFonts w:ascii="Arial" w:cs="Arial" w:eastAsia="Arial" w:hAnsi="Arial"/>
                <w:sz w:val="15"/>
                <w:szCs w:val="15"/>
                <w:color w:val="auto"/>
              </w:rPr>
              <w:t>(7.0)</w:t>
            </w:r>
          </w:p>
        </w:tc>
        <w:tc>
          <w:tcPr>
            <w:tcW w:w="1100" w:type="dxa"/>
            <w:vAlign w:val="bottom"/>
          </w:tcPr>
          <w:p>
            <w:pPr>
              <w:jc w:val="right"/>
              <w:ind w:right="105"/>
              <w:spacing w:after="0"/>
              <w:rPr>
                <w:sz w:val="20"/>
                <w:szCs w:val="20"/>
                <w:color w:val="auto"/>
              </w:rPr>
            </w:pPr>
            <w:r>
              <w:rPr>
                <w:rFonts w:ascii="Arial" w:cs="Arial" w:eastAsia="Arial" w:hAnsi="Arial"/>
                <w:sz w:val="15"/>
                <w:szCs w:val="15"/>
                <w:color w:val="auto"/>
              </w:rPr>
              <w:t>(7)%</w:t>
            </w:r>
          </w:p>
        </w:tc>
        <w:tc>
          <w:tcPr>
            <w:tcW w:w="11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(12.5)</w:t>
            </w:r>
          </w:p>
        </w:tc>
        <w:tc>
          <w:tcPr>
            <w:tcW w:w="1740" w:type="dxa"/>
            <w:vAlign w:val="bottom"/>
          </w:tcPr>
          <w:p>
            <w:pPr>
              <w:jc w:val="right"/>
              <w:ind w:right="408"/>
              <w:spacing w:after="0"/>
              <w:rPr>
                <w:sz w:val="20"/>
                <w:szCs w:val="20"/>
                <w:color w:val="auto"/>
              </w:rPr>
            </w:pPr>
            <w:r>
              <w:rPr>
                <w:rFonts w:ascii="Arial" w:cs="Arial" w:eastAsia="Arial" w:hAnsi="Arial"/>
                <w:sz w:val="15"/>
                <w:szCs w:val="15"/>
                <w:color w:val="auto"/>
              </w:rPr>
              <w:t>(14.3)</w:t>
            </w:r>
          </w:p>
        </w:tc>
        <w:tc>
          <w:tcPr>
            <w:tcW w:w="96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36"/>
        </w:trPr>
        <w:tc>
          <w:tcPr>
            <w:tcW w:w="34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Other income</w:t>
            </w:r>
          </w:p>
        </w:tc>
        <w:tc>
          <w:tcPr>
            <w:tcW w:w="1120" w:type="dxa"/>
            <w:vAlign w:val="bottom"/>
            <w:tcBorders>
              <w:top w:val="single" w:sz="8" w:color="DADAE7"/>
              <w:bottom w:val="single" w:sz="8" w:color="F4EFF6"/>
            </w:tcBorders>
            <w:shd w:val="clear" w:color="auto" w:fill="F4EFF6"/>
          </w:tcPr>
          <w:p>
            <w:pPr>
              <w:jc w:val="right"/>
              <w:ind w:right="8"/>
              <w:spacing w:after="0"/>
              <w:rPr>
                <w:sz w:val="20"/>
                <w:szCs w:val="20"/>
                <w:color w:val="auto"/>
              </w:rPr>
            </w:pPr>
            <w:r>
              <w:rPr>
                <w:rFonts w:ascii="Arial" w:cs="Arial" w:eastAsia="Arial" w:hAnsi="Arial"/>
                <w:sz w:val="15"/>
                <w:szCs w:val="15"/>
                <w:b w:val="1"/>
                <w:bCs w:val="1"/>
                <w:color w:val="auto"/>
              </w:rPr>
              <w:t>2.4</w:t>
            </w:r>
          </w:p>
        </w:tc>
        <w:tc>
          <w:tcPr>
            <w:tcW w:w="1720" w:type="dxa"/>
            <w:vAlign w:val="bottom"/>
            <w:tcBorders>
              <w:top w:val="single" w:sz="8" w:color="DADAE7"/>
            </w:tcBorders>
          </w:tcPr>
          <w:p>
            <w:pPr>
              <w:jc w:val="right"/>
              <w:ind w:right="448"/>
              <w:spacing w:after="0"/>
              <w:rPr>
                <w:sz w:val="20"/>
                <w:szCs w:val="20"/>
                <w:color w:val="auto"/>
              </w:rPr>
            </w:pPr>
            <w:r>
              <w:rPr>
                <w:rFonts w:ascii="Arial" w:cs="Arial" w:eastAsia="Arial" w:hAnsi="Arial"/>
                <w:sz w:val="15"/>
                <w:szCs w:val="15"/>
                <w:color w:val="auto"/>
              </w:rPr>
              <w:t>0.5</w:t>
            </w:r>
          </w:p>
        </w:tc>
        <w:tc>
          <w:tcPr>
            <w:tcW w:w="1100" w:type="dxa"/>
            <w:vAlign w:val="bottom"/>
            <w:tcBorders>
              <w:top w:val="single" w:sz="8" w:color="DADAE7"/>
            </w:tcBorders>
          </w:tcPr>
          <w:p>
            <w:pPr>
              <w:jc w:val="right"/>
              <w:ind w:right="105"/>
              <w:spacing w:after="0"/>
              <w:rPr>
                <w:sz w:val="20"/>
                <w:szCs w:val="20"/>
                <w:color w:val="auto"/>
              </w:rPr>
            </w:pPr>
            <w:r>
              <w:rPr>
                <w:rFonts w:ascii="Arial" w:cs="Arial" w:eastAsia="Arial" w:hAnsi="Arial"/>
                <w:sz w:val="15"/>
                <w:szCs w:val="15"/>
                <w:color w:val="auto"/>
              </w:rPr>
              <w:t>380%</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3.1</w:t>
            </w:r>
          </w:p>
        </w:tc>
        <w:tc>
          <w:tcPr>
            <w:tcW w:w="1740" w:type="dxa"/>
            <w:vAlign w:val="bottom"/>
            <w:tcBorders>
              <w:top w:val="single" w:sz="8" w:color="DADAE7"/>
            </w:tcBorders>
          </w:tcPr>
          <w:p>
            <w:pPr>
              <w:jc w:val="right"/>
              <w:ind w:right="448"/>
              <w:spacing w:after="0"/>
              <w:rPr>
                <w:sz w:val="20"/>
                <w:szCs w:val="20"/>
                <w:color w:val="auto"/>
              </w:rPr>
            </w:pPr>
            <w:r>
              <w:rPr>
                <w:rFonts w:ascii="Arial" w:cs="Arial" w:eastAsia="Arial" w:hAnsi="Arial"/>
                <w:sz w:val="15"/>
                <w:szCs w:val="15"/>
                <w:color w:val="auto"/>
              </w:rPr>
              <w:t>0.6</w:t>
            </w:r>
          </w:p>
        </w:tc>
        <w:tc>
          <w:tcPr>
            <w:tcW w:w="9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417%</w:t>
            </w:r>
          </w:p>
        </w:tc>
      </w:tr>
      <w:tr>
        <w:trPr>
          <w:trHeight w:val="277"/>
        </w:trPr>
        <w:tc>
          <w:tcPr>
            <w:tcW w:w="3460" w:type="dxa"/>
            <w:vAlign w:val="bottom"/>
            <w:tcBorders>
              <w:top w:val="single" w:sz="8" w:color="793690"/>
              <w:bottom w:val="single" w:sz="8" w:color="DADAE7"/>
            </w:tcBorders>
          </w:tcPr>
          <w:p>
            <w:pPr>
              <w:ind w:left="20"/>
              <w:spacing w:after="0"/>
              <w:rPr>
                <w:sz w:val="20"/>
                <w:szCs w:val="20"/>
                <w:color w:val="auto"/>
              </w:rPr>
            </w:pPr>
            <w:r>
              <w:rPr>
                <w:rFonts w:ascii="Arial" w:cs="Arial" w:eastAsia="Arial" w:hAnsi="Arial"/>
                <w:sz w:val="15"/>
                <w:szCs w:val="15"/>
                <w:b w:val="1"/>
                <w:bCs w:val="1"/>
                <w:color w:val="auto"/>
              </w:rPr>
              <w:t>Adjusted Loss Before Tax ($m)</w:t>
            </w:r>
            <w:r>
              <w:rPr>
                <w:rFonts w:ascii="Arial" w:cs="Arial" w:eastAsia="Arial" w:hAnsi="Arial"/>
                <w:sz w:val="19"/>
                <w:szCs w:val="19"/>
                <w:b w:val="1"/>
                <w:bCs w:val="1"/>
                <w:color w:val="auto"/>
                <w:vertAlign w:val="superscript"/>
              </w:rPr>
              <w:t>1</w:t>
            </w:r>
          </w:p>
        </w:tc>
        <w:tc>
          <w:tcPr>
            <w:tcW w:w="1120" w:type="dxa"/>
            <w:vAlign w:val="bottom"/>
            <w:tcBorders>
              <w:top w:val="single" w:sz="8" w:color="793690"/>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(57.6)</w:t>
            </w:r>
          </w:p>
        </w:tc>
        <w:tc>
          <w:tcPr>
            <w:tcW w:w="1720" w:type="dxa"/>
            <w:vAlign w:val="bottom"/>
            <w:tcBorders>
              <w:top w:val="single" w:sz="8" w:color="793690"/>
              <w:bottom w:val="single" w:sz="8" w:color="DADAE7"/>
            </w:tcBorders>
          </w:tcPr>
          <w:p>
            <w:pPr>
              <w:jc w:val="right"/>
              <w:ind w:right="408"/>
              <w:spacing w:after="0"/>
              <w:rPr>
                <w:sz w:val="20"/>
                <w:szCs w:val="20"/>
                <w:color w:val="auto"/>
              </w:rPr>
            </w:pPr>
            <w:r>
              <w:rPr>
                <w:rFonts w:ascii="Arial" w:cs="Arial" w:eastAsia="Arial" w:hAnsi="Arial"/>
                <w:sz w:val="15"/>
                <w:szCs w:val="15"/>
                <w:color w:val="auto"/>
              </w:rPr>
              <w:t>(43.1)</w:t>
            </w:r>
          </w:p>
        </w:tc>
        <w:tc>
          <w:tcPr>
            <w:tcW w:w="1100" w:type="dxa"/>
            <w:vAlign w:val="bottom"/>
            <w:tcBorders>
              <w:top w:val="single" w:sz="8" w:color="793690"/>
              <w:bottom w:val="single" w:sz="8" w:color="DADAE7"/>
            </w:tcBorders>
          </w:tcPr>
          <w:p>
            <w:pPr>
              <w:jc w:val="right"/>
              <w:ind w:right="105"/>
              <w:spacing w:after="0"/>
              <w:rPr>
                <w:sz w:val="20"/>
                <w:szCs w:val="20"/>
                <w:color w:val="auto"/>
              </w:rPr>
            </w:pPr>
            <w:r>
              <w:rPr>
                <w:rFonts w:ascii="Arial" w:cs="Arial" w:eastAsia="Arial" w:hAnsi="Arial"/>
                <w:sz w:val="15"/>
                <w:szCs w:val="15"/>
                <w:color w:val="auto"/>
              </w:rPr>
              <w:t>34%</w:t>
            </w:r>
          </w:p>
        </w:tc>
        <w:tc>
          <w:tcPr>
            <w:tcW w:w="1120" w:type="dxa"/>
            <w:vAlign w:val="bottom"/>
            <w:tcBorders>
              <w:top w:val="single" w:sz="8" w:color="793690"/>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(102.4)</w:t>
            </w:r>
          </w:p>
        </w:tc>
        <w:tc>
          <w:tcPr>
            <w:tcW w:w="1740" w:type="dxa"/>
            <w:vAlign w:val="bottom"/>
            <w:tcBorders>
              <w:top w:val="single" w:sz="8" w:color="793690"/>
              <w:bottom w:val="single" w:sz="8" w:color="DADAE7"/>
            </w:tcBorders>
          </w:tcPr>
          <w:p>
            <w:pPr>
              <w:jc w:val="right"/>
              <w:ind w:right="408"/>
              <w:spacing w:after="0"/>
              <w:rPr>
                <w:sz w:val="20"/>
                <w:szCs w:val="20"/>
                <w:color w:val="auto"/>
              </w:rPr>
            </w:pPr>
            <w:r>
              <w:rPr>
                <w:rFonts w:ascii="Arial" w:cs="Arial" w:eastAsia="Arial" w:hAnsi="Arial"/>
                <w:sz w:val="15"/>
                <w:szCs w:val="15"/>
                <w:color w:val="auto"/>
              </w:rPr>
              <w:t>(70.2)</w:t>
            </w:r>
          </w:p>
        </w:tc>
        <w:tc>
          <w:tcPr>
            <w:tcW w:w="960" w:type="dxa"/>
            <w:vAlign w:val="bottom"/>
            <w:tcBorders>
              <w:top w:val="single" w:sz="8" w:color="793690"/>
              <w:bottom w:val="single" w:sz="8" w:color="DADAE7"/>
            </w:tcBorders>
          </w:tcPr>
          <w:p>
            <w:pPr>
              <w:jc w:val="right"/>
              <w:spacing w:after="0"/>
              <w:rPr>
                <w:sz w:val="20"/>
                <w:szCs w:val="20"/>
                <w:color w:val="auto"/>
              </w:rPr>
            </w:pPr>
            <w:r>
              <w:rPr>
                <w:rFonts w:ascii="Arial" w:cs="Arial" w:eastAsia="Arial" w:hAnsi="Arial"/>
                <w:sz w:val="15"/>
                <w:szCs w:val="15"/>
                <w:color w:val="auto"/>
              </w:rPr>
              <w:t>46%</w:t>
            </w:r>
          </w:p>
        </w:tc>
      </w:tr>
      <w:tr>
        <w:trPr>
          <w:trHeight w:val="277"/>
        </w:trPr>
        <w:tc>
          <w:tcPr>
            <w:tcW w:w="3460" w:type="dxa"/>
            <w:vAlign w:val="bottom"/>
            <w:tcBorders>
              <w:bottom w:val="single" w:sz="8" w:color="793690"/>
            </w:tcBorders>
          </w:tcPr>
          <w:p>
            <w:pPr>
              <w:ind w:left="20"/>
              <w:spacing w:after="0"/>
              <w:rPr>
                <w:sz w:val="20"/>
                <w:szCs w:val="20"/>
                <w:color w:val="auto"/>
              </w:rPr>
            </w:pPr>
            <w:r>
              <w:rPr>
                <w:rFonts w:ascii="Arial" w:cs="Arial" w:eastAsia="Arial" w:hAnsi="Arial"/>
                <w:sz w:val="15"/>
                <w:szCs w:val="15"/>
                <w:color w:val="auto"/>
              </w:rPr>
              <w:t>Control and support headcount (No.)</w:t>
            </w:r>
            <w:r>
              <w:rPr>
                <w:rFonts w:ascii="Arial" w:cs="Arial" w:eastAsia="Arial" w:hAnsi="Arial"/>
                <w:sz w:val="19"/>
                <w:szCs w:val="19"/>
                <w:color w:val="auto"/>
                <w:vertAlign w:val="superscript"/>
              </w:rPr>
              <w:t>2</w:t>
            </w:r>
          </w:p>
        </w:tc>
        <w:tc>
          <w:tcPr>
            <w:tcW w:w="1120" w:type="dxa"/>
            <w:vAlign w:val="bottom"/>
            <w:tcBorders>
              <w:bottom w:val="single" w:sz="8" w:color="793690"/>
            </w:tcBorders>
            <w:shd w:val="clear" w:color="auto" w:fill="F4EFF6"/>
          </w:tcPr>
          <w:p>
            <w:pPr>
              <w:jc w:val="right"/>
              <w:ind w:right="8"/>
              <w:spacing w:after="0"/>
              <w:rPr>
                <w:sz w:val="20"/>
                <w:szCs w:val="20"/>
                <w:color w:val="auto"/>
              </w:rPr>
            </w:pPr>
            <w:r>
              <w:rPr>
                <w:rFonts w:ascii="Arial" w:cs="Arial" w:eastAsia="Arial" w:hAnsi="Arial"/>
                <w:sz w:val="15"/>
                <w:szCs w:val="15"/>
                <w:b w:val="1"/>
                <w:bCs w:val="1"/>
                <w:color w:val="auto"/>
              </w:rPr>
              <w:t>1,259</w:t>
            </w:r>
          </w:p>
        </w:tc>
        <w:tc>
          <w:tcPr>
            <w:tcW w:w="1720" w:type="dxa"/>
            <w:vAlign w:val="bottom"/>
            <w:tcBorders>
              <w:bottom w:val="single" w:sz="8" w:color="793690"/>
            </w:tcBorders>
          </w:tcPr>
          <w:p>
            <w:pPr>
              <w:jc w:val="right"/>
              <w:ind w:right="448"/>
              <w:spacing w:after="0"/>
              <w:rPr>
                <w:sz w:val="20"/>
                <w:szCs w:val="20"/>
                <w:color w:val="auto"/>
              </w:rPr>
            </w:pPr>
            <w:r>
              <w:rPr>
                <w:rFonts w:ascii="Arial" w:cs="Arial" w:eastAsia="Arial" w:hAnsi="Arial"/>
                <w:sz w:val="15"/>
                <w:szCs w:val="15"/>
                <w:color w:val="auto"/>
              </w:rPr>
              <w:t>1,066</w:t>
            </w:r>
          </w:p>
        </w:tc>
        <w:tc>
          <w:tcPr>
            <w:tcW w:w="1100" w:type="dxa"/>
            <w:vAlign w:val="bottom"/>
            <w:tcBorders>
              <w:bottom w:val="single" w:sz="8" w:color="793690"/>
            </w:tcBorders>
          </w:tcPr>
          <w:p>
            <w:pPr>
              <w:jc w:val="right"/>
              <w:ind w:right="105"/>
              <w:spacing w:after="0"/>
              <w:rPr>
                <w:sz w:val="20"/>
                <w:szCs w:val="20"/>
                <w:color w:val="auto"/>
              </w:rPr>
            </w:pPr>
            <w:r>
              <w:rPr>
                <w:rFonts w:ascii="Arial" w:cs="Arial" w:eastAsia="Arial" w:hAnsi="Arial"/>
                <w:sz w:val="15"/>
                <w:szCs w:val="15"/>
                <w:color w:val="auto"/>
              </w:rPr>
              <w:t>18%</w:t>
            </w:r>
          </w:p>
        </w:tc>
        <w:tc>
          <w:tcPr>
            <w:tcW w:w="1120" w:type="dxa"/>
            <w:vAlign w:val="bottom"/>
            <w:tcBorders>
              <w:bottom w:val="single" w:sz="8" w:color="793690"/>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1,221</w:t>
            </w:r>
          </w:p>
        </w:tc>
        <w:tc>
          <w:tcPr>
            <w:tcW w:w="1740" w:type="dxa"/>
            <w:vAlign w:val="bottom"/>
            <w:tcBorders>
              <w:bottom w:val="single" w:sz="8" w:color="793690"/>
            </w:tcBorders>
          </w:tcPr>
          <w:p>
            <w:pPr>
              <w:jc w:val="right"/>
              <w:ind w:right="448"/>
              <w:spacing w:after="0"/>
              <w:rPr>
                <w:sz w:val="20"/>
                <w:szCs w:val="20"/>
                <w:color w:val="auto"/>
              </w:rPr>
            </w:pPr>
            <w:r>
              <w:rPr>
                <w:rFonts w:ascii="Arial" w:cs="Arial" w:eastAsia="Arial" w:hAnsi="Arial"/>
                <w:sz w:val="15"/>
                <w:szCs w:val="15"/>
                <w:color w:val="auto"/>
              </w:rPr>
              <w:t>1,040</w:t>
            </w:r>
          </w:p>
        </w:tc>
        <w:tc>
          <w:tcPr>
            <w:tcW w:w="960" w:type="dxa"/>
            <w:vAlign w:val="bottom"/>
            <w:tcBorders>
              <w:bottom w:val="single" w:sz="8" w:color="793690"/>
            </w:tcBorders>
          </w:tcPr>
          <w:p>
            <w:pPr>
              <w:jc w:val="right"/>
              <w:spacing w:after="0"/>
              <w:rPr>
                <w:sz w:val="20"/>
                <w:szCs w:val="20"/>
                <w:color w:val="auto"/>
              </w:rPr>
            </w:pPr>
            <w:r>
              <w:rPr>
                <w:rFonts w:ascii="Arial" w:cs="Arial" w:eastAsia="Arial" w:hAnsi="Arial"/>
                <w:sz w:val="15"/>
                <w:szCs w:val="15"/>
                <w:color w:val="auto"/>
              </w:rPr>
              <w:t>17%</w:t>
            </w:r>
          </w:p>
        </w:tc>
      </w:tr>
    </w:tbl>
    <w:p>
      <w:pPr>
        <w:spacing w:after="0" w:line="176" w:lineRule="exact"/>
        <w:rPr>
          <w:sz w:val="20"/>
          <w:szCs w:val="20"/>
          <w:color w:val="auto"/>
        </w:rPr>
      </w:pPr>
    </w:p>
    <w:p>
      <w:pPr>
        <w:ind w:left="160" w:right="560" w:hanging="152"/>
        <w:spacing w:after="0" w:line="285" w:lineRule="auto"/>
        <w:tabs>
          <w:tab w:leader="none" w:pos="226"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These are non-IFRS financial measures. See Appendix 1 “Non-IFRS Financial Measures and Key Performance Indicators” for additional information and for a reconciliation of each such IFRS measure to its most directly comparable IFRS measure.</w:t>
      </w:r>
    </w:p>
    <w:p>
      <w:pPr>
        <w:spacing w:after="0" w:line="23" w:lineRule="exact"/>
        <w:rPr>
          <w:rFonts w:ascii="Arial" w:cs="Arial" w:eastAsia="Arial" w:hAnsi="Arial"/>
          <w:sz w:val="11"/>
          <w:szCs w:val="11"/>
          <w:color w:val="auto"/>
        </w:rPr>
      </w:pPr>
    </w:p>
    <w:p>
      <w:pPr>
        <w:ind w:left="220" w:hanging="212"/>
        <w:spacing w:after="0"/>
        <w:tabs>
          <w:tab w:leader="none" w:pos="2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headcount is the average for the period.</w:t>
      </w:r>
    </w:p>
    <w:p>
      <w:pPr>
        <w:spacing w:after="0" w:line="49" w:lineRule="exact"/>
        <w:rPr>
          <w:rFonts w:ascii="Arial" w:cs="Arial" w:eastAsia="Arial" w:hAnsi="Arial"/>
          <w:sz w:val="11"/>
          <w:szCs w:val="11"/>
          <w:color w:val="auto"/>
        </w:rPr>
      </w:pPr>
    </w:p>
    <w:p>
      <w:pPr>
        <w:ind w:left="220" w:hanging="212"/>
        <w:spacing w:after="0"/>
        <w:tabs>
          <w:tab w:leader="none" w:pos="2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Control and support costs are presented on an unallocated basis.</w:t>
      </w:r>
    </w:p>
    <w:p>
      <w:pPr>
        <w:spacing w:after="0" w:line="62" w:lineRule="exact"/>
        <w:rPr>
          <w:rFonts w:ascii="Arial" w:cs="Arial" w:eastAsia="Arial" w:hAnsi="Arial"/>
          <w:sz w:val="11"/>
          <w:szCs w:val="11"/>
          <w:color w:val="auto"/>
        </w:rPr>
      </w:pPr>
    </w:p>
    <w:p>
      <w:pPr>
        <w:ind w:left="120" w:hanging="112"/>
        <w:spacing w:after="0"/>
        <w:tabs>
          <w:tab w:leader="none" w:pos="1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n.m = not meaningful as a percentage.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Summary Financial Position</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Our balance sheet continues to consist of high-quality liquid assets which underpin client activity on our platform.</w:t>
      </w:r>
    </w:p>
    <w:p>
      <w:pPr>
        <w:spacing w:after="0" w:line="111" w:lineRule="exact"/>
        <w:rPr>
          <w:sz w:val="20"/>
          <w:szCs w:val="20"/>
          <w:color w:val="auto"/>
        </w:rPr>
      </w:pPr>
    </w:p>
    <w:p>
      <w:pPr>
        <w:ind w:right="400"/>
        <w:spacing w:after="0" w:line="301" w:lineRule="auto"/>
        <w:rPr>
          <w:sz w:val="20"/>
          <w:szCs w:val="20"/>
          <w:color w:val="auto"/>
        </w:rPr>
      </w:pPr>
      <w:r>
        <w:rPr>
          <w:rFonts w:ascii="Arial" w:cs="Arial" w:eastAsia="Arial" w:hAnsi="Arial"/>
          <w:sz w:val="15"/>
          <w:szCs w:val="15"/>
          <w:color w:val="auto"/>
        </w:rPr>
        <w:t>Total Assets have increased from $24.3bn at 31 December 2024 to $31.2bn at 30 June 2025. This was driven by increases in Trade Receivables from $7.6bn to $10.9bn and Securities from $6.5bn to $8.5bn.</w:t>
      </w:r>
    </w:p>
    <w:p>
      <w:pPr>
        <w:spacing w:after="0" w:line="40"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During the period, the Group benefited from increased liquidity driven by growth in the Group's Financial Products business combined with the $500m proceeds from the Group's Senior Note Issuance in May 2025, which increased debt securities by $ 1.7bn to $5.2bn. The additional liquidity gives us the ability to support our clients during periods of volatility as well as take advantage of market opportunities to grow our businesses. We saw significant growth our Prime Services offering, primarily related to securities-based swaps, which was the primary driver of the $2.1bn increase in Securities to $8.5bn. Additionally, the continued growth of the Group's Clearing business in the US and APAC during the period contributed to higher client balances. Unsettled securities transactions also increased, driven by the Group's Agency and Execution business which led to an increase in Trade Receivables and Trade Payables.</w:t>
      </w:r>
    </w:p>
    <w:p>
      <w:pPr>
        <w:spacing w:after="0" w:line="81" w:lineRule="exact"/>
        <w:rPr>
          <w:sz w:val="20"/>
          <w:szCs w:val="20"/>
          <w:color w:val="auto"/>
        </w:rPr>
      </w:pPr>
    </w:p>
    <w:p>
      <w:pPr>
        <w:ind w:right="360"/>
        <w:spacing w:after="0" w:line="273" w:lineRule="auto"/>
        <w:rPr>
          <w:sz w:val="20"/>
          <w:szCs w:val="20"/>
          <w:color w:val="auto"/>
        </w:rPr>
      </w:pPr>
      <w:r>
        <w:rPr>
          <w:rFonts w:ascii="Arial" w:cs="Arial" w:eastAsia="Arial" w:hAnsi="Arial"/>
          <w:sz w:val="15"/>
          <w:szCs w:val="15"/>
          <w:color w:val="auto"/>
        </w:rPr>
        <w:t>The Group's equity base increased during the first half of the year, with Total Equity increasing by 14% to $1.1bn, up from $976.9m primarily driven by strong profitability during the first half of the year with Profit After Tax of $149.2m in H1 2025. These increases were partly offset by a dividend payment of $27.3m in H1 2025.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160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2200" w:type="dxa"/>
            <w:vAlign w:val="bottom"/>
          </w:tcPr>
          <w:p>
            <w:pPr>
              <w:jc w:val="right"/>
              <w:ind w:right="405"/>
              <w:spacing w:after="0"/>
              <w:rPr>
                <w:sz w:val="20"/>
                <w:szCs w:val="20"/>
                <w:color w:val="auto"/>
              </w:rPr>
            </w:pPr>
            <w:r>
              <w:rPr>
                <w:rFonts w:ascii="Arial" w:cs="Arial" w:eastAsia="Arial" w:hAnsi="Arial"/>
                <w:sz w:val="13"/>
                <w:szCs w:val="13"/>
                <w:b w:val="1"/>
                <w:bCs w:val="1"/>
                <w:color w:val="auto"/>
              </w:rPr>
              <w:t>31 December 2024</w:t>
            </w:r>
          </w:p>
        </w:tc>
        <w:tc>
          <w:tcPr>
            <w:tcW w:w="960" w:type="dxa"/>
            <w:vAlign w:val="bottom"/>
          </w:tcPr>
          <w:p>
            <w:pPr>
              <w:spacing w:after="0"/>
              <w:rPr>
                <w:sz w:val="16"/>
                <w:szCs w:val="16"/>
                <w:color w:val="auto"/>
              </w:rPr>
            </w:pPr>
          </w:p>
        </w:tc>
      </w:tr>
      <w:tr>
        <w:trPr>
          <w:trHeight w:val="362"/>
        </w:trPr>
        <w:tc>
          <w:tcPr>
            <w:tcW w:w="6460" w:type="dxa"/>
            <w:vAlign w:val="bottom"/>
          </w:tcPr>
          <w:p>
            <w:pPr>
              <w:spacing w:after="0"/>
              <w:rPr>
                <w:sz w:val="24"/>
                <w:szCs w:val="24"/>
                <w:color w:val="auto"/>
              </w:rPr>
            </w:pPr>
          </w:p>
        </w:tc>
        <w:tc>
          <w:tcPr>
            <w:tcW w:w="160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2200" w:type="dxa"/>
            <w:vAlign w:val="bottom"/>
          </w:tcPr>
          <w:p>
            <w:pPr>
              <w:jc w:val="right"/>
              <w:ind w:right="405"/>
              <w:spacing w:after="0"/>
              <w:rPr>
                <w:sz w:val="20"/>
                <w:szCs w:val="20"/>
                <w:color w:val="auto"/>
              </w:rPr>
            </w:pPr>
            <w:r>
              <w:rPr>
                <w:rFonts w:ascii="Arial" w:cs="Arial" w:eastAsia="Arial" w:hAnsi="Arial"/>
                <w:sz w:val="13"/>
                <w:szCs w:val="13"/>
                <w:b w:val="1"/>
                <w:bCs w:val="1"/>
                <w:color w:val="auto"/>
              </w:rPr>
              <w:t>$m</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Change</w:t>
            </w:r>
          </w:p>
        </w:tc>
      </w:tr>
      <w:tr>
        <w:trPr>
          <w:trHeight w:val="236"/>
        </w:trPr>
        <w:tc>
          <w:tcPr>
            <w:tcW w:w="6460" w:type="dxa"/>
            <w:vAlign w:val="bottom"/>
            <w:tcBorders>
              <w:top w:val="single" w:sz="8" w:color="793690"/>
              <w:bottom w:val="single" w:sz="8" w:color="DADAE7"/>
            </w:tcBorders>
          </w:tcPr>
          <w:p>
            <w:pPr>
              <w:ind w:left="20"/>
              <w:spacing w:after="0"/>
              <w:rPr>
                <w:sz w:val="20"/>
                <w:szCs w:val="20"/>
                <w:color w:val="auto"/>
              </w:rPr>
            </w:pPr>
            <w:r>
              <w:rPr>
                <w:rFonts w:ascii="Arial" w:cs="Arial" w:eastAsia="Arial" w:hAnsi="Arial"/>
                <w:sz w:val="15"/>
                <w:szCs w:val="15"/>
                <w:color w:val="auto"/>
              </w:rPr>
              <w:t>Cash &amp; Liquid Assets</w:t>
            </w:r>
            <w:r>
              <w:rPr>
                <w:rFonts w:ascii="Arial" w:cs="Arial" w:eastAsia="Arial" w:hAnsi="Arial"/>
                <w:sz w:val="19"/>
                <w:szCs w:val="19"/>
                <w:color w:val="auto"/>
                <w:vertAlign w:val="superscript"/>
              </w:rPr>
              <w:t>1</w:t>
            </w:r>
          </w:p>
        </w:tc>
        <w:tc>
          <w:tcPr>
            <w:tcW w:w="1600" w:type="dxa"/>
            <w:vAlign w:val="bottom"/>
            <w:tcBorders>
              <w:top w:val="single" w:sz="8" w:color="793690"/>
              <w:bottom w:val="single" w:sz="8" w:color="DADAE7"/>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6,908.7</w:t>
            </w:r>
          </w:p>
        </w:tc>
        <w:tc>
          <w:tcPr>
            <w:tcW w:w="2200" w:type="dxa"/>
            <w:vAlign w:val="bottom"/>
            <w:tcBorders>
              <w:top w:val="single" w:sz="8" w:color="793690"/>
              <w:bottom w:val="single" w:sz="8" w:color="DADAE7"/>
            </w:tcBorders>
          </w:tcPr>
          <w:p>
            <w:pPr>
              <w:jc w:val="right"/>
              <w:ind w:right="465"/>
              <w:spacing w:after="0"/>
              <w:rPr>
                <w:sz w:val="20"/>
                <w:szCs w:val="20"/>
                <w:color w:val="auto"/>
              </w:rPr>
            </w:pPr>
            <w:r>
              <w:rPr>
                <w:rFonts w:ascii="Arial" w:cs="Arial" w:eastAsia="Arial" w:hAnsi="Arial"/>
                <w:sz w:val="15"/>
                <w:szCs w:val="15"/>
                <w:color w:val="auto"/>
              </w:rPr>
              <w:t>6,213.0</w:t>
            </w:r>
          </w:p>
        </w:tc>
        <w:tc>
          <w:tcPr>
            <w:tcW w:w="960" w:type="dxa"/>
            <w:vAlign w:val="bottom"/>
            <w:tcBorders>
              <w:top w:val="single" w:sz="8" w:color="793690"/>
              <w:bottom w:val="single" w:sz="8" w:color="DADAE7"/>
            </w:tcBorders>
          </w:tcPr>
          <w:p>
            <w:pPr>
              <w:jc w:val="right"/>
              <w:spacing w:after="0"/>
              <w:rPr>
                <w:sz w:val="20"/>
                <w:szCs w:val="20"/>
                <w:color w:val="auto"/>
              </w:rPr>
            </w:pPr>
            <w:r>
              <w:rPr>
                <w:rFonts w:ascii="Arial" w:cs="Arial" w:eastAsia="Arial" w:hAnsi="Arial"/>
                <w:sz w:val="15"/>
                <w:szCs w:val="15"/>
                <w:color w:val="auto"/>
              </w:rPr>
              <w:t>11%</w:t>
            </w:r>
          </w:p>
        </w:tc>
      </w:tr>
      <w:tr>
        <w:trPr>
          <w:trHeight w:val="237"/>
        </w:trPr>
        <w:tc>
          <w:tcPr>
            <w:tcW w:w="6460" w:type="dxa"/>
            <w:vAlign w:val="bottom"/>
          </w:tcPr>
          <w:p>
            <w:pPr>
              <w:ind w:left="20"/>
              <w:spacing w:after="0"/>
              <w:rPr>
                <w:sz w:val="20"/>
                <w:szCs w:val="20"/>
                <w:color w:val="auto"/>
              </w:rPr>
            </w:pPr>
            <w:r>
              <w:rPr>
                <w:rFonts w:ascii="Arial" w:cs="Arial" w:eastAsia="Arial" w:hAnsi="Arial"/>
                <w:sz w:val="15"/>
                <w:szCs w:val="15"/>
                <w:color w:val="auto"/>
              </w:rPr>
              <w:t>Trade Receivables</w:t>
            </w:r>
          </w:p>
        </w:tc>
        <w:tc>
          <w:tcPr>
            <w:tcW w:w="1600" w:type="dxa"/>
            <w:vAlign w:val="bottom"/>
            <w:tcBorders>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10,949.9</w:t>
            </w:r>
          </w:p>
        </w:tc>
        <w:tc>
          <w:tcPr>
            <w:tcW w:w="2200" w:type="dxa"/>
            <w:vAlign w:val="bottom"/>
          </w:tcPr>
          <w:p>
            <w:pPr>
              <w:jc w:val="right"/>
              <w:ind w:right="465"/>
              <w:spacing w:after="0"/>
              <w:rPr>
                <w:sz w:val="20"/>
                <w:szCs w:val="20"/>
                <w:color w:val="auto"/>
              </w:rPr>
            </w:pPr>
            <w:r>
              <w:rPr>
                <w:rFonts w:ascii="Arial" w:cs="Arial" w:eastAsia="Arial" w:hAnsi="Arial"/>
                <w:sz w:val="15"/>
                <w:szCs w:val="15"/>
                <w:color w:val="auto"/>
              </w:rPr>
              <w:t>7,553.2</w:t>
            </w:r>
          </w:p>
        </w:tc>
        <w:tc>
          <w:tcPr>
            <w:tcW w:w="96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236"/>
        </w:trPr>
        <w:tc>
          <w:tcPr>
            <w:tcW w:w="64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Reverse Repo Agreements</w:t>
            </w:r>
          </w:p>
        </w:tc>
        <w:tc>
          <w:tcPr>
            <w:tcW w:w="160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2,607.2</w:t>
            </w:r>
          </w:p>
        </w:tc>
        <w:tc>
          <w:tcPr>
            <w:tcW w:w="2200" w:type="dxa"/>
            <w:vAlign w:val="bottom"/>
            <w:tcBorders>
              <w:top w:val="single" w:sz="8" w:color="DADAE7"/>
            </w:tcBorders>
          </w:tcPr>
          <w:p>
            <w:pPr>
              <w:jc w:val="right"/>
              <w:ind w:right="465"/>
              <w:spacing w:after="0"/>
              <w:rPr>
                <w:sz w:val="20"/>
                <w:szCs w:val="20"/>
                <w:color w:val="auto"/>
              </w:rPr>
            </w:pPr>
            <w:r>
              <w:rPr>
                <w:rFonts w:ascii="Arial" w:cs="Arial" w:eastAsia="Arial" w:hAnsi="Arial"/>
                <w:sz w:val="15"/>
                <w:szCs w:val="15"/>
                <w:color w:val="auto"/>
              </w:rPr>
              <w:t>2,490.4</w:t>
            </w:r>
          </w:p>
        </w:tc>
        <w:tc>
          <w:tcPr>
            <w:tcW w:w="9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5%</w:t>
            </w:r>
          </w:p>
        </w:tc>
      </w:tr>
      <w:tr>
        <w:trPr>
          <w:trHeight w:val="237"/>
        </w:trPr>
        <w:tc>
          <w:tcPr>
            <w:tcW w:w="6460" w:type="dxa"/>
            <w:vAlign w:val="bottom"/>
            <w:tcBorders>
              <w:top w:val="single" w:sz="8" w:color="DADAE7"/>
              <w:bottom w:val="single" w:sz="8" w:color="DADAE7"/>
            </w:tcBorders>
          </w:tcPr>
          <w:p>
            <w:pPr>
              <w:ind w:left="20"/>
              <w:spacing w:after="0"/>
              <w:rPr>
                <w:sz w:val="20"/>
                <w:szCs w:val="20"/>
                <w:color w:val="auto"/>
              </w:rPr>
            </w:pPr>
            <w:r>
              <w:rPr>
                <w:rFonts w:ascii="Arial" w:cs="Arial" w:eastAsia="Arial" w:hAnsi="Arial"/>
                <w:sz w:val="15"/>
                <w:szCs w:val="15"/>
                <w:color w:val="auto"/>
              </w:rPr>
              <w:t>Securities</w:t>
            </w:r>
            <w:r>
              <w:rPr>
                <w:rFonts w:ascii="Arial" w:cs="Arial" w:eastAsia="Arial" w:hAnsi="Arial"/>
                <w:sz w:val="19"/>
                <w:szCs w:val="19"/>
                <w:color w:val="auto"/>
                <w:vertAlign w:val="superscript"/>
              </w:rPr>
              <w:t>2</w:t>
            </w:r>
          </w:p>
        </w:tc>
        <w:tc>
          <w:tcPr>
            <w:tcW w:w="1600" w:type="dxa"/>
            <w:vAlign w:val="bottom"/>
            <w:tcBorders>
              <w:top w:val="single" w:sz="8" w:color="DADAE7"/>
              <w:bottom w:val="single" w:sz="8" w:color="DADAE7"/>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8,533.5</w:t>
            </w:r>
          </w:p>
        </w:tc>
        <w:tc>
          <w:tcPr>
            <w:tcW w:w="2200" w:type="dxa"/>
            <w:vAlign w:val="bottom"/>
            <w:tcBorders>
              <w:top w:val="single" w:sz="8" w:color="DADAE7"/>
              <w:bottom w:val="single" w:sz="8" w:color="DADAE7"/>
            </w:tcBorders>
          </w:tcPr>
          <w:p>
            <w:pPr>
              <w:jc w:val="right"/>
              <w:ind w:right="465"/>
              <w:spacing w:after="0"/>
              <w:rPr>
                <w:sz w:val="20"/>
                <w:szCs w:val="20"/>
                <w:color w:val="auto"/>
              </w:rPr>
            </w:pPr>
            <w:r>
              <w:rPr>
                <w:rFonts w:ascii="Arial" w:cs="Arial" w:eastAsia="Arial" w:hAnsi="Arial"/>
                <w:sz w:val="15"/>
                <w:szCs w:val="15"/>
                <w:color w:val="auto"/>
              </w:rPr>
              <w:t>6,459.7</w:t>
            </w:r>
          </w:p>
        </w:tc>
        <w:tc>
          <w:tcPr>
            <w:tcW w:w="960" w:type="dxa"/>
            <w:vAlign w:val="bottom"/>
            <w:tcBorders>
              <w:top w:val="single" w:sz="8" w:color="DADAE7"/>
              <w:bottom w:val="single" w:sz="8" w:color="DADAE7"/>
            </w:tcBorders>
          </w:tcPr>
          <w:p>
            <w:pPr>
              <w:jc w:val="right"/>
              <w:spacing w:after="0"/>
              <w:rPr>
                <w:sz w:val="20"/>
                <w:szCs w:val="20"/>
                <w:color w:val="auto"/>
              </w:rPr>
            </w:pPr>
            <w:r>
              <w:rPr>
                <w:rFonts w:ascii="Arial" w:cs="Arial" w:eastAsia="Arial" w:hAnsi="Arial"/>
                <w:sz w:val="15"/>
                <w:szCs w:val="15"/>
                <w:color w:val="auto"/>
              </w:rPr>
              <w:t>32%</w:t>
            </w:r>
          </w:p>
        </w:tc>
      </w:tr>
      <w:tr>
        <w:trPr>
          <w:trHeight w:val="236"/>
        </w:trPr>
        <w:tc>
          <w:tcPr>
            <w:tcW w:w="6460" w:type="dxa"/>
            <w:vAlign w:val="bottom"/>
          </w:tcPr>
          <w:p>
            <w:pPr>
              <w:ind w:left="20"/>
              <w:spacing w:after="0"/>
              <w:rPr>
                <w:sz w:val="20"/>
                <w:szCs w:val="20"/>
                <w:color w:val="auto"/>
              </w:rPr>
            </w:pPr>
            <w:r>
              <w:rPr>
                <w:rFonts w:ascii="Arial" w:cs="Arial" w:eastAsia="Arial" w:hAnsi="Arial"/>
                <w:sz w:val="15"/>
                <w:szCs w:val="15"/>
                <w:color w:val="auto"/>
              </w:rPr>
              <w:t>Derivative Instruments</w:t>
            </w:r>
          </w:p>
        </w:tc>
        <w:tc>
          <w:tcPr>
            <w:tcW w:w="1600" w:type="dxa"/>
            <w:vAlign w:val="bottom"/>
            <w:tcBorders>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1,471.7</w:t>
            </w:r>
          </w:p>
        </w:tc>
        <w:tc>
          <w:tcPr>
            <w:tcW w:w="2200" w:type="dxa"/>
            <w:vAlign w:val="bottom"/>
          </w:tcPr>
          <w:p>
            <w:pPr>
              <w:jc w:val="right"/>
              <w:ind w:right="465"/>
              <w:spacing w:after="0"/>
              <w:rPr>
                <w:sz w:val="20"/>
                <w:szCs w:val="20"/>
                <w:color w:val="auto"/>
              </w:rPr>
            </w:pPr>
            <w:r>
              <w:rPr>
                <w:rFonts w:ascii="Arial" w:cs="Arial" w:eastAsia="Arial" w:hAnsi="Arial"/>
                <w:sz w:val="15"/>
                <w:szCs w:val="15"/>
                <w:color w:val="auto"/>
              </w:rPr>
              <w:t>1,163.5</w:t>
            </w:r>
          </w:p>
        </w:tc>
        <w:tc>
          <w:tcPr>
            <w:tcW w:w="96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237"/>
        </w:trPr>
        <w:tc>
          <w:tcPr>
            <w:tcW w:w="6460" w:type="dxa"/>
            <w:vAlign w:val="bottom"/>
            <w:tcBorders>
              <w:top w:val="single" w:sz="8" w:color="DADAE7"/>
              <w:bottom w:val="single" w:sz="8" w:color="DADAE7"/>
            </w:tcBorders>
          </w:tcPr>
          <w:p>
            <w:pPr>
              <w:ind w:left="20"/>
              <w:spacing w:after="0"/>
              <w:rPr>
                <w:sz w:val="20"/>
                <w:szCs w:val="20"/>
                <w:color w:val="auto"/>
              </w:rPr>
            </w:pPr>
            <w:r>
              <w:rPr>
                <w:rFonts w:ascii="Arial" w:cs="Arial" w:eastAsia="Arial" w:hAnsi="Arial"/>
                <w:sz w:val="15"/>
                <w:szCs w:val="15"/>
                <w:color w:val="auto"/>
              </w:rPr>
              <w:t>Other Assets</w:t>
            </w:r>
            <w:r>
              <w:rPr>
                <w:rFonts w:ascii="Arial" w:cs="Arial" w:eastAsia="Arial" w:hAnsi="Arial"/>
                <w:sz w:val="19"/>
                <w:szCs w:val="19"/>
                <w:color w:val="auto"/>
                <w:vertAlign w:val="superscript"/>
              </w:rPr>
              <w:t>3</w:t>
            </w:r>
          </w:p>
        </w:tc>
        <w:tc>
          <w:tcPr>
            <w:tcW w:w="1600" w:type="dxa"/>
            <w:vAlign w:val="bottom"/>
            <w:tcBorders>
              <w:top w:val="single" w:sz="8" w:color="DADAE7"/>
              <w:bottom w:val="single" w:sz="8" w:color="DADAE7"/>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435.3</w:t>
            </w:r>
          </w:p>
        </w:tc>
        <w:tc>
          <w:tcPr>
            <w:tcW w:w="2200" w:type="dxa"/>
            <w:vAlign w:val="bottom"/>
            <w:tcBorders>
              <w:top w:val="single" w:sz="8" w:color="DADAE7"/>
              <w:bottom w:val="single" w:sz="8" w:color="DADAE7"/>
            </w:tcBorders>
          </w:tcPr>
          <w:p>
            <w:pPr>
              <w:jc w:val="right"/>
              <w:ind w:right="465"/>
              <w:spacing w:after="0"/>
              <w:rPr>
                <w:sz w:val="20"/>
                <w:szCs w:val="20"/>
                <w:color w:val="auto"/>
              </w:rPr>
            </w:pPr>
            <w:r>
              <w:rPr>
                <w:rFonts w:ascii="Arial" w:cs="Arial" w:eastAsia="Arial" w:hAnsi="Arial"/>
                <w:sz w:val="15"/>
                <w:szCs w:val="15"/>
                <w:color w:val="auto"/>
              </w:rPr>
              <w:t>199.7</w:t>
            </w:r>
          </w:p>
        </w:tc>
        <w:tc>
          <w:tcPr>
            <w:tcW w:w="960" w:type="dxa"/>
            <w:vAlign w:val="bottom"/>
            <w:tcBorders>
              <w:top w:val="single" w:sz="8" w:color="DADAE7"/>
              <w:bottom w:val="single" w:sz="8" w:color="DADAE7"/>
            </w:tcBorders>
          </w:tcPr>
          <w:p>
            <w:pPr>
              <w:jc w:val="right"/>
              <w:spacing w:after="0"/>
              <w:rPr>
                <w:sz w:val="20"/>
                <w:szCs w:val="20"/>
                <w:color w:val="auto"/>
              </w:rPr>
            </w:pPr>
            <w:r>
              <w:rPr>
                <w:rFonts w:ascii="Arial" w:cs="Arial" w:eastAsia="Arial" w:hAnsi="Arial"/>
                <w:sz w:val="15"/>
                <w:szCs w:val="15"/>
                <w:color w:val="auto"/>
              </w:rPr>
              <w:t>118%</w:t>
            </w:r>
          </w:p>
        </w:tc>
      </w:tr>
      <w:tr>
        <w:trPr>
          <w:trHeight w:val="237"/>
        </w:trPr>
        <w:tc>
          <w:tcPr>
            <w:tcW w:w="6460" w:type="dxa"/>
            <w:vAlign w:val="bottom"/>
          </w:tcPr>
          <w:p>
            <w:pPr>
              <w:ind w:left="20"/>
              <w:spacing w:after="0"/>
              <w:rPr>
                <w:sz w:val="20"/>
                <w:szCs w:val="20"/>
                <w:color w:val="auto"/>
              </w:rPr>
            </w:pPr>
            <w:r>
              <w:rPr>
                <w:rFonts w:ascii="Arial" w:cs="Arial" w:eastAsia="Arial" w:hAnsi="Arial"/>
                <w:sz w:val="15"/>
                <w:szCs w:val="15"/>
                <w:color w:val="auto"/>
              </w:rPr>
              <w:t>Goodwill and Intangibles</w:t>
            </w:r>
          </w:p>
        </w:tc>
        <w:tc>
          <w:tcPr>
            <w:tcW w:w="1600" w:type="dxa"/>
            <w:vAlign w:val="bottom"/>
            <w:tcBorders>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282.0</w:t>
            </w:r>
          </w:p>
        </w:tc>
        <w:tc>
          <w:tcPr>
            <w:tcW w:w="2200" w:type="dxa"/>
            <w:vAlign w:val="bottom"/>
          </w:tcPr>
          <w:p>
            <w:pPr>
              <w:jc w:val="right"/>
              <w:ind w:right="465"/>
              <w:spacing w:after="0"/>
              <w:rPr>
                <w:sz w:val="20"/>
                <w:szCs w:val="20"/>
                <w:color w:val="auto"/>
              </w:rPr>
            </w:pPr>
            <w:r>
              <w:rPr>
                <w:rFonts w:ascii="Arial" w:cs="Arial" w:eastAsia="Arial" w:hAnsi="Arial"/>
                <w:sz w:val="15"/>
                <w:szCs w:val="15"/>
                <w:color w:val="auto"/>
              </w:rPr>
              <w:t>233.0</w:t>
            </w:r>
          </w:p>
        </w:tc>
        <w:tc>
          <w:tcPr>
            <w:tcW w:w="96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236"/>
        </w:trPr>
        <w:tc>
          <w:tcPr>
            <w:tcW w:w="646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Total Assets</w:t>
            </w:r>
          </w:p>
        </w:tc>
        <w:tc>
          <w:tcPr>
            <w:tcW w:w="160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31,188.3</w:t>
            </w:r>
          </w:p>
        </w:tc>
        <w:tc>
          <w:tcPr>
            <w:tcW w:w="2200" w:type="dxa"/>
            <w:vAlign w:val="bottom"/>
            <w:tcBorders>
              <w:top w:val="single" w:sz="8" w:color="793690"/>
            </w:tcBorders>
          </w:tcPr>
          <w:p>
            <w:pPr>
              <w:jc w:val="right"/>
              <w:ind w:right="465"/>
              <w:spacing w:after="0"/>
              <w:rPr>
                <w:sz w:val="20"/>
                <w:szCs w:val="20"/>
                <w:color w:val="auto"/>
              </w:rPr>
            </w:pPr>
            <w:r>
              <w:rPr>
                <w:rFonts w:ascii="Arial" w:cs="Arial" w:eastAsia="Arial" w:hAnsi="Arial"/>
                <w:sz w:val="15"/>
                <w:szCs w:val="15"/>
                <w:color w:val="auto"/>
              </w:rPr>
              <w:t>24,312.5</w:t>
            </w:r>
          </w:p>
        </w:tc>
        <w:tc>
          <w:tcPr>
            <w:tcW w:w="96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28%</w:t>
            </w:r>
          </w:p>
        </w:tc>
      </w:tr>
      <w:tr>
        <w:trPr>
          <w:trHeight w:val="236"/>
        </w:trPr>
        <w:tc>
          <w:tcPr>
            <w:tcW w:w="646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Trade Payables</w:t>
            </w:r>
          </w:p>
        </w:tc>
        <w:tc>
          <w:tcPr>
            <w:tcW w:w="160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13,372.6</w:t>
            </w:r>
          </w:p>
        </w:tc>
        <w:tc>
          <w:tcPr>
            <w:tcW w:w="2200" w:type="dxa"/>
            <w:vAlign w:val="bottom"/>
            <w:tcBorders>
              <w:top w:val="single" w:sz="8" w:color="793690"/>
            </w:tcBorders>
          </w:tcPr>
          <w:p>
            <w:pPr>
              <w:jc w:val="right"/>
              <w:ind w:right="465"/>
              <w:spacing w:after="0"/>
              <w:rPr>
                <w:sz w:val="20"/>
                <w:szCs w:val="20"/>
                <w:color w:val="auto"/>
              </w:rPr>
            </w:pPr>
            <w:r>
              <w:rPr>
                <w:rFonts w:ascii="Arial" w:cs="Arial" w:eastAsia="Arial" w:hAnsi="Arial"/>
                <w:sz w:val="15"/>
                <w:szCs w:val="15"/>
                <w:color w:val="auto"/>
              </w:rPr>
              <w:t>9,740.4</w:t>
            </w:r>
          </w:p>
        </w:tc>
        <w:tc>
          <w:tcPr>
            <w:tcW w:w="96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37%</w:t>
            </w:r>
          </w:p>
        </w:tc>
      </w:tr>
      <w:tr>
        <w:trPr>
          <w:trHeight w:val="236"/>
        </w:trPr>
        <w:tc>
          <w:tcPr>
            <w:tcW w:w="64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Repurchase Agreements</w:t>
            </w:r>
          </w:p>
        </w:tc>
        <w:tc>
          <w:tcPr>
            <w:tcW w:w="160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3,290.7</w:t>
            </w:r>
          </w:p>
        </w:tc>
        <w:tc>
          <w:tcPr>
            <w:tcW w:w="2200" w:type="dxa"/>
            <w:vAlign w:val="bottom"/>
            <w:tcBorders>
              <w:top w:val="single" w:sz="8" w:color="DADAE7"/>
            </w:tcBorders>
          </w:tcPr>
          <w:p>
            <w:pPr>
              <w:jc w:val="right"/>
              <w:ind w:right="465"/>
              <w:spacing w:after="0"/>
              <w:rPr>
                <w:sz w:val="20"/>
                <w:szCs w:val="20"/>
                <w:color w:val="auto"/>
              </w:rPr>
            </w:pPr>
            <w:r>
              <w:rPr>
                <w:rFonts w:ascii="Arial" w:cs="Arial" w:eastAsia="Arial" w:hAnsi="Arial"/>
                <w:sz w:val="15"/>
                <w:szCs w:val="15"/>
                <w:color w:val="auto"/>
              </w:rPr>
              <w:t>2,305.8</w:t>
            </w:r>
          </w:p>
        </w:tc>
        <w:tc>
          <w:tcPr>
            <w:tcW w:w="9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43%</w:t>
            </w:r>
          </w:p>
        </w:tc>
      </w:tr>
      <w:tr>
        <w:trPr>
          <w:trHeight w:val="236"/>
        </w:trPr>
        <w:tc>
          <w:tcPr>
            <w:tcW w:w="6460" w:type="dxa"/>
            <w:vAlign w:val="bottom"/>
            <w:tcBorders>
              <w:top w:val="single" w:sz="8" w:color="DADAE7"/>
              <w:bottom w:val="single" w:sz="8" w:color="DADAE7"/>
            </w:tcBorders>
          </w:tcPr>
          <w:p>
            <w:pPr>
              <w:ind w:left="20"/>
              <w:spacing w:after="0"/>
              <w:rPr>
                <w:sz w:val="20"/>
                <w:szCs w:val="20"/>
                <w:color w:val="auto"/>
              </w:rPr>
            </w:pPr>
            <w:r>
              <w:rPr>
                <w:rFonts w:ascii="Arial" w:cs="Arial" w:eastAsia="Arial" w:hAnsi="Arial"/>
                <w:sz w:val="15"/>
                <w:szCs w:val="15"/>
                <w:color w:val="auto"/>
              </w:rPr>
              <w:t>Securities</w:t>
            </w:r>
            <w:r>
              <w:rPr>
                <w:rFonts w:ascii="Arial" w:cs="Arial" w:eastAsia="Arial" w:hAnsi="Arial"/>
                <w:sz w:val="19"/>
                <w:szCs w:val="19"/>
                <w:color w:val="auto"/>
                <w:vertAlign w:val="superscript"/>
              </w:rPr>
              <w:t>4</w:t>
            </w:r>
          </w:p>
        </w:tc>
        <w:tc>
          <w:tcPr>
            <w:tcW w:w="1600" w:type="dxa"/>
            <w:vAlign w:val="bottom"/>
            <w:tcBorders>
              <w:top w:val="single" w:sz="8" w:color="DADAE7"/>
              <w:bottom w:val="single" w:sz="8" w:color="DADAE7"/>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6,826.4</w:t>
            </w:r>
          </w:p>
        </w:tc>
        <w:tc>
          <w:tcPr>
            <w:tcW w:w="2200" w:type="dxa"/>
            <w:vAlign w:val="bottom"/>
            <w:tcBorders>
              <w:top w:val="single" w:sz="8" w:color="DADAE7"/>
              <w:bottom w:val="single" w:sz="8" w:color="DADAE7"/>
            </w:tcBorders>
          </w:tcPr>
          <w:p>
            <w:pPr>
              <w:jc w:val="right"/>
              <w:ind w:right="465"/>
              <w:spacing w:after="0"/>
              <w:rPr>
                <w:sz w:val="20"/>
                <w:szCs w:val="20"/>
                <w:color w:val="auto"/>
              </w:rPr>
            </w:pPr>
            <w:r>
              <w:rPr>
                <w:rFonts w:ascii="Arial" w:cs="Arial" w:eastAsia="Arial" w:hAnsi="Arial"/>
                <w:sz w:val="15"/>
                <w:szCs w:val="15"/>
                <w:color w:val="auto"/>
              </w:rPr>
              <w:t>6,656.7</w:t>
            </w:r>
          </w:p>
        </w:tc>
        <w:tc>
          <w:tcPr>
            <w:tcW w:w="960" w:type="dxa"/>
            <w:vAlign w:val="bottom"/>
            <w:tcBorders>
              <w:top w:val="single" w:sz="8" w:color="DADAE7"/>
              <w:bottom w:val="single" w:sz="8" w:color="DADAE7"/>
            </w:tcBorders>
          </w:tcPr>
          <w:p>
            <w:pPr>
              <w:jc w:val="right"/>
              <w:spacing w:after="0"/>
              <w:rPr>
                <w:sz w:val="20"/>
                <w:szCs w:val="20"/>
                <w:color w:val="auto"/>
              </w:rPr>
            </w:pPr>
            <w:r>
              <w:rPr>
                <w:rFonts w:ascii="Arial" w:cs="Arial" w:eastAsia="Arial" w:hAnsi="Arial"/>
                <w:sz w:val="15"/>
                <w:szCs w:val="15"/>
                <w:color w:val="auto"/>
              </w:rPr>
              <w:t>3%</w:t>
            </w:r>
          </w:p>
        </w:tc>
      </w:tr>
      <w:tr>
        <w:trPr>
          <w:trHeight w:val="237"/>
        </w:trPr>
        <w:tc>
          <w:tcPr>
            <w:tcW w:w="6460" w:type="dxa"/>
            <w:vAlign w:val="bottom"/>
          </w:tcPr>
          <w:p>
            <w:pPr>
              <w:ind w:left="20"/>
              <w:spacing w:after="0"/>
              <w:rPr>
                <w:sz w:val="20"/>
                <w:szCs w:val="20"/>
                <w:color w:val="auto"/>
              </w:rPr>
            </w:pPr>
            <w:r>
              <w:rPr>
                <w:rFonts w:ascii="Arial" w:cs="Arial" w:eastAsia="Arial" w:hAnsi="Arial"/>
                <w:sz w:val="15"/>
                <w:szCs w:val="15"/>
                <w:color w:val="auto"/>
              </w:rPr>
              <w:t>Debt Securities</w:t>
            </w:r>
          </w:p>
        </w:tc>
        <w:tc>
          <w:tcPr>
            <w:tcW w:w="1600" w:type="dxa"/>
            <w:vAlign w:val="bottom"/>
            <w:tcBorders>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5,257.8</w:t>
            </w:r>
          </w:p>
        </w:tc>
        <w:tc>
          <w:tcPr>
            <w:tcW w:w="2200" w:type="dxa"/>
            <w:vAlign w:val="bottom"/>
          </w:tcPr>
          <w:p>
            <w:pPr>
              <w:jc w:val="right"/>
              <w:ind w:right="465"/>
              <w:spacing w:after="0"/>
              <w:rPr>
                <w:sz w:val="20"/>
                <w:szCs w:val="20"/>
                <w:color w:val="auto"/>
              </w:rPr>
            </w:pPr>
            <w:r>
              <w:rPr>
                <w:rFonts w:ascii="Arial" w:cs="Arial" w:eastAsia="Arial" w:hAnsi="Arial"/>
                <w:sz w:val="15"/>
                <w:szCs w:val="15"/>
                <w:color w:val="auto"/>
              </w:rPr>
              <w:t>3,604.5</w:t>
            </w:r>
          </w:p>
        </w:tc>
        <w:tc>
          <w:tcPr>
            <w:tcW w:w="96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236"/>
        </w:trPr>
        <w:tc>
          <w:tcPr>
            <w:tcW w:w="64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Derivative Instruments</w:t>
            </w:r>
          </w:p>
        </w:tc>
        <w:tc>
          <w:tcPr>
            <w:tcW w:w="160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1,096.5</w:t>
            </w:r>
          </w:p>
        </w:tc>
        <w:tc>
          <w:tcPr>
            <w:tcW w:w="2200" w:type="dxa"/>
            <w:vAlign w:val="bottom"/>
            <w:tcBorders>
              <w:top w:val="single" w:sz="8" w:color="DADAE7"/>
            </w:tcBorders>
          </w:tcPr>
          <w:p>
            <w:pPr>
              <w:jc w:val="right"/>
              <w:ind w:right="465"/>
              <w:spacing w:after="0"/>
              <w:rPr>
                <w:sz w:val="20"/>
                <w:szCs w:val="20"/>
                <w:color w:val="auto"/>
              </w:rPr>
            </w:pPr>
            <w:r>
              <w:rPr>
                <w:rFonts w:ascii="Arial" w:cs="Arial" w:eastAsia="Arial" w:hAnsi="Arial"/>
                <w:sz w:val="15"/>
                <w:szCs w:val="15"/>
                <w:color w:val="auto"/>
              </w:rPr>
              <w:t>751.7</w:t>
            </w:r>
          </w:p>
        </w:tc>
        <w:tc>
          <w:tcPr>
            <w:tcW w:w="9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46%</w:t>
            </w:r>
          </w:p>
        </w:tc>
      </w:tr>
      <w:tr>
        <w:trPr>
          <w:trHeight w:val="236"/>
        </w:trPr>
        <w:tc>
          <w:tcPr>
            <w:tcW w:w="6460" w:type="dxa"/>
            <w:vAlign w:val="bottom"/>
            <w:tcBorders>
              <w:top w:val="single" w:sz="8" w:color="DADAE7"/>
              <w:bottom w:val="single" w:sz="8" w:color="793690"/>
            </w:tcBorders>
          </w:tcPr>
          <w:p>
            <w:pPr>
              <w:ind w:left="20"/>
              <w:spacing w:after="0"/>
              <w:rPr>
                <w:sz w:val="20"/>
                <w:szCs w:val="20"/>
                <w:color w:val="auto"/>
              </w:rPr>
            </w:pPr>
            <w:r>
              <w:rPr>
                <w:rFonts w:ascii="Arial" w:cs="Arial" w:eastAsia="Arial" w:hAnsi="Arial"/>
                <w:sz w:val="15"/>
                <w:szCs w:val="15"/>
                <w:color w:val="auto"/>
              </w:rPr>
              <w:t>Other Liabilities</w:t>
            </w:r>
            <w:r>
              <w:rPr>
                <w:rFonts w:ascii="Arial" w:cs="Arial" w:eastAsia="Arial" w:hAnsi="Arial"/>
                <w:sz w:val="19"/>
                <w:szCs w:val="19"/>
                <w:color w:val="auto"/>
                <w:vertAlign w:val="superscript"/>
              </w:rPr>
              <w:t>5</w:t>
            </w:r>
          </w:p>
        </w:tc>
        <w:tc>
          <w:tcPr>
            <w:tcW w:w="1600" w:type="dxa"/>
            <w:vAlign w:val="bottom"/>
            <w:tcBorders>
              <w:top w:val="single" w:sz="8" w:color="DADAE7"/>
              <w:bottom w:val="single" w:sz="8" w:color="793690"/>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233.1</w:t>
            </w:r>
          </w:p>
        </w:tc>
        <w:tc>
          <w:tcPr>
            <w:tcW w:w="2200" w:type="dxa"/>
            <w:vAlign w:val="bottom"/>
            <w:tcBorders>
              <w:top w:val="single" w:sz="8" w:color="DADAE7"/>
              <w:bottom w:val="single" w:sz="8" w:color="793690"/>
            </w:tcBorders>
          </w:tcPr>
          <w:p>
            <w:pPr>
              <w:jc w:val="right"/>
              <w:ind w:right="465"/>
              <w:spacing w:after="0"/>
              <w:rPr>
                <w:sz w:val="20"/>
                <w:szCs w:val="20"/>
                <w:color w:val="auto"/>
              </w:rPr>
            </w:pPr>
            <w:r>
              <w:rPr>
                <w:rFonts w:ascii="Arial" w:cs="Arial" w:eastAsia="Arial" w:hAnsi="Arial"/>
                <w:sz w:val="15"/>
                <w:szCs w:val="15"/>
                <w:color w:val="auto"/>
              </w:rPr>
              <w:t>276.5</w:t>
            </w:r>
          </w:p>
        </w:tc>
        <w:tc>
          <w:tcPr>
            <w:tcW w:w="960" w:type="dxa"/>
            <w:vAlign w:val="bottom"/>
            <w:tcBorders>
              <w:top w:val="single" w:sz="8" w:color="DADAE7"/>
              <w:bottom w:val="single" w:sz="8" w:color="793690"/>
            </w:tcBorders>
          </w:tcPr>
          <w:p>
            <w:pPr>
              <w:jc w:val="right"/>
              <w:spacing w:after="0"/>
              <w:rPr>
                <w:sz w:val="20"/>
                <w:szCs w:val="20"/>
                <w:color w:val="auto"/>
              </w:rPr>
            </w:pPr>
            <w:r>
              <w:rPr>
                <w:rFonts w:ascii="Arial" w:cs="Arial" w:eastAsia="Arial" w:hAnsi="Arial"/>
                <w:sz w:val="15"/>
                <w:szCs w:val="15"/>
                <w:color w:val="auto"/>
              </w:rPr>
              <w:t>(16)%</w:t>
            </w:r>
          </w:p>
        </w:tc>
      </w:tr>
      <w:tr>
        <w:trPr>
          <w:trHeight w:val="236"/>
        </w:trPr>
        <w:tc>
          <w:tcPr>
            <w:tcW w:w="6460" w:type="dxa"/>
            <w:vAlign w:val="bottom"/>
          </w:tcPr>
          <w:p>
            <w:pPr>
              <w:ind w:left="20"/>
              <w:spacing w:after="0"/>
              <w:rPr>
                <w:sz w:val="20"/>
                <w:szCs w:val="20"/>
                <w:color w:val="auto"/>
              </w:rPr>
            </w:pPr>
            <w:r>
              <w:rPr>
                <w:rFonts w:ascii="Arial" w:cs="Arial" w:eastAsia="Arial" w:hAnsi="Arial"/>
                <w:sz w:val="15"/>
                <w:szCs w:val="15"/>
                <w:b w:val="1"/>
                <w:bCs w:val="1"/>
                <w:color w:val="auto"/>
              </w:rPr>
              <w:t>Total Liabilities</w:t>
            </w:r>
          </w:p>
        </w:tc>
        <w:tc>
          <w:tcPr>
            <w:tcW w:w="1600" w:type="dxa"/>
            <w:vAlign w:val="bottom"/>
            <w:tcBorders>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30,077.1</w:t>
            </w:r>
          </w:p>
        </w:tc>
        <w:tc>
          <w:tcPr>
            <w:tcW w:w="2200" w:type="dxa"/>
            <w:vAlign w:val="bottom"/>
          </w:tcPr>
          <w:p>
            <w:pPr>
              <w:jc w:val="right"/>
              <w:ind w:right="465"/>
              <w:spacing w:after="0"/>
              <w:rPr>
                <w:sz w:val="20"/>
                <w:szCs w:val="20"/>
                <w:color w:val="auto"/>
              </w:rPr>
            </w:pPr>
            <w:r>
              <w:rPr>
                <w:rFonts w:ascii="Arial" w:cs="Arial" w:eastAsia="Arial" w:hAnsi="Arial"/>
                <w:sz w:val="15"/>
                <w:szCs w:val="15"/>
                <w:color w:val="auto"/>
              </w:rPr>
              <w:t>23,335.6</w:t>
            </w:r>
          </w:p>
        </w:tc>
        <w:tc>
          <w:tcPr>
            <w:tcW w:w="96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216"/>
        </w:trPr>
        <w:tc>
          <w:tcPr>
            <w:tcW w:w="646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Total Equity</w:t>
            </w:r>
          </w:p>
        </w:tc>
        <w:tc>
          <w:tcPr>
            <w:tcW w:w="160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1,111.2</w:t>
            </w:r>
          </w:p>
        </w:tc>
        <w:tc>
          <w:tcPr>
            <w:tcW w:w="2200" w:type="dxa"/>
            <w:vAlign w:val="bottom"/>
            <w:tcBorders>
              <w:top w:val="single" w:sz="8" w:color="793690"/>
            </w:tcBorders>
          </w:tcPr>
          <w:p>
            <w:pPr>
              <w:jc w:val="right"/>
              <w:ind w:right="465"/>
              <w:spacing w:after="0"/>
              <w:rPr>
                <w:sz w:val="20"/>
                <w:szCs w:val="20"/>
                <w:color w:val="auto"/>
              </w:rPr>
            </w:pPr>
            <w:r>
              <w:rPr>
                <w:rFonts w:ascii="Arial" w:cs="Arial" w:eastAsia="Arial" w:hAnsi="Arial"/>
                <w:sz w:val="15"/>
                <w:szCs w:val="15"/>
                <w:color w:val="auto"/>
              </w:rPr>
              <w:t>976.9</w:t>
            </w:r>
          </w:p>
        </w:tc>
        <w:tc>
          <w:tcPr>
            <w:tcW w:w="96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14%</w:t>
            </w:r>
          </w:p>
        </w:tc>
      </w:tr>
      <w:tr>
        <w:trPr>
          <w:trHeight w:val="20"/>
        </w:trPr>
        <w:tc>
          <w:tcPr>
            <w:tcW w:w="6460" w:type="dxa"/>
            <w:vAlign w:val="bottom"/>
            <w:shd w:val="clear" w:color="auto" w:fill="793690"/>
          </w:tcPr>
          <w:p>
            <w:pPr>
              <w:spacing w:after="0" w:line="20" w:lineRule="exact"/>
              <w:rPr>
                <w:sz w:val="1"/>
                <w:szCs w:val="1"/>
                <w:color w:val="auto"/>
              </w:rPr>
            </w:pPr>
          </w:p>
        </w:tc>
        <w:tc>
          <w:tcPr>
            <w:tcW w:w="1600" w:type="dxa"/>
            <w:vAlign w:val="bottom"/>
            <w:shd w:val="clear" w:color="auto" w:fill="793690"/>
          </w:tcPr>
          <w:p>
            <w:pPr>
              <w:spacing w:after="0" w:line="20" w:lineRule="exact"/>
              <w:rPr>
                <w:sz w:val="1"/>
                <w:szCs w:val="1"/>
                <w:color w:val="auto"/>
              </w:rPr>
            </w:pPr>
          </w:p>
        </w:tc>
        <w:tc>
          <w:tcPr>
            <w:tcW w:w="2200" w:type="dxa"/>
            <w:vAlign w:val="bottom"/>
            <w:shd w:val="clear" w:color="auto" w:fill="793690"/>
          </w:tcPr>
          <w:p>
            <w:pPr>
              <w:spacing w:after="0" w:line="20" w:lineRule="exact"/>
              <w:rPr>
                <w:sz w:val="1"/>
                <w:szCs w:val="1"/>
                <w:color w:val="auto"/>
              </w:rPr>
            </w:pPr>
          </w:p>
        </w:tc>
        <w:tc>
          <w:tcPr>
            <w:tcW w:w="960" w:type="dxa"/>
            <w:vAlign w:val="bottom"/>
            <w:shd w:val="clear" w:color="auto" w:fill="793690"/>
          </w:tcPr>
          <w:p>
            <w:pPr>
              <w:spacing w:after="0" w:line="20" w:lineRule="exact"/>
              <w:rPr>
                <w:sz w:val="1"/>
                <w:szCs w:val="1"/>
                <w:color w:val="auto"/>
              </w:rPr>
            </w:pPr>
          </w:p>
        </w:tc>
      </w:tr>
    </w:tbl>
    <w:p>
      <w:pPr>
        <w:spacing w:after="0" w:line="68"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1"/>
          <w:szCs w:val="11"/>
          <w:color w:val="auto"/>
        </w:rPr>
      </w:pPr>
      <w:r>
        <w:rPr>
          <w:rFonts w:ascii="Arial" w:cs="Arial" w:eastAsia="Arial" w:hAnsi="Arial"/>
          <w:sz w:val="11"/>
          <w:szCs w:val="11"/>
          <w:color w:val="auto"/>
        </w:rPr>
        <w:t>Cash &amp; Liquid Assets are cash and cash equivalents, treasury instruments pledged as collateral, treasury instruments unpledged, and fixed income securities.</w:t>
      </w:r>
    </w:p>
    <w:p>
      <w:pPr>
        <w:spacing w:after="0" w:line="62" w:lineRule="exact"/>
        <w:rPr>
          <w:rFonts w:ascii="Arial" w:cs="Arial" w:eastAsia="Arial" w:hAnsi="Arial"/>
          <w:sz w:val="11"/>
          <w:szCs w:val="11"/>
          <w:color w:val="auto"/>
        </w:rPr>
      </w:pPr>
    </w:p>
    <w:p>
      <w:pPr>
        <w:ind w:left="220" w:hanging="212"/>
        <w:spacing w:after="0"/>
        <w:tabs>
          <w:tab w:leader="none" w:pos="220" w:val="left"/>
        </w:tabs>
        <w:numPr>
          <w:ilvl w:val="0"/>
          <w:numId w:val="16"/>
        </w:numPr>
        <w:rPr>
          <w:rFonts w:ascii="Arial" w:cs="Arial" w:eastAsia="Arial" w:hAnsi="Arial"/>
          <w:sz w:val="11"/>
          <w:szCs w:val="11"/>
          <w:color w:val="auto"/>
        </w:rPr>
      </w:pPr>
      <w:r>
        <w:rPr>
          <w:rFonts w:ascii="Arial" w:cs="Arial" w:eastAsia="Arial" w:hAnsi="Arial"/>
          <w:sz w:val="11"/>
          <w:szCs w:val="11"/>
          <w:color w:val="auto"/>
        </w:rPr>
        <w:t>Securities assets are equity instruments and stock borrowing.</w:t>
      </w:r>
    </w:p>
    <w:p>
      <w:pPr>
        <w:spacing w:after="0" w:line="49" w:lineRule="exact"/>
        <w:rPr>
          <w:rFonts w:ascii="Arial" w:cs="Arial" w:eastAsia="Arial" w:hAnsi="Arial"/>
          <w:sz w:val="11"/>
          <w:szCs w:val="11"/>
          <w:color w:val="auto"/>
        </w:rPr>
      </w:pPr>
    </w:p>
    <w:p>
      <w:pPr>
        <w:ind w:left="220" w:hanging="212"/>
        <w:spacing w:after="0"/>
        <w:tabs>
          <w:tab w:leader="none" w:pos="220" w:val="left"/>
        </w:tabs>
        <w:numPr>
          <w:ilvl w:val="0"/>
          <w:numId w:val="16"/>
        </w:numPr>
        <w:rPr>
          <w:rFonts w:ascii="Arial" w:cs="Arial" w:eastAsia="Arial" w:hAnsi="Arial"/>
          <w:sz w:val="11"/>
          <w:szCs w:val="11"/>
          <w:color w:val="auto"/>
        </w:rPr>
      </w:pPr>
      <w:r>
        <w:rPr>
          <w:rFonts w:ascii="Arial" w:cs="Arial" w:eastAsia="Arial" w:hAnsi="Arial"/>
          <w:sz w:val="11"/>
          <w:szCs w:val="11"/>
          <w:color w:val="auto"/>
        </w:rPr>
        <w:t>Other Assets are inventory, corporate income tax receivable, deferred tax, investments, right-of-use assets, and property plant and equipment.</w:t>
      </w:r>
    </w:p>
    <w:p>
      <w:pPr>
        <w:spacing w:after="0" w:line="62" w:lineRule="exact"/>
        <w:rPr>
          <w:rFonts w:ascii="Arial" w:cs="Arial" w:eastAsia="Arial" w:hAnsi="Arial"/>
          <w:sz w:val="11"/>
          <w:szCs w:val="11"/>
          <w:color w:val="auto"/>
        </w:rPr>
      </w:pPr>
    </w:p>
    <w:p>
      <w:pPr>
        <w:ind w:left="220" w:hanging="212"/>
        <w:spacing w:after="0"/>
        <w:tabs>
          <w:tab w:leader="none" w:pos="220" w:val="left"/>
        </w:tabs>
        <w:numPr>
          <w:ilvl w:val="0"/>
          <w:numId w:val="16"/>
        </w:numPr>
        <w:rPr>
          <w:rFonts w:ascii="Arial" w:cs="Arial" w:eastAsia="Arial" w:hAnsi="Arial"/>
          <w:sz w:val="11"/>
          <w:szCs w:val="11"/>
          <w:color w:val="auto"/>
        </w:rPr>
      </w:pPr>
      <w:r>
        <w:rPr>
          <w:rFonts w:ascii="Arial" w:cs="Arial" w:eastAsia="Arial" w:hAnsi="Arial"/>
          <w:sz w:val="11"/>
          <w:szCs w:val="11"/>
          <w:color w:val="auto"/>
        </w:rPr>
        <w:t>Securities liabilities are stock lending and short securities.</w:t>
      </w:r>
    </w:p>
    <w:p>
      <w:pPr>
        <w:spacing w:after="0" w:line="62" w:lineRule="exact"/>
        <w:rPr>
          <w:rFonts w:ascii="Arial" w:cs="Arial" w:eastAsia="Arial" w:hAnsi="Arial"/>
          <w:sz w:val="11"/>
          <w:szCs w:val="11"/>
          <w:color w:val="auto"/>
        </w:rPr>
      </w:pPr>
    </w:p>
    <w:p>
      <w:pPr>
        <w:ind w:left="220" w:hanging="212"/>
        <w:spacing w:after="0"/>
        <w:tabs>
          <w:tab w:leader="none" w:pos="220" w:val="left"/>
        </w:tabs>
        <w:numPr>
          <w:ilvl w:val="0"/>
          <w:numId w:val="16"/>
        </w:numPr>
        <w:rPr>
          <w:rFonts w:ascii="Arial" w:cs="Arial" w:eastAsia="Arial" w:hAnsi="Arial"/>
          <w:sz w:val="11"/>
          <w:szCs w:val="11"/>
          <w:color w:val="auto"/>
        </w:rPr>
      </w:pPr>
      <w:r>
        <w:rPr>
          <w:rFonts w:ascii="Arial" w:cs="Arial" w:eastAsia="Arial" w:hAnsi="Arial"/>
          <w:sz w:val="11"/>
          <w:szCs w:val="11"/>
          <w:color w:val="auto"/>
        </w:rPr>
        <w:t>Other Liabilities are deferred tax liability, lease liability, provisions and corporation tax.</w:t>
      </w:r>
    </w:p>
    <w:p>
      <w:pPr>
        <w:sectPr>
          <w:pgSz w:w="11900" w:h="16838" w:orient="portrait"/>
          <w:cols w:equalWidth="0" w:num="1">
            <w:col w:w="11220"/>
          </w:cols>
          <w:pgMar w:left="320" w:top="1353" w:right="359" w:bottom="1159"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11</w:t>
      </w:r>
    </w:p>
    <w:p>
      <w:pPr>
        <w:sectPr>
          <w:pgSz w:w="11900" w:h="16838" w:orient="portrait"/>
          <w:cols w:equalWidth="0" w:num="1">
            <w:col w:w="11220"/>
          </w:cols>
          <w:pgMar w:left="320" w:top="1353" w:right="359" w:bottom="1159" w:gutter="0" w:footer="0" w:header="0"/>
          <w:type w:val="continuous"/>
        </w:sectPr>
      </w:pPr>
    </w:p>
    <w:bookmarkStart w:id="15" w:name="page16"/>
    <w:bookmarkEnd w:id="15"/>
    <w:p>
      <w:pPr>
        <w:spacing w:after="0"/>
        <w:rPr>
          <w:sz w:val="20"/>
          <w:szCs w:val="20"/>
          <w:color w:val="auto"/>
        </w:rPr>
      </w:pPr>
      <w:r>
        <w:rPr>
          <w:rFonts w:ascii="Arial" w:cs="Arial" w:eastAsia="Arial" w:hAnsi="Arial"/>
          <w:sz w:val="22"/>
          <w:szCs w:val="22"/>
          <w:b w:val="1"/>
          <w:bCs w:val="1"/>
          <w:color w:val="793690"/>
        </w:rPr>
        <w:t xml:space="preserve">Financial Review </w:t>
      </w:r>
      <w:r>
        <w:rPr>
          <w:rFonts w:ascii="Arial" w:cs="Arial" w:eastAsia="Arial" w:hAnsi="Arial"/>
          <w:sz w:val="22"/>
          <w:szCs w:val="22"/>
          <w:color w:val="793690"/>
        </w:rPr>
        <w:t>(continued)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Liquidity</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6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31 December 2024</w:t>
            </w:r>
          </w:p>
        </w:tc>
      </w:tr>
      <w:tr>
        <w:trPr>
          <w:trHeight w:val="208"/>
        </w:trPr>
        <w:tc>
          <w:tcPr>
            <w:tcW w:w="7860" w:type="dxa"/>
            <w:vAlign w:val="bottom"/>
          </w:tcPr>
          <w:p>
            <w:pPr>
              <w:spacing w:after="0"/>
              <w:rPr>
                <w:sz w:val="18"/>
                <w:szCs w:val="18"/>
                <w:color w:val="auto"/>
              </w:rPr>
            </w:pPr>
          </w:p>
        </w:tc>
        <w:tc>
          <w:tcPr>
            <w:tcW w:w="16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$m</w:t>
            </w:r>
          </w:p>
        </w:tc>
      </w:tr>
      <w:tr>
        <w:trPr>
          <w:trHeight w:val="237"/>
        </w:trPr>
        <w:tc>
          <w:tcPr>
            <w:tcW w:w="786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Total available liquid resources</w:t>
            </w:r>
          </w:p>
        </w:tc>
        <w:tc>
          <w:tcPr>
            <w:tcW w:w="1620" w:type="dxa"/>
            <w:vAlign w:val="bottom"/>
            <w:tcBorders>
              <w:top w:val="single" w:sz="8" w:color="793690"/>
              <w:bottom w:val="single" w:sz="8" w:color="F4EFF6"/>
            </w:tcBorders>
            <w:shd w:val="clear" w:color="auto" w:fill="F4EFF6"/>
          </w:tcPr>
          <w:p>
            <w:pPr>
              <w:jc w:val="right"/>
              <w:ind w:right="10"/>
              <w:spacing w:after="0"/>
              <w:rPr>
                <w:sz w:val="20"/>
                <w:szCs w:val="20"/>
                <w:color w:val="auto"/>
              </w:rPr>
            </w:pPr>
            <w:r>
              <w:rPr>
                <w:rFonts w:ascii="Arial" w:cs="Arial" w:eastAsia="Arial" w:hAnsi="Arial"/>
                <w:sz w:val="15"/>
                <w:szCs w:val="15"/>
                <w:b w:val="1"/>
                <w:bCs w:val="1"/>
                <w:color w:val="auto"/>
              </w:rPr>
              <w:t>3,356.6</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2,439.8</w:t>
            </w:r>
          </w:p>
        </w:tc>
      </w:tr>
      <w:tr>
        <w:trPr>
          <w:trHeight w:val="216"/>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Liquidity headroom</w:t>
            </w:r>
          </w:p>
        </w:tc>
        <w:tc>
          <w:tcPr>
            <w:tcW w:w="1620" w:type="dxa"/>
            <w:vAlign w:val="bottom"/>
            <w:tcBorders>
              <w:top w:val="single" w:sz="8" w:color="DADAE7"/>
              <w:bottom w:val="single" w:sz="8" w:color="F4EFF6"/>
            </w:tcBorders>
            <w:shd w:val="clear" w:color="auto" w:fill="F4EFF6"/>
          </w:tcPr>
          <w:p>
            <w:pPr>
              <w:jc w:val="right"/>
              <w:ind w:right="10"/>
              <w:spacing w:after="0"/>
              <w:rPr>
                <w:sz w:val="20"/>
                <w:szCs w:val="20"/>
                <w:color w:val="auto"/>
              </w:rPr>
            </w:pPr>
            <w:r>
              <w:rPr>
                <w:rFonts w:ascii="Arial" w:cs="Arial" w:eastAsia="Arial" w:hAnsi="Arial"/>
                <w:sz w:val="15"/>
                <w:szCs w:val="15"/>
                <w:b w:val="1"/>
                <w:bCs w:val="1"/>
                <w:color w:val="auto"/>
              </w:rPr>
              <w:t>1,999.9</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1,060.0</w:t>
            </w:r>
          </w:p>
        </w:tc>
      </w:tr>
      <w:tr>
        <w:trPr>
          <w:trHeight w:val="20"/>
        </w:trPr>
        <w:tc>
          <w:tcPr>
            <w:tcW w:w="7860" w:type="dxa"/>
            <w:vAlign w:val="bottom"/>
            <w:shd w:val="clear" w:color="auto" w:fill="793690"/>
          </w:tcPr>
          <w:p>
            <w:pPr>
              <w:spacing w:after="0" w:line="20" w:lineRule="exact"/>
              <w:rPr>
                <w:sz w:val="1"/>
                <w:szCs w:val="1"/>
                <w:color w:val="auto"/>
              </w:rPr>
            </w:pPr>
          </w:p>
        </w:tc>
        <w:tc>
          <w:tcPr>
            <w:tcW w:w="1620" w:type="dxa"/>
            <w:vAlign w:val="bottom"/>
            <w:shd w:val="clear" w:color="auto" w:fill="793690"/>
          </w:tcPr>
          <w:p>
            <w:pPr>
              <w:spacing w:after="0" w:line="20" w:lineRule="exact"/>
              <w:rPr>
                <w:sz w:val="1"/>
                <w:szCs w:val="1"/>
                <w:color w:val="auto"/>
              </w:rPr>
            </w:pPr>
          </w:p>
        </w:tc>
        <w:tc>
          <w:tcPr>
            <w:tcW w:w="1740" w:type="dxa"/>
            <w:vAlign w:val="bottom"/>
            <w:shd w:val="clear" w:color="auto" w:fill="793690"/>
          </w:tcPr>
          <w:p>
            <w:pPr>
              <w:spacing w:after="0" w:line="20" w:lineRule="exact"/>
              <w:rPr>
                <w:sz w:val="1"/>
                <w:szCs w:val="1"/>
                <w:color w:val="auto"/>
              </w:rPr>
            </w:pPr>
          </w:p>
        </w:tc>
      </w:tr>
    </w:tbl>
    <w:p>
      <w:pPr>
        <w:spacing w:after="0" w:line="293"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A prudent approach to capital and liquidity and commitment to maintain an investment grade credit rating are core principles which underpin the successful delivery of our growth strategy. As at 30 June 2025, the Group held $3.4bn of total available liquid resources, including the undrawn portion of the committed revolving credit facility (FY 2024: $2.4bn).</w:t>
      </w:r>
    </w:p>
    <w:p>
      <w:pPr>
        <w:spacing w:after="0" w:line="59"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Group liquidity resources consist of cash and high-quality liquid assets that can be quickly converted to meet immediate and short-term obligations. The resources include non-segregated cash, short-term money market funds, unencumbered securities guaranteed by the U.S. Government, excess funds held at exchanges, and other liquid unencumbered securities post haircut. The Group also includes any undrawn portion of its revolving credit facility in its total available liquid resources. The unsecured revolving credit facility of $150m remains undrawn as at 30 June 2025 (FY 2024: $150m, undrawn). Facilities held by operating subsidiaries, and which are only available to the relevant subsidiary, have been excluded from these figures as they are not available to the Group.</w:t>
      </w:r>
    </w:p>
    <w:p>
      <w:pPr>
        <w:spacing w:after="0" w:line="63"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Liquidity headroom is based on the Group’s Liquid Asset Threshold Requirement, which is prepared according to the principles of the UK Investment Firms Prudential Regime (IFPR). The requirement includes a liquidity stress impact calculated from a combination of systematic and idiosyncratic risk factors.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Regulatory capital</w:t>
      </w:r>
    </w:p>
    <w:p>
      <w:pPr>
        <w:spacing w:after="0" w:line="24"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The Group is subject to consolidated supervision by the UK Financial Conduct Authority and has regulated subsidiaries in jurisdictions both inside and outside of the UK.</w:t>
      </w:r>
    </w:p>
    <w:p>
      <w:pPr>
        <w:spacing w:after="0" w:line="80" w:lineRule="exact"/>
        <w:rPr>
          <w:sz w:val="20"/>
          <w:szCs w:val="20"/>
          <w:color w:val="auto"/>
        </w:rPr>
      </w:pPr>
    </w:p>
    <w:p>
      <w:pPr>
        <w:ind w:right="520"/>
        <w:spacing w:after="0" w:line="283" w:lineRule="auto"/>
        <w:rPr>
          <w:sz w:val="20"/>
          <w:szCs w:val="20"/>
          <w:color w:val="auto"/>
        </w:rPr>
      </w:pPr>
      <w:r>
        <w:rPr>
          <w:rFonts w:ascii="Arial" w:cs="Arial" w:eastAsia="Arial" w:hAnsi="Arial"/>
          <w:sz w:val="15"/>
          <w:szCs w:val="15"/>
          <w:color w:val="auto"/>
        </w:rPr>
        <w:t>The Group is regulated as a MIFIDPRU investment firm under IFPR. The minimum capital requirement as at 30 June 2025 was determined by the Own Funds Threshold Requirement set via an assessment of the Group’s capital adequacy and risk assessment conducted annually.</w:t>
      </w:r>
    </w:p>
    <w:p>
      <w:pPr>
        <w:spacing w:after="0" w:line="66" w:lineRule="exact"/>
        <w:rPr>
          <w:sz w:val="20"/>
          <w:szCs w:val="20"/>
          <w:color w:val="auto"/>
        </w:rPr>
      </w:pPr>
    </w:p>
    <w:p>
      <w:pPr>
        <w:ind w:right="120"/>
        <w:spacing w:after="0" w:line="301" w:lineRule="auto"/>
        <w:rPr>
          <w:sz w:val="20"/>
          <w:szCs w:val="20"/>
          <w:color w:val="auto"/>
        </w:rPr>
      </w:pPr>
      <w:r>
        <w:rPr>
          <w:rFonts w:ascii="Arial" w:cs="Arial" w:eastAsia="Arial" w:hAnsi="Arial"/>
          <w:sz w:val="15"/>
          <w:szCs w:val="15"/>
          <w:color w:val="auto"/>
        </w:rPr>
        <w:t>The Group and its subsidiaries are in compliance with their regulatory requirements and are appropriately capitalised relative to the minimum requirements as set by the relevant competent authority. The Group maintained a capital surplus over its regulatory requirements at all times.</w:t>
      </w:r>
    </w:p>
    <w:p>
      <w:pPr>
        <w:spacing w:after="0" w:line="40"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Maintaining a prudent approach to capital and liquidity in order to maintain an investment grade credit rating are core principles which underpin the successful delivery of our growth strategy. The Group manages its capital structure in order to comply with regulatory requirements, ensuring its capital base is more than adequate to cover the risks inherent in the business and to maximise shareholder value through the strategic deployment of capital to support the Group’s growth and strategic development. The Group performs business model assessment, business and capital forecasting, stress testing and recovery planning at least annually. The following table summarises the Group’s capital position as at 30 June 2025 and as at the 2024 year end: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70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860" w:type="dxa"/>
            <w:vAlign w:val="bottom"/>
          </w:tcPr>
          <w:p>
            <w:pPr>
              <w:jc w:val="right"/>
              <w:spacing w:after="0"/>
              <w:rPr>
                <w:sz w:val="20"/>
                <w:szCs w:val="20"/>
                <w:color w:val="auto"/>
              </w:rPr>
            </w:pPr>
            <w:r>
              <w:rPr>
                <w:rFonts w:ascii="Arial" w:cs="Arial" w:eastAsia="Arial" w:hAnsi="Arial"/>
                <w:sz w:val="13"/>
                <w:szCs w:val="13"/>
                <w:b w:val="1"/>
                <w:bCs w:val="1"/>
                <w:color w:val="auto"/>
              </w:rPr>
              <w:t>31 December 2024</w:t>
            </w:r>
          </w:p>
        </w:tc>
      </w:tr>
      <w:tr>
        <w:trPr>
          <w:trHeight w:val="213"/>
        </w:trPr>
        <w:tc>
          <w:tcPr>
            <w:tcW w:w="7660" w:type="dxa"/>
            <w:vAlign w:val="bottom"/>
          </w:tcPr>
          <w:p>
            <w:pPr>
              <w:spacing w:after="0"/>
              <w:rPr>
                <w:sz w:val="18"/>
                <w:szCs w:val="18"/>
                <w:color w:val="auto"/>
              </w:rPr>
            </w:pPr>
          </w:p>
        </w:tc>
        <w:tc>
          <w:tcPr>
            <w:tcW w:w="170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860" w:type="dxa"/>
            <w:vAlign w:val="bottom"/>
          </w:tcPr>
          <w:p>
            <w:pPr>
              <w:jc w:val="right"/>
              <w:spacing w:after="0"/>
              <w:rPr>
                <w:sz w:val="20"/>
                <w:szCs w:val="20"/>
                <w:color w:val="auto"/>
              </w:rPr>
            </w:pPr>
            <w:r>
              <w:rPr>
                <w:rFonts w:ascii="Arial" w:cs="Arial" w:eastAsia="Arial" w:hAnsi="Arial"/>
                <w:sz w:val="13"/>
                <w:szCs w:val="13"/>
                <w:b w:val="1"/>
                <w:bCs w:val="1"/>
                <w:color w:val="auto"/>
              </w:rPr>
              <w:t>$m</w:t>
            </w:r>
          </w:p>
        </w:tc>
      </w:tr>
      <w:tr>
        <w:trPr>
          <w:trHeight w:val="237"/>
        </w:trPr>
        <w:tc>
          <w:tcPr>
            <w:tcW w:w="7660" w:type="dxa"/>
            <w:vAlign w:val="bottom"/>
            <w:tcBorders>
              <w:top w:val="single" w:sz="8" w:color="793690"/>
              <w:bottom w:val="single" w:sz="8" w:color="DADAE7"/>
            </w:tcBorders>
          </w:tcPr>
          <w:p>
            <w:pPr>
              <w:ind w:left="20"/>
              <w:spacing w:after="0"/>
              <w:rPr>
                <w:sz w:val="20"/>
                <w:szCs w:val="20"/>
                <w:color w:val="auto"/>
              </w:rPr>
            </w:pPr>
            <w:r>
              <w:rPr>
                <w:rFonts w:ascii="Arial" w:cs="Arial" w:eastAsia="Arial" w:hAnsi="Arial"/>
                <w:sz w:val="15"/>
                <w:szCs w:val="15"/>
                <w:color w:val="auto"/>
              </w:rPr>
              <w:t>Core equity Tier 1 Capital</w:t>
            </w:r>
            <w:r>
              <w:rPr>
                <w:rFonts w:ascii="Arial" w:cs="Arial" w:eastAsia="Arial" w:hAnsi="Arial"/>
                <w:sz w:val="19"/>
                <w:szCs w:val="19"/>
                <w:color w:val="auto"/>
                <w:vertAlign w:val="superscript"/>
              </w:rPr>
              <w:t>1</w:t>
            </w:r>
          </w:p>
        </w:tc>
        <w:tc>
          <w:tcPr>
            <w:tcW w:w="1700" w:type="dxa"/>
            <w:vAlign w:val="bottom"/>
            <w:tcBorders>
              <w:top w:val="single" w:sz="8" w:color="793690"/>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727.9</w:t>
            </w:r>
          </w:p>
        </w:tc>
        <w:tc>
          <w:tcPr>
            <w:tcW w:w="1860" w:type="dxa"/>
            <w:vAlign w:val="bottom"/>
            <w:tcBorders>
              <w:top w:val="single" w:sz="8" w:color="793690"/>
              <w:bottom w:val="single" w:sz="8" w:color="DADAE7"/>
            </w:tcBorders>
          </w:tcPr>
          <w:p>
            <w:pPr>
              <w:jc w:val="right"/>
              <w:spacing w:after="0"/>
              <w:rPr>
                <w:sz w:val="20"/>
                <w:szCs w:val="20"/>
                <w:color w:val="auto"/>
              </w:rPr>
            </w:pPr>
            <w:r>
              <w:rPr>
                <w:rFonts w:ascii="Arial" w:cs="Arial" w:eastAsia="Arial" w:hAnsi="Arial"/>
                <w:sz w:val="15"/>
                <w:szCs w:val="15"/>
                <w:color w:val="auto"/>
              </w:rPr>
              <w:t>623.9</w:t>
            </w:r>
          </w:p>
        </w:tc>
      </w:tr>
      <w:tr>
        <w:trPr>
          <w:trHeight w:val="236"/>
        </w:trPr>
        <w:tc>
          <w:tcPr>
            <w:tcW w:w="7660" w:type="dxa"/>
            <w:vAlign w:val="bottom"/>
          </w:tcPr>
          <w:p>
            <w:pPr>
              <w:ind w:left="20"/>
              <w:spacing w:after="0"/>
              <w:rPr>
                <w:sz w:val="20"/>
                <w:szCs w:val="20"/>
                <w:color w:val="auto"/>
              </w:rPr>
            </w:pPr>
            <w:r>
              <w:rPr>
                <w:rFonts w:ascii="Arial" w:cs="Arial" w:eastAsia="Arial" w:hAnsi="Arial"/>
                <w:sz w:val="15"/>
                <w:szCs w:val="15"/>
                <w:color w:val="auto"/>
              </w:rPr>
              <w:t>Additional Tier 1 Capital (net of issuance costs)</w:t>
            </w:r>
          </w:p>
        </w:tc>
        <w:tc>
          <w:tcPr>
            <w:tcW w:w="170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97.6</w:t>
            </w:r>
          </w:p>
        </w:tc>
        <w:tc>
          <w:tcPr>
            <w:tcW w:w="1860" w:type="dxa"/>
            <w:vAlign w:val="bottom"/>
          </w:tcPr>
          <w:p>
            <w:pPr>
              <w:jc w:val="right"/>
              <w:spacing w:after="0"/>
              <w:rPr>
                <w:sz w:val="20"/>
                <w:szCs w:val="20"/>
                <w:color w:val="auto"/>
              </w:rPr>
            </w:pPr>
            <w:r>
              <w:rPr>
                <w:rFonts w:ascii="Arial" w:cs="Arial" w:eastAsia="Arial" w:hAnsi="Arial"/>
                <w:sz w:val="15"/>
                <w:szCs w:val="15"/>
                <w:color w:val="auto"/>
              </w:rPr>
              <w:t>97.6</w:t>
            </w:r>
          </w:p>
        </w:tc>
      </w:tr>
      <w:tr>
        <w:trPr>
          <w:trHeight w:val="237"/>
        </w:trPr>
        <w:tc>
          <w:tcPr>
            <w:tcW w:w="76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Tier 2 Capital</w:t>
            </w:r>
          </w:p>
        </w:tc>
        <w:tc>
          <w:tcPr>
            <w:tcW w:w="17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1.1</w:t>
            </w:r>
          </w:p>
        </w:tc>
        <w:tc>
          <w:tcPr>
            <w:tcW w:w="18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1.6</w:t>
            </w:r>
          </w:p>
        </w:tc>
      </w:tr>
      <w:tr>
        <w:trPr>
          <w:trHeight w:val="236"/>
        </w:trPr>
        <w:tc>
          <w:tcPr>
            <w:tcW w:w="766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Total Capital resources</w:t>
            </w:r>
          </w:p>
        </w:tc>
        <w:tc>
          <w:tcPr>
            <w:tcW w:w="170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826.6</w:t>
            </w:r>
          </w:p>
        </w:tc>
        <w:tc>
          <w:tcPr>
            <w:tcW w:w="186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723.1</w:t>
            </w:r>
          </w:p>
        </w:tc>
      </w:tr>
      <w:tr>
        <w:trPr>
          <w:trHeight w:val="695"/>
        </w:trPr>
        <w:tc>
          <w:tcPr>
            <w:tcW w:w="7660" w:type="dxa"/>
            <w:vAlign w:val="bottom"/>
            <w:tcBorders>
              <w:top w:val="single" w:sz="8" w:color="793690"/>
              <w:bottom w:val="single" w:sz="8" w:color="793690"/>
            </w:tcBorders>
          </w:tcPr>
          <w:p>
            <w:pPr>
              <w:spacing w:after="0"/>
              <w:rPr>
                <w:sz w:val="24"/>
                <w:szCs w:val="24"/>
                <w:color w:val="auto"/>
              </w:rPr>
            </w:pPr>
          </w:p>
        </w:tc>
        <w:tc>
          <w:tcPr>
            <w:tcW w:w="1700" w:type="dxa"/>
            <w:vAlign w:val="bottom"/>
            <w:tcBorders>
              <w:top w:val="single" w:sz="8" w:color="793690"/>
              <w:bottom w:val="single" w:sz="8" w:color="793690"/>
            </w:tcBorders>
            <w:shd w:val="clear" w:color="auto" w:fill="F4EFF6"/>
          </w:tcPr>
          <w:p>
            <w:pPr>
              <w:spacing w:after="0"/>
              <w:rPr>
                <w:sz w:val="24"/>
                <w:szCs w:val="24"/>
                <w:color w:val="auto"/>
              </w:rPr>
            </w:pPr>
          </w:p>
        </w:tc>
        <w:tc>
          <w:tcPr>
            <w:tcW w:w="1860" w:type="dxa"/>
            <w:vAlign w:val="bottom"/>
            <w:tcBorders>
              <w:top w:val="single" w:sz="8" w:color="793690"/>
              <w:bottom w:val="single" w:sz="8" w:color="793690"/>
            </w:tcBorders>
          </w:tcPr>
          <w:p>
            <w:pPr>
              <w:spacing w:after="0"/>
              <w:rPr>
                <w:sz w:val="24"/>
                <w:szCs w:val="24"/>
                <w:color w:val="auto"/>
              </w:rPr>
            </w:pPr>
          </w:p>
        </w:tc>
      </w:tr>
      <w:tr>
        <w:trPr>
          <w:trHeight w:val="237"/>
        </w:trPr>
        <w:tc>
          <w:tcPr>
            <w:tcW w:w="766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Own Funds Threshold Requirement</w:t>
            </w:r>
            <w:r>
              <w:rPr>
                <w:rFonts w:ascii="Arial" w:cs="Arial" w:eastAsia="Arial" w:hAnsi="Arial"/>
                <w:sz w:val="19"/>
                <w:szCs w:val="19"/>
                <w:color w:val="auto"/>
                <w:vertAlign w:val="superscript"/>
              </w:rPr>
              <w:t>2</w:t>
            </w:r>
          </w:p>
        </w:tc>
        <w:tc>
          <w:tcPr>
            <w:tcW w:w="170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342.2</w:t>
            </w:r>
          </w:p>
        </w:tc>
        <w:tc>
          <w:tcPr>
            <w:tcW w:w="1860" w:type="dxa"/>
            <w:vAlign w:val="bottom"/>
            <w:tcBorders>
              <w:bottom w:val="single" w:sz="8" w:color="DADAE7"/>
            </w:tcBorders>
          </w:tcPr>
          <w:p>
            <w:pPr>
              <w:jc w:val="right"/>
              <w:spacing w:after="0"/>
              <w:rPr>
                <w:sz w:val="20"/>
                <w:szCs w:val="20"/>
                <w:color w:val="auto"/>
              </w:rPr>
            </w:pPr>
            <w:r>
              <w:rPr>
                <w:rFonts w:ascii="Arial" w:cs="Arial" w:eastAsia="Arial" w:hAnsi="Arial"/>
                <w:sz w:val="15"/>
                <w:szCs w:val="15"/>
                <w:color w:val="auto"/>
              </w:rPr>
              <w:t>308.8</w:t>
            </w:r>
          </w:p>
        </w:tc>
      </w:tr>
      <w:tr>
        <w:trPr>
          <w:trHeight w:val="237"/>
        </w:trPr>
        <w:tc>
          <w:tcPr>
            <w:tcW w:w="7660" w:type="dxa"/>
            <w:vAlign w:val="bottom"/>
            <w:tcBorders>
              <w:bottom w:val="single" w:sz="8" w:color="793690"/>
            </w:tcBorders>
          </w:tcPr>
          <w:p>
            <w:pPr>
              <w:ind w:left="20"/>
              <w:spacing w:after="0"/>
              <w:rPr>
                <w:sz w:val="20"/>
                <w:szCs w:val="20"/>
                <w:color w:val="auto"/>
              </w:rPr>
            </w:pPr>
            <w:r>
              <w:rPr>
                <w:rFonts w:ascii="Arial" w:cs="Arial" w:eastAsia="Arial" w:hAnsi="Arial"/>
                <w:sz w:val="15"/>
                <w:szCs w:val="15"/>
                <w:b w:val="1"/>
                <w:bCs w:val="1"/>
                <w:color w:val="auto"/>
              </w:rPr>
              <w:t>Total Capital Ratio</w:t>
            </w:r>
            <w:r>
              <w:rPr>
                <w:rFonts w:ascii="Arial" w:cs="Arial" w:eastAsia="Arial" w:hAnsi="Arial"/>
                <w:sz w:val="19"/>
                <w:szCs w:val="19"/>
                <w:b w:val="1"/>
                <w:bCs w:val="1"/>
                <w:color w:val="auto"/>
                <w:vertAlign w:val="superscript"/>
              </w:rPr>
              <w:t>3</w:t>
            </w:r>
          </w:p>
        </w:tc>
        <w:tc>
          <w:tcPr>
            <w:tcW w:w="1700" w:type="dxa"/>
            <w:vAlign w:val="bottom"/>
            <w:tcBorders>
              <w:bottom w:val="single" w:sz="8" w:color="793690"/>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242%</w:t>
            </w:r>
          </w:p>
        </w:tc>
        <w:tc>
          <w:tcPr>
            <w:tcW w:w="1860" w:type="dxa"/>
            <w:vAlign w:val="bottom"/>
            <w:tcBorders>
              <w:bottom w:val="single" w:sz="8" w:color="793690"/>
            </w:tcBorders>
          </w:tcPr>
          <w:p>
            <w:pPr>
              <w:jc w:val="right"/>
              <w:spacing w:after="0"/>
              <w:rPr>
                <w:sz w:val="20"/>
                <w:szCs w:val="20"/>
                <w:color w:val="auto"/>
              </w:rPr>
            </w:pPr>
            <w:r>
              <w:rPr>
                <w:rFonts w:ascii="Arial" w:cs="Arial" w:eastAsia="Arial" w:hAnsi="Arial"/>
                <w:sz w:val="15"/>
                <w:szCs w:val="15"/>
                <w:color w:val="auto"/>
              </w:rPr>
              <w:t>234%</w:t>
            </w:r>
          </w:p>
        </w:tc>
      </w:tr>
    </w:tbl>
    <w:p>
      <w:pPr>
        <w:spacing w:after="0" w:line="297"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Core Tier 1 Capital contains the unaudited results for the period.</w:t>
      </w:r>
    </w:p>
    <w:p>
      <w:pPr>
        <w:spacing w:after="0" w:line="49" w:lineRule="exact"/>
        <w:rPr>
          <w:rFonts w:ascii="Arial" w:cs="Arial" w:eastAsia="Arial" w:hAnsi="Arial"/>
          <w:sz w:val="11"/>
          <w:szCs w:val="11"/>
          <w:color w:val="auto"/>
        </w:rPr>
      </w:pPr>
    </w:p>
    <w:p>
      <w:pPr>
        <w:ind w:left="220" w:hanging="212"/>
        <w:spacing w:after="0"/>
        <w:tabs>
          <w:tab w:leader="none" w:pos="2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Own Funds Requirement presented as Own Funds Threshold Requirement based on the latest Individual Capital and Risk Assessment process.</w:t>
      </w:r>
    </w:p>
    <w:p>
      <w:pPr>
        <w:spacing w:after="0" w:line="62" w:lineRule="exact"/>
        <w:rPr>
          <w:rFonts w:ascii="Arial" w:cs="Arial" w:eastAsia="Arial" w:hAnsi="Arial"/>
          <w:sz w:val="11"/>
          <w:szCs w:val="11"/>
          <w:color w:val="auto"/>
        </w:rPr>
      </w:pPr>
    </w:p>
    <w:p>
      <w:pPr>
        <w:ind w:left="220" w:hanging="212"/>
        <w:spacing w:after="0"/>
        <w:tabs>
          <w:tab w:leader="none" w:pos="2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The Group’s total capital resources as a percentage of Own Funds Requirement.</w:t>
      </w:r>
    </w:p>
    <w:p>
      <w:pPr>
        <w:spacing w:after="0" w:line="220" w:lineRule="exact"/>
        <w:rPr>
          <w:sz w:val="20"/>
          <w:szCs w:val="20"/>
          <w:color w:val="auto"/>
        </w:rPr>
      </w:pPr>
    </w:p>
    <w:p>
      <w:pPr>
        <w:ind w:right="60"/>
        <w:spacing w:after="0" w:line="283" w:lineRule="auto"/>
        <w:rPr>
          <w:sz w:val="20"/>
          <w:szCs w:val="20"/>
          <w:color w:val="auto"/>
        </w:rPr>
      </w:pPr>
      <w:r>
        <w:rPr>
          <w:rFonts w:ascii="Arial" w:cs="Arial" w:eastAsia="Arial" w:hAnsi="Arial"/>
          <w:sz w:val="15"/>
          <w:szCs w:val="15"/>
          <w:color w:val="auto"/>
        </w:rPr>
        <w:t>At 30 June 2025, the Group had a Total Capital Ratio of 242% (FY 2024: 234%), representing significant capital headroom to minimum requirements. The increase in the Total Capital Ratio resulted from an increase in total capital resources due to profit (unaudited) in H1 2025.</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12</w:t>
      </w:r>
    </w:p>
    <w:p>
      <w:pPr>
        <w:sectPr>
          <w:pgSz w:w="11900" w:h="16838" w:orient="portrait"/>
          <w:cols w:equalWidth="0" w:num="1">
            <w:col w:w="11220"/>
          </w:cols>
          <w:pgMar w:left="320" w:top="1353" w:right="35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793690"/>
        </w:rPr>
        <w:t xml:space="preserve">Financial Review </w:t>
      </w:r>
      <w:r>
        <w:rPr>
          <w:rFonts w:ascii="Arial" w:cs="Arial" w:eastAsia="Arial" w:hAnsi="Arial"/>
          <w:sz w:val="22"/>
          <w:szCs w:val="22"/>
          <w:color w:val="793690"/>
        </w:rPr>
        <w:t>(continued)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Dividend</w:t>
      </w:r>
    </w:p>
    <w:p>
      <w:pPr>
        <w:spacing w:after="0" w:line="6" w:lineRule="exact"/>
        <w:rPr>
          <w:sz w:val="20"/>
          <w:szCs w:val="20"/>
          <w:color w:val="auto"/>
        </w:rPr>
      </w:pPr>
    </w:p>
    <w:p>
      <w:pPr>
        <w:ind w:right="520"/>
        <w:spacing w:after="0" w:line="282" w:lineRule="auto"/>
        <w:rPr>
          <w:sz w:val="20"/>
          <w:szCs w:val="20"/>
          <w:color w:val="auto"/>
        </w:rPr>
      </w:pPr>
      <w:r>
        <w:rPr>
          <w:rFonts w:ascii="Arial" w:cs="Arial" w:eastAsia="Arial" w:hAnsi="Arial"/>
          <w:sz w:val="15"/>
          <w:szCs w:val="15"/>
          <w:color w:val="auto"/>
        </w:rPr>
        <w:t>The Group approved the payment of a dividend of $0.15 per share to be paid on 11 September 2025 to the shareholders on record at the close of business on 26 August 2025.</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 Looking Statements:</w:t>
      </w:r>
    </w:p>
    <w:p>
      <w:pPr>
        <w:spacing w:after="0" w:line="33" w:lineRule="exact"/>
        <w:rPr>
          <w:sz w:val="20"/>
          <w:szCs w:val="20"/>
          <w:color w:val="auto"/>
        </w:rPr>
      </w:pPr>
    </w:p>
    <w:p>
      <w:pPr>
        <w:ind w:right="280"/>
        <w:spacing w:after="0" w:line="263" w:lineRule="auto"/>
        <w:rPr>
          <w:sz w:val="20"/>
          <w:szCs w:val="20"/>
          <w:color w:val="auto"/>
        </w:rPr>
      </w:pPr>
      <w:r>
        <w:rPr>
          <w:rFonts w:ascii="Arial" w:cs="Arial" w:eastAsia="Arial" w:hAnsi="Arial"/>
          <w:sz w:val="15"/>
          <w:szCs w:val="15"/>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expected financial results, acquisitions and dividend payments. In some cases, these forward-looking statements can be identified by words or phrases such as “may,” “will,” “expect,” “anticipate,” “aim,” “estimate,” “intend,” “plan,” “believe,” “potential,” “continue,” “is/are likely to” or other similar expressions.</w:t>
      </w:r>
    </w:p>
    <w:p>
      <w:pPr>
        <w:spacing w:after="0" w:line="67" w:lineRule="exact"/>
        <w:rPr>
          <w:sz w:val="20"/>
          <w:szCs w:val="20"/>
          <w:color w:val="auto"/>
        </w:rPr>
      </w:pPr>
    </w:p>
    <w:p>
      <w:pPr>
        <w:ind w:right="440"/>
        <w:spacing w:after="0" w:line="253" w:lineRule="auto"/>
        <w:rPr>
          <w:sz w:val="20"/>
          <w:szCs w:val="20"/>
          <w:color w:val="auto"/>
        </w:rPr>
      </w:pPr>
      <w:r>
        <w:rPr>
          <w:rFonts w:ascii="Arial" w:cs="Arial" w:eastAsia="Arial" w:hAnsi="Arial"/>
          <w:sz w:val="15"/>
          <w:szCs w:val="15"/>
          <w:color w:val="auto"/>
        </w:rPr>
        <w:t>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w:t>
      </w:r>
    </w:p>
    <w:p>
      <w:pPr>
        <w:spacing w:after="0" w:line="1" w:lineRule="exact"/>
        <w:rPr>
          <w:sz w:val="20"/>
          <w:szCs w:val="20"/>
          <w:color w:val="auto"/>
        </w:rPr>
      </w:pPr>
    </w:p>
    <w:p>
      <w:pPr>
        <w:ind w:right="120"/>
        <w:spacing w:after="0" w:line="234" w:lineRule="auto"/>
        <w:rPr>
          <w:sz w:val="20"/>
          <w:szCs w:val="20"/>
          <w:color w:val="auto"/>
        </w:rPr>
      </w:pPr>
      <w:r>
        <w:rPr>
          <w:rFonts w:ascii="Arial" w:cs="Arial" w:eastAsia="Arial" w:hAnsi="Arial"/>
          <w:sz w:val="15"/>
          <w:szCs w:val="15"/>
          <w:color w:val="auto"/>
        </w:rPr>
        <w:t>information contained in the forward-looking statements as a result of a number of factors, including, without limitation: subdued commodity market activity or pricing levels; the effects of geopolitical events, terrorism and wars, such as the effect of Russia’s military action in Ukraine or the ongoing conflict in the Middle East, on</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market volatility, global macroeconomic conditions and commodity prices; changes to the U.S regulatory regime, including with respect to tariffs; changes in interest</w:t>
      </w:r>
    </w:p>
    <w:p>
      <w:pPr>
        <w:spacing w:after="0" w:line="3" w:lineRule="exact"/>
        <w:rPr>
          <w:sz w:val="20"/>
          <w:szCs w:val="20"/>
          <w:color w:val="auto"/>
        </w:rPr>
      </w:pPr>
    </w:p>
    <w:p>
      <w:pPr>
        <w:ind w:right="20"/>
        <w:spacing w:after="0" w:line="234" w:lineRule="auto"/>
        <w:rPr>
          <w:sz w:val="20"/>
          <w:szCs w:val="20"/>
          <w:color w:val="auto"/>
        </w:rPr>
      </w:pPr>
      <w:r>
        <w:rPr>
          <w:rFonts w:ascii="Arial" w:cs="Arial" w:eastAsia="Arial" w:hAnsi="Arial"/>
          <w:sz w:val="15"/>
          <w:szCs w:val="15"/>
          <w:color w:val="auto"/>
        </w:rPr>
        <w:t>rate levels; the risk of our clients and their related financial institutions defaulting on their obligations to us; regulatory, reputational and financial risks as a result of our international operations; software or systems failure, loss or disruption of data or data security failures; an inability to adequately hedge our positions and limitations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on our ability to modify contracts and the contractual protections that may be available to us in OTC derivatives transactions; market volatility, reputational risk and</w:t>
      </w:r>
    </w:p>
    <w:p>
      <w:pPr>
        <w:spacing w:after="0" w:line="3" w:lineRule="exact"/>
        <w:rPr>
          <w:sz w:val="20"/>
          <w:szCs w:val="20"/>
          <w:color w:val="auto"/>
        </w:rPr>
      </w:pPr>
    </w:p>
    <w:p>
      <w:pPr>
        <w:ind w:right="260"/>
        <w:spacing w:after="0" w:line="234" w:lineRule="auto"/>
        <w:rPr>
          <w:sz w:val="20"/>
          <w:szCs w:val="20"/>
          <w:color w:val="auto"/>
        </w:rPr>
      </w:pPr>
      <w:r>
        <w:rPr>
          <w:rFonts w:ascii="Arial" w:cs="Arial" w:eastAsia="Arial" w:hAnsi="Arial"/>
          <w:sz w:val="15"/>
          <w:szCs w:val="15"/>
          <w:color w:val="auto"/>
        </w:rPr>
        <w:t>regulatory uncertainty related to commodity markets, equities, fixed income, foreign exchange; the impact of climate change and the transition to a lower carbon economy on supply chains and the size of the market for certain of our energy products; the impact of changes in judgments, estimates and assumptions made by</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management in the application of our accounting policies on our reported financial condition and results of operations; lack of sufficient financial liquidity; if we fail to</w:t>
      </w:r>
    </w:p>
    <w:p>
      <w:pPr>
        <w:spacing w:after="0" w:line="3" w:lineRule="exact"/>
        <w:rPr>
          <w:sz w:val="20"/>
          <w:szCs w:val="20"/>
          <w:color w:val="auto"/>
        </w:rPr>
      </w:pPr>
    </w:p>
    <w:p>
      <w:pPr>
        <w:spacing w:after="0" w:line="234" w:lineRule="auto"/>
        <w:rPr>
          <w:sz w:val="20"/>
          <w:szCs w:val="20"/>
          <w:color w:val="auto"/>
        </w:rPr>
      </w:pPr>
      <w:r>
        <w:rPr>
          <w:rFonts w:ascii="Arial" w:cs="Arial" w:eastAsia="Arial" w:hAnsi="Arial"/>
          <w:sz w:val="15"/>
          <w:szCs w:val="15"/>
          <w:color w:val="auto"/>
        </w:rPr>
        <w:t>comply with applicable law and regulation, we may be subject to enforcement or other action, forced to cease providing certain services or obliged to change the scope or nature of our operations; significant costs, including adverse impacts on our business, financial condition and results of operations, and expenses associated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with compliance with relevant regulations; and if we fail to remediate the material weaknesses we identified in our internal control over financial reporting or prevent</w:t>
      </w:r>
    </w:p>
    <w:p>
      <w:pPr>
        <w:spacing w:after="0" w:line="3" w:lineRule="exact"/>
        <w:rPr>
          <w:sz w:val="20"/>
          <w:szCs w:val="20"/>
          <w:color w:val="auto"/>
        </w:rPr>
      </w:pPr>
    </w:p>
    <w:p>
      <w:pPr>
        <w:ind w:right="100"/>
        <w:spacing w:after="0" w:line="234" w:lineRule="auto"/>
        <w:rPr>
          <w:sz w:val="20"/>
          <w:szCs w:val="20"/>
          <w:color w:val="auto"/>
        </w:rPr>
      </w:pPr>
      <w:r>
        <w:rPr>
          <w:rFonts w:ascii="Arial" w:cs="Arial" w:eastAsia="Arial" w:hAnsi="Arial"/>
          <w:sz w:val="15"/>
          <w:szCs w:val="15"/>
          <w:color w:val="auto"/>
        </w:rPr>
        <w:t>material weaknesses in the future, the accuracy and timing of our financial statements may be impacted, which could result in material misstatements in our financial statements or failure to meet our reporting obligations and subject us to potential delisting, regulatory investments or civil or criminal sanctions, and other risks</w:t>
      </w:r>
    </w:p>
    <w:p>
      <w:pPr>
        <w:spacing w:after="0" w:line="1" w:lineRule="exact"/>
        <w:rPr>
          <w:sz w:val="20"/>
          <w:szCs w:val="20"/>
          <w:color w:val="auto"/>
        </w:rPr>
      </w:pPr>
    </w:p>
    <w:p>
      <w:pPr>
        <w:ind w:right="640"/>
        <w:spacing w:after="0" w:line="263" w:lineRule="auto"/>
        <w:rPr>
          <w:sz w:val="20"/>
          <w:szCs w:val="20"/>
          <w:color w:val="auto"/>
        </w:rPr>
      </w:pPr>
      <w:r>
        <w:rPr>
          <w:rFonts w:ascii="Arial" w:cs="Arial" w:eastAsia="Arial" w:hAnsi="Arial"/>
          <w:sz w:val="15"/>
          <w:szCs w:val="15"/>
          <w:color w:val="auto"/>
        </w:rPr>
        <w:t>discussed under the caption “Risk Factors” in our Annual Report on Form 20-F for the year ended 31 December 2024 filed with the Securities and Exchange Commission (the “SEC”) as updated by our other reports filed with the SEC.</w:t>
      </w:r>
    </w:p>
    <w:p>
      <w:pPr>
        <w:spacing w:after="0" w:line="67" w:lineRule="exact"/>
        <w:rPr>
          <w:sz w:val="20"/>
          <w:szCs w:val="20"/>
          <w:color w:val="auto"/>
        </w:rPr>
      </w:pPr>
    </w:p>
    <w:p>
      <w:pPr>
        <w:ind w:right="60"/>
        <w:spacing w:after="0" w:line="273" w:lineRule="auto"/>
        <w:rPr>
          <w:sz w:val="20"/>
          <w:szCs w:val="20"/>
          <w:color w:val="auto"/>
        </w:rPr>
      </w:pPr>
      <w:r>
        <w:rPr>
          <w:rFonts w:ascii="Arial" w:cs="Arial" w:eastAsia="Arial" w:hAnsi="Arial"/>
          <w:sz w:val="15"/>
          <w:szCs w:val="15"/>
          <w:color w:val="auto"/>
        </w:rPr>
        <w:t>The forward-looking statements made in this press release relate only to events or information as of the date on which the statements are made in this press release.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59" w:lineRule="exact"/>
        <w:rPr>
          <w:sz w:val="20"/>
          <w:szCs w:val="20"/>
          <w:color w:val="auto"/>
        </w:rPr>
      </w:pPr>
    </w:p>
    <w:p>
      <w:pPr>
        <w:ind w:right="40"/>
        <w:spacing w:after="0" w:line="269" w:lineRule="auto"/>
        <w:rPr>
          <w:sz w:val="20"/>
          <w:szCs w:val="20"/>
          <w:color w:val="auto"/>
        </w:rPr>
      </w:pPr>
      <w:r>
        <w:rPr>
          <w:rFonts w:ascii="Arial" w:cs="Arial" w:eastAsia="Arial" w:hAnsi="Arial"/>
          <w:sz w:val="15"/>
          <w:szCs w:val="15"/>
          <w:color w:val="auto"/>
        </w:rPr>
        <w:t>In addition, statements that “we believe” and similar statements reflect our beliefs and opinions on the relevant subject. These statements are based upon information available to us as of the date of this press release,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13</w:t>
      </w:r>
    </w:p>
    <w:p>
      <w:pPr>
        <w:sectPr>
          <w:pgSz w:w="11900" w:h="16838" w:orient="portrait"/>
          <w:cols w:equalWidth="0" w:num="1">
            <w:col w:w="11220"/>
          </w:cols>
          <w:pgMar w:left="320" w:top="1353" w:right="35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793690"/>
        </w:rPr>
        <w:t>Appendix 1</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Non-IFRS Financial Measures and Key Performance Indicators</w:t>
      </w:r>
    </w:p>
    <w:p>
      <w:pPr>
        <w:spacing w:after="0" w:line="6" w:lineRule="exact"/>
        <w:rPr>
          <w:sz w:val="20"/>
          <w:szCs w:val="20"/>
          <w:color w:val="auto"/>
        </w:rPr>
      </w:pPr>
    </w:p>
    <w:p>
      <w:pPr>
        <w:ind w:right="160"/>
        <w:spacing w:after="0" w:line="260" w:lineRule="auto"/>
        <w:rPr>
          <w:sz w:val="20"/>
          <w:szCs w:val="20"/>
          <w:color w:val="auto"/>
        </w:rPr>
      </w:pPr>
      <w:r>
        <w:rPr>
          <w:rFonts w:ascii="Arial" w:cs="Arial" w:eastAsia="Arial" w:hAnsi="Arial"/>
          <w:sz w:val="15"/>
          <w:szCs w:val="15"/>
          <w:color w:val="auto"/>
        </w:rPr>
        <w:t>This press release contains non-IFRS financial measures, including Adjusted Profit Before Tax, Adjusted Profit Before Tax Margin, Adjusted Basic Earnings per Share, Adjusted Diluted Earnings per Share, Adjusted Profit After Tax Attributable to Common Equity and Adjusted Return on Equity. These non-IFRS financial measures are presented for supplemental informational purposes only and should not be considered a substitute for profit after tax, profit margin, return on equity or any other financial information presented in accordance with IFRS and may be different from similarly titled non-IFRS financial measures used by other companies. The Group changed the labelling of its non-IFRS measures during 2024 to better align to the equivalent IFRS reported metric and enhance transparency and comparability.</w:t>
      </w: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Adjusted Profit Before Tax (formerly labelled Adjusted Operating Profit)</w:t>
      </w:r>
    </w:p>
    <w:p>
      <w:pPr>
        <w:spacing w:after="0" w:line="19" w:lineRule="exact"/>
        <w:rPr>
          <w:sz w:val="20"/>
          <w:szCs w:val="20"/>
          <w:color w:val="auto"/>
        </w:rPr>
      </w:pPr>
    </w:p>
    <w:p>
      <w:pPr>
        <w:ind w:right="20"/>
        <w:spacing w:after="0" w:line="257" w:lineRule="auto"/>
        <w:rPr>
          <w:sz w:val="20"/>
          <w:szCs w:val="20"/>
          <w:color w:val="auto"/>
        </w:rPr>
      </w:pPr>
      <w:r>
        <w:rPr>
          <w:rFonts w:ascii="Arial" w:cs="Arial" w:eastAsia="Arial" w:hAnsi="Arial"/>
          <w:sz w:val="15"/>
          <w:szCs w:val="15"/>
          <w:color w:val="auto"/>
        </w:rPr>
        <w:t>We define Adjusted Profit Before Tax as profit after tax adjusted for (i) tax, (ii) goodwill impairment charges, (iii) acquisition costs, (iv) bargain purchase gain, (v) owner fees, (vi) amortisation of acquired brands and customer lists, (vii) activities in relation to shareholders, (viii) employer tax on the vesting of Growth Shares, (ix) IPO preparation costs, (x) fair value of the cash settlement option on the Growth Shares and (xi) public offering of ordinary shares. Items (i) to (xi) are referred to as “Adjusting Items.” Adjusted Profit Before Tax is the primary measure used by our management to evaluate and understand our underlying operations and business trends, forecast future results and determine future capital investment allocations. Adjusted Profit Before Tax is the measure used by our executive board to assess the financial performance of our business in relation to our trading performance. The most directly comparable IFRS Accounting Standards measure is profit after tax. We believe Adjusted Profit Before Tax is a useful measure as it allows management to monitor our ongoing core operations and provides useful information to investors and analysts regarding the net results of the business. The core operations represent the primary trading operations of the business.</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Adjusted Profit Before Tax Margin (formerly labelled Adjusted Operating Profit Margin)</w:t>
      </w:r>
    </w:p>
    <w:p>
      <w:pPr>
        <w:spacing w:after="0" w:line="19" w:lineRule="exact"/>
        <w:rPr>
          <w:sz w:val="20"/>
          <w:szCs w:val="20"/>
          <w:color w:val="auto"/>
        </w:rPr>
      </w:pPr>
    </w:p>
    <w:p>
      <w:pPr>
        <w:ind w:right="120"/>
        <w:spacing w:after="0" w:line="272" w:lineRule="auto"/>
        <w:rPr>
          <w:sz w:val="20"/>
          <w:szCs w:val="20"/>
          <w:color w:val="auto"/>
        </w:rPr>
      </w:pPr>
      <w:r>
        <w:rPr>
          <w:rFonts w:ascii="Arial" w:cs="Arial" w:eastAsia="Arial" w:hAnsi="Arial"/>
          <w:sz w:val="15"/>
          <w:szCs w:val="15"/>
          <w:color w:val="auto"/>
        </w:rPr>
        <w:t>We define Adjusted Profit Before Tax Margin as Adjusted Profit Before Tax (as defined above) divided by revenue. We believe that Adjusted Profit Before Tax Margin is a useful measure as it allows management to assess the profitability of our business in relation to revenue. The most directly comparable IFRS Accounting Standards measure is profit margin, which is Profit after Tax divided by revenue.</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Adjusted Profit After Tax Attributable to Common Equity (formerly labelled Adjusted Operating Profit after Tax Attributable to Common Equity)</w:t>
      </w:r>
    </w:p>
    <w:p>
      <w:pPr>
        <w:spacing w:after="0" w:line="33" w:lineRule="exact"/>
        <w:rPr>
          <w:sz w:val="20"/>
          <w:szCs w:val="20"/>
          <w:color w:val="auto"/>
        </w:rPr>
      </w:pPr>
    </w:p>
    <w:p>
      <w:pPr>
        <w:ind w:right="20"/>
        <w:spacing w:after="0" w:line="259" w:lineRule="auto"/>
        <w:rPr>
          <w:sz w:val="20"/>
          <w:szCs w:val="20"/>
          <w:color w:val="auto"/>
        </w:rPr>
      </w:pPr>
      <w:r>
        <w:rPr>
          <w:rFonts w:ascii="Arial" w:cs="Arial" w:eastAsia="Arial" w:hAnsi="Arial"/>
          <w:sz w:val="15"/>
          <w:szCs w:val="15"/>
          <w:color w:val="auto"/>
        </w:rPr>
        <w:t>We define Adjusted Profit After Tax Attributable to Common Equity as profit after tax adjusted for the items outlined in the Adjusted Profit Before Tax paragraph above. Additionally, Adjusted Profit After Tax Attributable to Common Equity is also adjusted for (i) tax and the tax effect of the Adjusting Items to calculate Adjusted Profit Before Tax and (ii) profit attributable to Additional Tier 1 (“AT1”) note holders, net of tax, which is the coupons on the AT1 issuance and accounted for as dividends, adjusted for the tax benefit of the coupons. We define Common Equity as being the equity belonging to the holders of the Group’s share capital. We believe Adjusted Profit After Tax Attributable to Common Equity is a useful measure as it allows management to assess the profitability of the equity belonging to the holders of the Group’s share capital. The most directly comparable IFRS Accounting Standards measure is profit after tax.</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Adjusted Return on Equity (formerly labelled Return on Adjusted Operating Profit after Tax Attributable to Common Equity)</w:t>
      </w:r>
    </w:p>
    <w:p>
      <w:pPr>
        <w:spacing w:after="0" w:line="33" w:lineRule="exact"/>
        <w:rPr>
          <w:sz w:val="20"/>
          <w:szCs w:val="20"/>
          <w:color w:val="auto"/>
        </w:rPr>
      </w:pPr>
    </w:p>
    <w:p>
      <w:pPr>
        <w:ind w:right="40"/>
        <w:spacing w:after="0" w:line="256" w:lineRule="auto"/>
        <w:rPr>
          <w:sz w:val="20"/>
          <w:szCs w:val="20"/>
          <w:color w:val="auto"/>
        </w:rPr>
      </w:pPr>
      <w:r>
        <w:rPr>
          <w:rFonts w:ascii="Arial" w:cs="Arial" w:eastAsia="Arial" w:hAnsi="Arial"/>
          <w:sz w:val="15"/>
          <w:szCs w:val="15"/>
          <w:color w:val="auto"/>
        </w:rPr>
        <w:t>We define the Adjusted Return on Equity as the Adjusted Profit After Tax Attributable to Common Equity (as defined above) divided by the average Common Equity for the period. Common Equity is defined as being the equity belonging to the holders of the Group’s share capital. Common Equity is calculated as the average balance of total equity minus additional Tier 1 capital. For the six months ended 30 June 2025 and 2024, Common Equity is calculated as the average balance of total equity minus additional Tier 1 capital as at 31 December of the prior year, 31 March of the current year and 30 June of the current year. For the six months ended 30 June 2025 and 2024, Adjusted Return on Equity is calculated for comparison purposes on an annualised basis as Adjusted Profit After Tax Attributable to Common Equity for the period multiplied by two and then divided by average Common Equity for the period. It is presented on an annualised basis for comparison purposes. For the three months ended 30 June 2025 and 2024, Common Equity is calculated as the average balance of total equity minus additional Tier 1 capital as at 31 March of the current year and 30 June of the current year. For the three months ended 30 June 2025 and 2024, Adjusted Return on Equity is calculated for comparison purposes on an annualised basis as Adjusted Profit After Tax Attributable to Common Equity for the period multiplied by four and then divided by average Common Equity for the period. It is presented on an annualised basis for comparison purposes.</w:t>
      </w:r>
    </w:p>
    <w:p>
      <w:pPr>
        <w:spacing w:after="0" w:line="90"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We believe Adjusted Return on Equity is a useful measure as it allows management to assess the return on the equity belonging to the holders of the Group’s share capital. The most directly comparable IFRS Accounting Standards measure for Adjusted Return on Equity is Return on Equity, which is calculated as profit after tax for the period divided by average equity. Average Equity for the six months ended 30 June 2025 and 2024 is calculated as the average of total equity at 31 December of the prior year, 31 March of the current year and 30 June of the current year. For the six months ended 30 June 2025 and 2024, Return on Equity is calculated for comparison purposes on an annualised basis as Profit After Tax for the period multiplied by two and then divided by Average Equity for the period. It is presented on an annualised basis for comparison purposes. Average Equity for the three months ended 30 June 2025 and 2024 is calculated as the average of total equity at 31 March of the current year and 30 June of the current year. For the three months ended 30 June 2025 and 2024, Return on Equity is calculated for comparison purposes on an annualised basis as Profit After Tax for the period multiplied by four and then divided by Average Equity for the period. It is presented on an annualised basis for comparison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14</w:t>
      </w:r>
    </w:p>
    <w:p>
      <w:pPr>
        <w:sectPr>
          <w:pgSz w:w="11900" w:h="16838" w:orient="portrait"/>
          <w:cols w:equalWidth="0" w:num="1">
            <w:col w:w="11240"/>
          </w:cols>
          <w:pgMar w:left="320" w:top="1353" w:right="33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color w:val="793690"/>
        </w:rPr>
        <w:t xml:space="preserve">Appendix 1 </w:t>
      </w:r>
      <w:r>
        <w:rPr>
          <w:rFonts w:ascii="Arial" w:cs="Arial" w:eastAsia="Arial" w:hAnsi="Arial"/>
          <w:sz w:val="22"/>
          <w:szCs w:val="22"/>
          <w:color w:val="793690"/>
        </w:rPr>
        <w:t>(continued)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 xml:space="preserve">Non-IFRS Financial Measures and Key Performance Indicators </w:t>
      </w:r>
      <w:r>
        <w:rPr>
          <w:rFonts w:ascii="Arial" w:cs="Arial" w:eastAsia="Arial" w:hAnsi="Arial"/>
          <w:sz w:val="18"/>
          <w:szCs w:val="18"/>
          <w:color w:val="793690"/>
        </w:rPr>
        <w:t>(continued)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Adjusted Basic Earnings per Share and Adjusted Diluted Earnings per Share</w:t>
      </w:r>
    </w:p>
    <w:p>
      <w:pPr>
        <w:spacing w:after="0" w:line="17" w:lineRule="exact"/>
        <w:rPr>
          <w:sz w:val="20"/>
          <w:szCs w:val="20"/>
          <w:color w:val="auto"/>
        </w:rPr>
      </w:pPr>
    </w:p>
    <w:p>
      <w:pPr>
        <w:ind w:right="20"/>
        <w:spacing w:after="0" w:line="256" w:lineRule="auto"/>
        <w:rPr>
          <w:sz w:val="20"/>
          <w:szCs w:val="20"/>
          <w:color w:val="auto"/>
        </w:rPr>
      </w:pPr>
      <w:r>
        <w:rPr>
          <w:rFonts w:ascii="Arial" w:cs="Arial" w:eastAsia="Arial" w:hAnsi="Arial"/>
          <w:sz w:val="15"/>
          <w:szCs w:val="15"/>
          <w:color w:val="auto"/>
        </w:rPr>
        <w:t>Adjusted Basic Earnings per Share is defined as the Adjusted Profit After Tax Attributable to Common Equity (as defined above) for the period divided by weighted average number of ordinary shares for the period. We believe Adjusted Basic Earnings per Share is a useful measure as it allows management to assess the profitability of our business per share. The most directly comparable IFRS Accounting Standards metric is basic earnings per share. This metric has been designed to highlight the Adjusted Profit After Tax Attributable to Common Equity over the available share capital of the Group. Adjusted Diluted Earnings per Share is defined as the Adjusted Profit After Tax Attributable to Common Equity for the period divided by the diluted weighted average shares for the period. We believe Adjusted Diluted Earnings per Share is a useful measure as it allows management to assess the profitability of our business per share on a diluted basis. Dilution is calculated in the same way as it has been for diluted earnings per share. The most directly comparable IFRS Accounting Standards metric is diluted earnings per share.</w:t>
      </w:r>
    </w:p>
    <w:p>
      <w:pPr>
        <w:spacing w:after="0" w:line="89"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We believe that these non-IFRS financial measures provide useful information to both management and investors by excluding certain items that management believes are not indicative of our ongoing operations. Our management uses these non-IFRS financial measures to evaluate our business strategies and to facilitate operating performance comparisons from period to period. We believe that these non-IFRS financial measures provide useful information to investors because they improve the comparability of our financial results between periods and provide for greater transparency of key measures used to evaluate our performance. In addition these non-IFRS financial measures are frequently used by securities analysts, investors and other interested parties in their evaluation of companies comparable to us, many of which present related performance measures when reporting their results.</w:t>
      </w:r>
    </w:p>
    <w:p>
      <w:pPr>
        <w:spacing w:after="0" w:line="67" w:lineRule="exact"/>
        <w:rPr>
          <w:sz w:val="20"/>
          <w:szCs w:val="20"/>
          <w:color w:val="auto"/>
        </w:rPr>
      </w:pPr>
    </w:p>
    <w:p>
      <w:pPr>
        <w:ind w:right="60"/>
        <w:spacing w:after="0" w:line="273" w:lineRule="auto"/>
        <w:rPr>
          <w:sz w:val="20"/>
          <w:szCs w:val="20"/>
          <w:color w:val="auto"/>
        </w:rPr>
      </w:pPr>
      <w:r>
        <w:rPr>
          <w:rFonts w:ascii="Arial" w:cs="Arial" w:eastAsia="Arial" w:hAnsi="Arial"/>
          <w:sz w:val="15"/>
          <w:szCs w:val="15"/>
          <w:color w:val="auto"/>
        </w:rPr>
        <w:t>These non-IFRS financial measures are used by different companies for differing purposes and are often calculated in different ways that reflect the circumstances of those companies. In addition, certain judgments and estimates are inherent in our process to calculate such non-IFRS financial measures. You should exercise caution in comparing these non-IFRS financial measures as reported by other companies.</w:t>
      </w:r>
    </w:p>
    <w:p>
      <w:pPr>
        <w:spacing w:after="0" w:line="73" w:lineRule="exact"/>
        <w:rPr>
          <w:sz w:val="20"/>
          <w:szCs w:val="20"/>
          <w:color w:val="auto"/>
        </w:rPr>
      </w:pPr>
    </w:p>
    <w:p>
      <w:pPr>
        <w:ind w:right="180"/>
        <w:spacing w:after="0" w:line="301" w:lineRule="auto"/>
        <w:rPr>
          <w:sz w:val="20"/>
          <w:szCs w:val="20"/>
          <w:color w:val="auto"/>
        </w:rPr>
      </w:pPr>
      <w:r>
        <w:rPr>
          <w:rFonts w:ascii="Arial" w:cs="Arial" w:eastAsia="Arial" w:hAnsi="Arial"/>
          <w:sz w:val="15"/>
          <w:szCs w:val="15"/>
          <w:color w:val="auto"/>
        </w:rPr>
        <w:t>These non-IFRS financial measures have limitations as analytical tools, and you should not consider them in isolation or as substitutes for analysis of our results as reported under IFRS Accounting Standards. Some of these limitations are:</w:t>
      </w:r>
    </w:p>
    <w:p>
      <w:pPr>
        <w:spacing w:after="0" w:line="40" w:lineRule="exact"/>
        <w:rPr>
          <w:sz w:val="20"/>
          <w:szCs w:val="20"/>
          <w:color w:val="auto"/>
        </w:rPr>
      </w:pPr>
    </w:p>
    <w:p>
      <w:pPr>
        <w:ind w:left="160" w:hanging="152"/>
        <w:spacing w:after="0"/>
        <w:tabs>
          <w:tab w:leader="none" w:pos="160" w:val="left"/>
        </w:tabs>
        <w:numPr>
          <w:ilvl w:val="0"/>
          <w:numId w:val="18"/>
        </w:numPr>
        <w:rPr>
          <w:rFonts w:ascii="Arial" w:cs="Arial" w:eastAsia="Arial" w:hAnsi="Arial"/>
          <w:sz w:val="15"/>
          <w:szCs w:val="15"/>
          <w:color w:val="505068"/>
        </w:rPr>
      </w:pPr>
      <w:r>
        <w:rPr>
          <w:rFonts w:ascii="Arial" w:cs="Arial" w:eastAsia="Arial" w:hAnsi="Arial"/>
          <w:sz w:val="15"/>
          <w:szCs w:val="15"/>
          <w:color w:val="auto"/>
        </w:rPr>
        <w:t>they do not reflect costs incurred in relation to the acquisitions that we have undertaken;</w:t>
      </w:r>
    </w:p>
    <w:p>
      <w:pPr>
        <w:spacing w:after="0" w:line="124" w:lineRule="exact"/>
        <w:rPr>
          <w:rFonts w:ascii="Arial" w:cs="Arial" w:eastAsia="Arial" w:hAnsi="Arial"/>
          <w:sz w:val="15"/>
          <w:szCs w:val="15"/>
          <w:color w:val="505068"/>
        </w:rPr>
      </w:pPr>
    </w:p>
    <w:p>
      <w:pPr>
        <w:ind w:left="160" w:hanging="152"/>
        <w:spacing w:after="0"/>
        <w:tabs>
          <w:tab w:leader="none" w:pos="160" w:val="left"/>
        </w:tabs>
        <w:numPr>
          <w:ilvl w:val="0"/>
          <w:numId w:val="18"/>
        </w:numPr>
        <w:rPr>
          <w:rFonts w:ascii="Arial" w:cs="Arial" w:eastAsia="Arial" w:hAnsi="Arial"/>
          <w:sz w:val="15"/>
          <w:szCs w:val="15"/>
          <w:color w:val="505068"/>
        </w:rPr>
      </w:pPr>
      <w:r>
        <w:rPr>
          <w:rFonts w:ascii="Arial" w:cs="Arial" w:eastAsia="Arial" w:hAnsi="Arial"/>
          <w:sz w:val="15"/>
          <w:szCs w:val="15"/>
          <w:color w:val="auto"/>
        </w:rPr>
        <w:t>they do not reflect impairment of goodwill;</w:t>
      </w:r>
    </w:p>
    <w:p>
      <w:pPr>
        <w:spacing w:after="0" w:line="111" w:lineRule="exact"/>
        <w:rPr>
          <w:rFonts w:ascii="Arial" w:cs="Arial" w:eastAsia="Arial" w:hAnsi="Arial"/>
          <w:sz w:val="15"/>
          <w:szCs w:val="15"/>
          <w:color w:val="505068"/>
        </w:rPr>
      </w:pPr>
    </w:p>
    <w:p>
      <w:pPr>
        <w:ind w:left="160" w:hanging="152"/>
        <w:spacing w:after="0"/>
        <w:tabs>
          <w:tab w:leader="none" w:pos="160" w:val="left"/>
        </w:tabs>
        <w:numPr>
          <w:ilvl w:val="0"/>
          <w:numId w:val="18"/>
        </w:numPr>
        <w:rPr>
          <w:rFonts w:ascii="Arial" w:cs="Arial" w:eastAsia="Arial" w:hAnsi="Arial"/>
          <w:sz w:val="15"/>
          <w:szCs w:val="15"/>
          <w:color w:val="505068"/>
        </w:rPr>
      </w:pPr>
      <w:r>
        <w:rPr>
          <w:rFonts w:ascii="Arial" w:cs="Arial" w:eastAsia="Arial" w:hAnsi="Arial"/>
          <w:sz w:val="15"/>
          <w:szCs w:val="15"/>
          <w:color w:val="auto"/>
        </w:rPr>
        <w:t>other companies in our industry may calculate these measures differently than we do, limiting their usefulness as comparative measures; and</w:t>
      </w:r>
    </w:p>
    <w:p>
      <w:pPr>
        <w:spacing w:after="0" w:line="124" w:lineRule="exact"/>
        <w:rPr>
          <w:rFonts w:ascii="Arial" w:cs="Arial" w:eastAsia="Arial" w:hAnsi="Arial"/>
          <w:sz w:val="15"/>
          <w:szCs w:val="15"/>
          <w:color w:val="505068"/>
        </w:rPr>
      </w:pPr>
    </w:p>
    <w:p>
      <w:pPr>
        <w:ind w:left="160" w:right="80" w:hanging="152"/>
        <w:spacing w:after="0" w:line="301" w:lineRule="auto"/>
        <w:tabs>
          <w:tab w:leader="none" w:pos="155" w:val="left"/>
        </w:tabs>
        <w:numPr>
          <w:ilvl w:val="0"/>
          <w:numId w:val="18"/>
        </w:numPr>
        <w:rPr>
          <w:rFonts w:ascii="Arial" w:cs="Arial" w:eastAsia="Arial" w:hAnsi="Arial"/>
          <w:sz w:val="15"/>
          <w:szCs w:val="15"/>
          <w:color w:val="505068"/>
        </w:rPr>
      </w:pPr>
      <w:r>
        <w:rPr>
          <w:rFonts w:ascii="Arial" w:cs="Arial" w:eastAsia="Arial" w:hAnsi="Arial"/>
          <w:sz w:val="15"/>
          <w:szCs w:val="15"/>
          <w:color w:val="auto"/>
        </w:rPr>
        <w:t>the adjustments made in calculating these non-IFRS financial measures are those that management considers to be not representative of our core operations and, therefore, are subjective in nature.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Accordingly, prospective investors should not place undue reliance on these non-IFRS financial measures.</w:t>
      </w:r>
    </w:p>
    <w:p>
      <w:pPr>
        <w:spacing w:after="0" w:line="125"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We also use key performance indicators (“KPIs”) such as Average Balances, Trades Executed, and Contracts Cleared to assess the performance of our business and believe that these KPIs provide useful information to both management and investors by showing the growth of our business across the periods presented.</w:t>
      </w:r>
    </w:p>
    <w:p>
      <w:pPr>
        <w:spacing w:after="0" w:line="66" w:lineRule="exact"/>
        <w:rPr>
          <w:sz w:val="20"/>
          <w:szCs w:val="20"/>
          <w:color w:val="auto"/>
        </w:rPr>
      </w:pPr>
    </w:p>
    <w:p>
      <w:pPr>
        <w:ind w:right="180"/>
        <w:spacing w:after="0" w:line="301" w:lineRule="auto"/>
        <w:rPr>
          <w:sz w:val="20"/>
          <w:szCs w:val="20"/>
          <w:color w:val="auto"/>
        </w:rPr>
      </w:pPr>
      <w:r>
        <w:rPr>
          <w:rFonts w:ascii="Arial" w:cs="Arial" w:eastAsia="Arial" w:hAnsi="Arial"/>
          <w:sz w:val="15"/>
          <w:szCs w:val="15"/>
          <w:color w:val="auto"/>
        </w:rPr>
        <w:t>Our management uses these KPIs to evaluate our business strategies and to facilitate operating performance comparisons from period to period. We define certain terms used in this release as follows: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“FTE” means the number of our full-time equivalents as of the end of a given period, which includes permanent employees and contractors.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“Average FTE” means the average number of our full-time equivalents over the period, including permanent employees and contractors.</w:t>
      </w:r>
    </w:p>
    <w:p>
      <w:pPr>
        <w:spacing w:after="0" w:line="111" w:lineRule="exact"/>
        <w:rPr>
          <w:sz w:val="20"/>
          <w:szCs w:val="20"/>
          <w:color w:val="auto"/>
        </w:rPr>
      </w:pPr>
    </w:p>
    <w:p>
      <w:pPr>
        <w:ind w:right="640"/>
        <w:spacing w:after="0" w:line="301" w:lineRule="auto"/>
        <w:rPr>
          <w:sz w:val="20"/>
          <w:szCs w:val="20"/>
          <w:color w:val="auto"/>
        </w:rPr>
      </w:pPr>
      <w:r>
        <w:rPr>
          <w:rFonts w:ascii="Arial" w:cs="Arial" w:eastAsia="Arial" w:hAnsi="Arial"/>
          <w:sz w:val="15"/>
          <w:szCs w:val="15"/>
          <w:color w:val="auto"/>
        </w:rPr>
        <w:t>“Average Balances” means the average of the daily holdings in exchanges, banks and other investments over the period. Previously, average balances were calculated as the average month end amount of segregated and non-segregated client balances that generated interest income over a given period.</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“Trades Executed” means the total number of trades executed on our platform in a given year.</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“Total Capital Ratio” means our total capital resources in a given period divided by the capital requirement for such period under the IFPR.</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“Contracts Cleared” means the total number of contracts cleared in a given period.</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“Market Volumes” are calculated as follows:</w:t>
      </w:r>
    </w:p>
    <w:p>
      <w:pPr>
        <w:spacing w:after="0" w:line="125" w:lineRule="exact"/>
        <w:rPr>
          <w:sz w:val="20"/>
          <w:szCs w:val="20"/>
          <w:color w:val="auto"/>
        </w:rPr>
      </w:pPr>
    </w:p>
    <w:p>
      <w:pPr>
        <w:ind w:left="160" w:hanging="152"/>
        <w:spacing w:after="0"/>
        <w:tabs>
          <w:tab w:leader="none" w:pos="160" w:val="left"/>
        </w:tabs>
        <w:numPr>
          <w:ilvl w:val="0"/>
          <w:numId w:val="19"/>
        </w:numPr>
        <w:rPr>
          <w:rFonts w:ascii="Arial" w:cs="Arial" w:eastAsia="Arial" w:hAnsi="Arial"/>
          <w:sz w:val="15"/>
          <w:szCs w:val="15"/>
          <w:color w:val="505068"/>
        </w:rPr>
      </w:pPr>
      <w:r>
        <w:rPr>
          <w:rFonts w:ascii="Arial" w:cs="Arial" w:eastAsia="Arial" w:hAnsi="Arial"/>
          <w:sz w:val="15"/>
          <w:szCs w:val="15"/>
          <w:color w:val="auto"/>
        </w:rPr>
        <w:t>All volumes traded on Marex key exchanges (CBOT, CME, Eurex, Euronext, ICE, LME, NYMEX COMEX, SGX)</w:t>
      </w:r>
    </w:p>
    <w:p>
      <w:pPr>
        <w:spacing w:after="0" w:line="124" w:lineRule="exact"/>
        <w:rPr>
          <w:rFonts w:ascii="Arial" w:cs="Arial" w:eastAsia="Arial" w:hAnsi="Arial"/>
          <w:sz w:val="15"/>
          <w:szCs w:val="15"/>
          <w:color w:val="505068"/>
        </w:rPr>
      </w:pPr>
    </w:p>
    <w:p>
      <w:pPr>
        <w:ind w:left="160" w:hanging="152"/>
        <w:spacing w:after="0"/>
        <w:tabs>
          <w:tab w:leader="none" w:pos="160" w:val="left"/>
        </w:tabs>
        <w:numPr>
          <w:ilvl w:val="0"/>
          <w:numId w:val="19"/>
        </w:numPr>
        <w:rPr>
          <w:rFonts w:ascii="Arial" w:cs="Arial" w:eastAsia="Arial" w:hAnsi="Arial"/>
          <w:sz w:val="15"/>
          <w:szCs w:val="15"/>
          <w:color w:val="505068"/>
        </w:rPr>
      </w:pPr>
      <w:r>
        <w:rPr>
          <w:rFonts w:ascii="Arial" w:cs="Arial" w:eastAsia="Arial" w:hAnsi="Arial"/>
          <w:sz w:val="15"/>
          <w:szCs w:val="15"/>
          <w:color w:val="auto"/>
        </w:rPr>
        <w:t>Energy volumes on CBOT, Eurex, ICE, NYMEX, SGX</w:t>
      </w:r>
    </w:p>
    <w:p>
      <w:pPr>
        <w:spacing w:after="0" w:line="111" w:lineRule="exact"/>
        <w:rPr>
          <w:rFonts w:ascii="Arial" w:cs="Arial" w:eastAsia="Arial" w:hAnsi="Arial"/>
          <w:sz w:val="15"/>
          <w:szCs w:val="15"/>
          <w:color w:val="505068"/>
        </w:rPr>
      </w:pPr>
    </w:p>
    <w:p>
      <w:pPr>
        <w:ind w:left="160" w:hanging="152"/>
        <w:spacing w:after="0"/>
        <w:tabs>
          <w:tab w:leader="none" w:pos="160" w:val="left"/>
        </w:tabs>
        <w:numPr>
          <w:ilvl w:val="0"/>
          <w:numId w:val="19"/>
        </w:numPr>
        <w:rPr>
          <w:rFonts w:ascii="Arial" w:cs="Arial" w:eastAsia="Arial" w:hAnsi="Arial"/>
          <w:sz w:val="15"/>
          <w:szCs w:val="15"/>
          <w:color w:val="505068"/>
        </w:rPr>
      </w:pPr>
      <w:r>
        <w:rPr>
          <w:rFonts w:ascii="Arial" w:cs="Arial" w:eastAsia="Arial" w:hAnsi="Arial"/>
          <w:sz w:val="15"/>
          <w:szCs w:val="15"/>
          <w:color w:val="auto"/>
        </w:rPr>
        <w:t>Financial securities (corporate bonds, equities, FX, repo, volatility) on CBOE, CBOT, CME, Eurex, Euronext, ICE, SGX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15</w:t>
      </w:r>
    </w:p>
    <w:p>
      <w:pPr>
        <w:sectPr>
          <w:pgSz w:w="11900" w:h="16838" w:orient="portrait"/>
          <w:cols w:equalWidth="0" w:num="1">
            <w:col w:w="11220"/>
          </w:cols>
          <w:pgMar w:left="320" w:top="1353" w:right="35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793690"/>
        </w:rPr>
        <w:t xml:space="preserve">Appendix 1 </w:t>
      </w:r>
      <w:r>
        <w:rPr>
          <w:rFonts w:ascii="Arial" w:cs="Arial" w:eastAsia="Arial" w:hAnsi="Arial"/>
          <w:sz w:val="22"/>
          <w:szCs w:val="22"/>
          <w:color w:val="793690"/>
        </w:rPr>
        <w:t>(continued)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Reconciliation of Non-IFRS Financial Measures and Key Performance Indicators: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28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 months ended</w:t>
            </w:r>
          </w:p>
        </w:tc>
        <w:tc>
          <w:tcPr>
            <w:tcW w:w="1560" w:type="dxa"/>
            <w:vAlign w:val="bottom"/>
          </w:tcPr>
          <w:p>
            <w:pPr>
              <w:jc w:val="right"/>
              <w:ind w:right="85"/>
              <w:spacing w:after="0"/>
              <w:rPr>
                <w:sz w:val="20"/>
                <w:szCs w:val="20"/>
                <w:color w:val="auto"/>
              </w:rPr>
            </w:pPr>
            <w:r>
              <w:rPr>
                <w:rFonts w:ascii="Arial" w:cs="Arial" w:eastAsia="Arial" w:hAnsi="Arial"/>
                <w:sz w:val="13"/>
                <w:szCs w:val="13"/>
                <w:b w:val="1"/>
                <w:bCs w:val="1"/>
                <w:color w:val="auto"/>
              </w:rPr>
              <w:t>3 months ended</w:t>
            </w:r>
          </w:p>
        </w:tc>
        <w:tc>
          <w:tcPr>
            <w:tcW w:w="126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6 months ended</w:t>
            </w: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6 months ended</w:t>
            </w:r>
          </w:p>
        </w:tc>
      </w:tr>
      <w:tr>
        <w:trPr>
          <w:trHeight w:val="187"/>
        </w:trPr>
        <w:tc>
          <w:tcPr>
            <w:tcW w:w="5700" w:type="dxa"/>
            <w:vAlign w:val="bottom"/>
          </w:tcPr>
          <w:p>
            <w:pPr>
              <w:spacing w:after="0"/>
              <w:rPr>
                <w:sz w:val="16"/>
                <w:szCs w:val="16"/>
                <w:color w:val="auto"/>
              </w:rPr>
            </w:pPr>
          </w:p>
        </w:tc>
        <w:tc>
          <w:tcPr>
            <w:tcW w:w="128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560" w:type="dxa"/>
            <w:vAlign w:val="bottom"/>
          </w:tcPr>
          <w:p>
            <w:pPr>
              <w:jc w:val="right"/>
              <w:ind w:right="85"/>
              <w:spacing w:after="0"/>
              <w:rPr>
                <w:sz w:val="20"/>
                <w:szCs w:val="20"/>
                <w:color w:val="auto"/>
              </w:rPr>
            </w:pPr>
            <w:r>
              <w:rPr>
                <w:rFonts w:ascii="Arial" w:cs="Arial" w:eastAsia="Arial" w:hAnsi="Arial"/>
                <w:sz w:val="13"/>
                <w:szCs w:val="13"/>
                <w:b w:val="1"/>
                <w:bCs w:val="1"/>
                <w:color w:val="auto"/>
              </w:rPr>
              <w:t>30 June 2024</w:t>
            </w:r>
          </w:p>
        </w:tc>
        <w:tc>
          <w:tcPr>
            <w:tcW w:w="126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30 June 2024</w:t>
            </w:r>
          </w:p>
        </w:tc>
      </w:tr>
      <w:tr>
        <w:trPr>
          <w:trHeight w:val="224"/>
        </w:trPr>
        <w:tc>
          <w:tcPr>
            <w:tcW w:w="5700" w:type="dxa"/>
            <w:vAlign w:val="bottom"/>
          </w:tcPr>
          <w:p>
            <w:pPr>
              <w:spacing w:after="0"/>
              <w:rPr>
                <w:sz w:val="19"/>
                <w:szCs w:val="19"/>
                <w:color w:val="auto"/>
              </w:rPr>
            </w:pPr>
          </w:p>
        </w:tc>
        <w:tc>
          <w:tcPr>
            <w:tcW w:w="128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560" w:type="dxa"/>
            <w:vAlign w:val="bottom"/>
          </w:tcPr>
          <w:p>
            <w:pPr>
              <w:jc w:val="right"/>
              <w:ind w:right="85"/>
              <w:spacing w:after="0"/>
              <w:rPr>
                <w:sz w:val="20"/>
                <w:szCs w:val="20"/>
                <w:color w:val="auto"/>
              </w:rPr>
            </w:pPr>
            <w:r>
              <w:rPr>
                <w:rFonts w:ascii="Arial" w:cs="Arial" w:eastAsia="Arial" w:hAnsi="Arial"/>
                <w:sz w:val="13"/>
                <w:szCs w:val="13"/>
                <w:b w:val="1"/>
                <w:bCs w:val="1"/>
                <w:color w:val="auto"/>
              </w:rPr>
              <w:t>$m</w:t>
            </w:r>
          </w:p>
        </w:tc>
        <w:tc>
          <w:tcPr>
            <w:tcW w:w="126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$m</w:t>
            </w:r>
          </w:p>
        </w:tc>
      </w:tr>
      <w:tr>
        <w:trPr>
          <w:trHeight w:val="237"/>
        </w:trPr>
        <w:tc>
          <w:tcPr>
            <w:tcW w:w="570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Profit After Tax</w:t>
            </w:r>
          </w:p>
        </w:tc>
        <w:tc>
          <w:tcPr>
            <w:tcW w:w="1280" w:type="dxa"/>
            <w:vAlign w:val="bottom"/>
            <w:tcBorders>
              <w:top w:val="single" w:sz="8" w:color="793690"/>
              <w:bottom w:val="single" w:sz="8" w:color="F4EFF6"/>
            </w:tcBorders>
            <w:shd w:val="clear" w:color="auto" w:fill="F4EFF6"/>
          </w:tcPr>
          <w:p>
            <w:pPr>
              <w:jc w:val="right"/>
              <w:ind w:right="145"/>
              <w:spacing w:after="0"/>
              <w:rPr>
                <w:sz w:val="20"/>
                <w:szCs w:val="20"/>
                <w:color w:val="auto"/>
              </w:rPr>
            </w:pPr>
            <w:r>
              <w:rPr>
                <w:rFonts w:ascii="Arial" w:cs="Arial" w:eastAsia="Arial" w:hAnsi="Arial"/>
                <w:sz w:val="15"/>
                <w:szCs w:val="15"/>
                <w:b w:val="1"/>
                <w:bCs w:val="1"/>
                <w:color w:val="auto"/>
              </w:rPr>
              <w:t>76.7</w:t>
            </w:r>
          </w:p>
        </w:tc>
        <w:tc>
          <w:tcPr>
            <w:tcW w:w="1560" w:type="dxa"/>
            <w:vAlign w:val="bottom"/>
            <w:tcBorders>
              <w:top w:val="single" w:sz="8" w:color="793690"/>
            </w:tcBorders>
          </w:tcPr>
          <w:p>
            <w:pPr>
              <w:jc w:val="right"/>
              <w:ind w:right="285"/>
              <w:spacing w:after="0"/>
              <w:rPr>
                <w:sz w:val="20"/>
                <w:szCs w:val="20"/>
                <w:color w:val="auto"/>
              </w:rPr>
            </w:pPr>
            <w:r>
              <w:rPr>
                <w:rFonts w:ascii="Arial" w:cs="Arial" w:eastAsia="Arial" w:hAnsi="Arial"/>
                <w:sz w:val="15"/>
                <w:szCs w:val="15"/>
                <w:color w:val="auto"/>
              </w:rPr>
              <w:t>59.3</w:t>
            </w:r>
          </w:p>
        </w:tc>
        <w:tc>
          <w:tcPr>
            <w:tcW w:w="1260" w:type="dxa"/>
            <w:vAlign w:val="bottom"/>
            <w:tcBorders>
              <w:top w:val="single" w:sz="8" w:color="793690"/>
              <w:bottom w:val="single" w:sz="8" w:color="F4EFF6"/>
            </w:tcBorders>
            <w:shd w:val="clear" w:color="auto" w:fill="F4EFF6"/>
          </w:tcPr>
          <w:p>
            <w:pPr>
              <w:jc w:val="right"/>
              <w:ind w:right="125"/>
              <w:spacing w:after="0"/>
              <w:rPr>
                <w:sz w:val="20"/>
                <w:szCs w:val="20"/>
                <w:color w:val="auto"/>
              </w:rPr>
            </w:pPr>
            <w:r>
              <w:rPr>
                <w:rFonts w:ascii="Arial" w:cs="Arial" w:eastAsia="Arial" w:hAnsi="Arial"/>
                <w:sz w:val="15"/>
                <w:szCs w:val="15"/>
                <w:b w:val="1"/>
                <w:bCs w:val="1"/>
                <w:color w:val="auto"/>
              </w:rPr>
              <w:t>149.2</w:t>
            </w:r>
          </w:p>
        </w:tc>
        <w:tc>
          <w:tcPr>
            <w:tcW w:w="1420" w:type="dxa"/>
            <w:vAlign w:val="bottom"/>
            <w:tcBorders>
              <w:top w:val="single" w:sz="8" w:color="793690"/>
            </w:tcBorders>
          </w:tcPr>
          <w:p>
            <w:pPr>
              <w:jc w:val="right"/>
              <w:ind w:right="125"/>
              <w:spacing w:after="0"/>
              <w:rPr>
                <w:sz w:val="20"/>
                <w:szCs w:val="20"/>
                <w:color w:val="auto"/>
              </w:rPr>
            </w:pPr>
            <w:r>
              <w:rPr>
                <w:rFonts w:ascii="Arial" w:cs="Arial" w:eastAsia="Arial" w:hAnsi="Arial"/>
                <w:sz w:val="15"/>
                <w:szCs w:val="15"/>
                <w:color w:val="auto"/>
              </w:rPr>
              <w:t>102.9</w:t>
            </w:r>
          </w:p>
        </w:tc>
      </w:tr>
      <w:tr>
        <w:trPr>
          <w:trHeight w:val="237"/>
        </w:trPr>
        <w:tc>
          <w:tcPr>
            <w:tcW w:w="5700" w:type="dxa"/>
            <w:vAlign w:val="bottom"/>
            <w:tcBorders>
              <w:top w:val="single" w:sz="8" w:color="DADAE7"/>
            </w:tcBorders>
          </w:tcPr>
          <w:p>
            <w:pPr>
              <w:ind w:left="300"/>
              <w:spacing w:after="0"/>
              <w:rPr>
                <w:sz w:val="20"/>
                <w:szCs w:val="20"/>
                <w:color w:val="auto"/>
              </w:rPr>
            </w:pPr>
            <w:r>
              <w:rPr>
                <w:rFonts w:ascii="Arial" w:cs="Arial" w:eastAsia="Arial" w:hAnsi="Arial"/>
                <w:sz w:val="15"/>
                <w:szCs w:val="15"/>
                <w:color w:val="auto"/>
              </w:rPr>
              <w:t>Taxation charge</w:t>
            </w:r>
          </w:p>
        </w:tc>
        <w:tc>
          <w:tcPr>
            <w:tcW w:w="1280" w:type="dxa"/>
            <w:vAlign w:val="bottom"/>
            <w:tcBorders>
              <w:top w:val="single" w:sz="8" w:color="DADAE7"/>
              <w:bottom w:val="single" w:sz="8" w:color="F4EFF6"/>
            </w:tcBorders>
            <w:shd w:val="clear" w:color="auto" w:fill="F4EFF6"/>
          </w:tcPr>
          <w:p>
            <w:pPr>
              <w:jc w:val="right"/>
              <w:ind w:right="145"/>
              <w:spacing w:after="0"/>
              <w:rPr>
                <w:sz w:val="20"/>
                <w:szCs w:val="20"/>
                <w:color w:val="auto"/>
              </w:rPr>
            </w:pPr>
            <w:r>
              <w:rPr>
                <w:rFonts w:ascii="Arial" w:cs="Arial" w:eastAsia="Arial" w:hAnsi="Arial"/>
                <w:sz w:val="15"/>
                <w:szCs w:val="15"/>
                <w:b w:val="1"/>
                <w:bCs w:val="1"/>
                <w:color w:val="auto"/>
              </w:rPr>
              <w:t>26.9</w:t>
            </w:r>
          </w:p>
        </w:tc>
        <w:tc>
          <w:tcPr>
            <w:tcW w:w="1560" w:type="dxa"/>
            <w:vAlign w:val="bottom"/>
            <w:tcBorders>
              <w:top w:val="single" w:sz="8" w:color="DADAE7"/>
            </w:tcBorders>
          </w:tcPr>
          <w:p>
            <w:pPr>
              <w:jc w:val="right"/>
              <w:ind w:right="285"/>
              <w:spacing w:after="0"/>
              <w:rPr>
                <w:sz w:val="20"/>
                <w:szCs w:val="20"/>
                <w:color w:val="auto"/>
              </w:rPr>
            </w:pPr>
            <w:r>
              <w:rPr>
                <w:rFonts w:ascii="Arial" w:cs="Arial" w:eastAsia="Arial" w:hAnsi="Arial"/>
                <w:sz w:val="15"/>
                <w:szCs w:val="15"/>
                <w:color w:val="auto"/>
              </w:rPr>
              <w:t>20.8</w:t>
            </w:r>
          </w:p>
        </w:tc>
        <w:tc>
          <w:tcPr>
            <w:tcW w:w="1260" w:type="dxa"/>
            <w:vAlign w:val="bottom"/>
            <w:tcBorders>
              <w:top w:val="single" w:sz="8" w:color="DADAE7"/>
              <w:bottom w:val="single" w:sz="8" w:color="F4EFF6"/>
            </w:tcBorders>
            <w:shd w:val="clear" w:color="auto" w:fill="F4EFF6"/>
          </w:tcPr>
          <w:p>
            <w:pPr>
              <w:jc w:val="right"/>
              <w:ind w:right="125"/>
              <w:spacing w:after="0"/>
              <w:rPr>
                <w:sz w:val="20"/>
                <w:szCs w:val="20"/>
                <w:color w:val="auto"/>
              </w:rPr>
            </w:pPr>
            <w:r>
              <w:rPr>
                <w:rFonts w:ascii="Arial" w:cs="Arial" w:eastAsia="Arial" w:hAnsi="Arial"/>
                <w:sz w:val="15"/>
                <w:szCs w:val="15"/>
                <w:b w:val="1"/>
                <w:bCs w:val="1"/>
                <w:color w:val="auto"/>
              </w:rPr>
              <w:t>52.4</w:t>
            </w:r>
          </w:p>
        </w:tc>
        <w:tc>
          <w:tcPr>
            <w:tcW w:w="1420" w:type="dxa"/>
            <w:vAlign w:val="bottom"/>
            <w:tcBorders>
              <w:top w:val="single" w:sz="8" w:color="DADAE7"/>
            </w:tcBorders>
          </w:tcPr>
          <w:p>
            <w:pPr>
              <w:jc w:val="right"/>
              <w:ind w:right="125"/>
              <w:spacing w:after="0"/>
              <w:rPr>
                <w:sz w:val="20"/>
                <w:szCs w:val="20"/>
                <w:color w:val="auto"/>
              </w:rPr>
            </w:pPr>
            <w:r>
              <w:rPr>
                <w:rFonts w:ascii="Arial" w:cs="Arial" w:eastAsia="Arial" w:hAnsi="Arial"/>
                <w:sz w:val="15"/>
                <w:szCs w:val="15"/>
                <w:color w:val="auto"/>
              </w:rPr>
              <w:t>36.1</w:t>
            </w:r>
          </w:p>
        </w:tc>
      </w:tr>
      <w:tr>
        <w:trPr>
          <w:trHeight w:val="236"/>
        </w:trPr>
        <w:tc>
          <w:tcPr>
            <w:tcW w:w="570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Profit Before Tax</w:t>
            </w:r>
          </w:p>
        </w:tc>
        <w:tc>
          <w:tcPr>
            <w:tcW w:w="1280" w:type="dxa"/>
            <w:vAlign w:val="bottom"/>
            <w:tcBorders>
              <w:top w:val="single" w:sz="8" w:color="793690"/>
              <w:bottom w:val="single" w:sz="8" w:color="F4EFF6"/>
            </w:tcBorders>
            <w:shd w:val="clear" w:color="auto" w:fill="F4EFF6"/>
          </w:tcPr>
          <w:p>
            <w:pPr>
              <w:jc w:val="right"/>
              <w:ind w:right="145"/>
              <w:spacing w:after="0"/>
              <w:rPr>
                <w:sz w:val="20"/>
                <w:szCs w:val="20"/>
                <w:color w:val="auto"/>
              </w:rPr>
            </w:pPr>
            <w:r>
              <w:rPr>
                <w:rFonts w:ascii="Arial" w:cs="Arial" w:eastAsia="Arial" w:hAnsi="Arial"/>
                <w:sz w:val="15"/>
                <w:szCs w:val="15"/>
                <w:b w:val="1"/>
                <w:bCs w:val="1"/>
                <w:color w:val="auto"/>
              </w:rPr>
              <w:t>103.6</w:t>
            </w:r>
          </w:p>
        </w:tc>
        <w:tc>
          <w:tcPr>
            <w:tcW w:w="1560" w:type="dxa"/>
            <w:vAlign w:val="bottom"/>
            <w:tcBorders>
              <w:top w:val="single" w:sz="8" w:color="793690"/>
            </w:tcBorders>
          </w:tcPr>
          <w:p>
            <w:pPr>
              <w:jc w:val="right"/>
              <w:ind w:right="285"/>
              <w:spacing w:after="0"/>
              <w:rPr>
                <w:sz w:val="20"/>
                <w:szCs w:val="20"/>
                <w:color w:val="auto"/>
              </w:rPr>
            </w:pPr>
            <w:r>
              <w:rPr>
                <w:rFonts w:ascii="Arial" w:cs="Arial" w:eastAsia="Arial" w:hAnsi="Arial"/>
                <w:sz w:val="15"/>
                <w:szCs w:val="15"/>
                <w:color w:val="auto"/>
              </w:rPr>
              <w:t>80.1</w:t>
            </w:r>
          </w:p>
        </w:tc>
        <w:tc>
          <w:tcPr>
            <w:tcW w:w="1260" w:type="dxa"/>
            <w:vAlign w:val="bottom"/>
            <w:tcBorders>
              <w:top w:val="single" w:sz="8" w:color="793690"/>
              <w:bottom w:val="single" w:sz="8" w:color="F4EFF6"/>
            </w:tcBorders>
            <w:shd w:val="clear" w:color="auto" w:fill="F4EFF6"/>
          </w:tcPr>
          <w:p>
            <w:pPr>
              <w:jc w:val="right"/>
              <w:ind w:right="125"/>
              <w:spacing w:after="0"/>
              <w:rPr>
                <w:sz w:val="20"/>
                <w:szCs w:val="20"/>
                <w:color w:val="auto"/>
              </w:rPr>
            </w:pPr>
            <w:r>
              <w:rPr>
                <w:rFonts w:ascii="Arial" w:cs="Arial" w:eastAsia="Arial" w:hAnsi="Arial"/>
                <w:sz w:val="15"/>
                <w:szCs w:val="15"/>
                <w:b w:val="1"/>
                <w:bCs w:val="1"/>
                <w:color w:val="auto"/>
              </w:rPr>
              <w:t>201.6</w:t>
            </w:r>
          </w:p>
        </w:tc>
        <w:tc>
          <w:tcPr>
            <w:tcW w:w="1420" w:type="dxa"/>
            <w:vAlign w:val="bottom"/>
            <w:tcBorders>
              <w:top w:val="single" w:sz="8" w:color="793690"/>
            </w:tcBorders>
          </w:tcPr>
          <w:p>
            <w:pPr>
              <w:jc w:val="right"/>
              <w:ind w:right="125"/>
              <w:spacing w:after="0"/>
              <w:rPr>
                <w:sz w:val="20"/>
                <w:szCs w:val="20"/>
                <w:color w:val="auto"/>
              </w:rPr>
            </w:pPr>
            <w:r>
              <w:rPr>
                <w:rFonts w:ascii="Arial" w:cs="Arial" w:eastAsia="Arial" w:hAnsi="Arial"/>
                <w:sz w:val="15"/>
                <w:szCs w:val="15"/>
                <w:color w:val="auto"/>
              </w:rPr>
              <w:t>139.0</w:t>
            </w:r>
          </w:p>
        </w:tc>
      </w:tr>
      <w:tr>
        <w:trPr>
          <w:trHeight w:val="237"/>
        </w:trPr>
        <w:tc>
          <w:tcPr>
            <w:tcW w:w="5700" w:type="dxa"/>
            <w:vAlign w:val="bottom"/>
            <w:tcBorders>
              <w:top w:val="single" w:sz="8" w:color="DADAE7"/>
              <w:bottom w:val="single" w:sz="8" w:color="DADAE7"/>
            </w:tcBorders>
          </w:tcPr>
          <w:p>
            <w:pPr>
              <w:ind w:left="300"/>
              <w:spacing w:after="0"/>
              <w:rPr>
                <w:sz w:val="20"/>
                <w:szCs w:val="20"/>
                <w:color w:val="auto"/>
              </w:rPr>
            </w:pPr>
            <w:r>
              <w:rPr>
                <w:rFonts w:ascii="Arial" w:cs="Arial" w:eastAsia="Arial" w:hAnsi="Arial"/>
                <w:sz w:val="15"/>
                <w:szCs w:val="15"/>
                <w:color w:val="auto"/>
              </w:rPr>
              <w:t>Bargain purchase gains</w:t>
            </w:r>
            <w:r>
              <w:rPr>
                <w:rFonts w:ascii="Arial" w:cs="Arial" w:eastAsia="Arial" w:hAnsi="Arial"/>
                <w:sz w:val="19"/>
                <w:szCs w:val="19"/>
                <w:color w:val="auto"/>
                <w:vertAlign w:val="superscript"/>
              </w:rPr>
              <w:t>1</w:t>
            </w:r>
          </w:p>
        </w:tc>
        <w:tc>
          <w:tcPr>
            <w:tcW w:w="1280" w:type="dxa"/>
            <w:vAlign w:val="bottom"/>
            <w:tcBorders>
              <w:top w:val="single" w:sz="8" w:color="DADAE7"/>
              <w:bottom w:val="single" w:sz="8" w:color="DADAE7"/>
            </w:tcBorders>
            <w:shd w:val="clear" w:color="auto" w:fill="F4EFF6"/>
          </w:tcPr>
          <w:p>
            <w:pPr>
              <w:jc w:val="right"/>
              <w:ind w:right="85"/>
              <w:spacing w:after="0"/>
              <w:rPr>
                <w:sz w:val="20"/>
                <w:szCs w:val="20"/>
                <w:color w:val="auto"/>
              </w:rPr>
            </w:pPr>
            <w:r>
              <w:rPr>
                <w:rFonts w:ascii="Arial" w:cs="Arial" w:eastAsia="Arial" w:hAnsi="Arial"/>
                <w:sz w:val="15"/>
                <w:szCs w:val="15"/>
                <w:b w:val="1"/>
                <w:bCs w:val="1"/>
                <w:color w:val="auto"/>
              </w:rPr>
              <w:t>(0.2)</w:t>
            </w:r>
          </w:p>
        </w:tc>
        <w:tc>
          <w:tcPr>
            <w:tcW w:w="1560" w:type="dxa"/>
            <w:vAlign w:val="bottom"/>
            <w:tcBorders>
              <w:top w:val="single" w:sz="8" w:color="DADAE7"/>
              <w:bottom w:val="single" w:sz="8" w:color="DADAE7"/>
            </w:tcBorders>
          </w:tcPr>
          <w:p>
            <w:pPr>
              <w:jc w:val="right"/>
              <w:ind w:right="285"/>
              <w:spacing w:after="0"/>
              <w:rPr>
                <w:sz w:val="20"/>
                <w:szCs w:val="20"/>
                <w:color w:val="auto"/>
              </w:rPr>
            </w:pPr>
            <w:r>
              <w:rPr>
                <w:rFonts w:ascii="Arial" w:cs="Arial" w:eastAsia="Arial" w:hAnsi="Arial"/>
                <w:sz w:val="15"/>
                <w:szCs w:val="15"/>
                <w:color w:val="auto"/>
              </w:rPr>
              <w:t>—</w:t>
            </w:r>
          </w:p>
        </w:tc>
        <w:tc>
          <w:tcPr>
            <w:tcW w:w="1260" w:type="dxa"/>
            <w:vAlign w:val="bottom"/>
            <w:tcBorders>
              <w:top w:val="single" w:sz="8" w:color="DADAE7"/>
              <w:bottom w:val="single" w:sz="8" w:color="DADAE7"/>
            </w:tcBorders>
            <w:shd w:val="clear" w:color="auto" w:fill="F4EFF6"/>
          </w:tcPr>
          <w:p>
            <w:pPr>
              <w:jc w:val="right"/>
              <w:ind w:right="85"/>
              <w:spacing w:after="0"/>
              <w:rPr>
                <w:sz w:val="20"/>
                <w:szCs w:val="20"/>
                <w:color w:val="auto"/>
              </w:rPr>
            </w:pPr>
            <w:r>
              <w:rPr>
                <w:rFonts w:ascii="Arial" w:cs="Arial" w:eastAsia="Arial" w:hAnsi="Arial"/>
                <w:sz w:val="15"/>
                <w:szCs w:val="15"/>
                <w:b w:val="1"/>
                <w:bCs w:val="1"/>
                <w:color w:val="auto"/>
              </w:rPr>
              <w:t>(3.6)</w:t>
            </w:r>
          </w:p>
        </w:tc>
        <w:tc>
          <w:tcPr>
            <w:tcW w:w="1420" w:type="dxa"/>
            <w:vAlign w:val="bottom"/>
            <w:tcBorders>
              <w:top w:val="single" w:sz="8" w:color="DADAE7"/>
              <w:bottom w:val="single" w:sz="8" w:color="DADAE7"/>
            </w:tcBorders>
          </w:tcPr>
          <w:p>
            <w:pPr>
              <w:jc w:val="right"/>
              <w:ind w:right="125"/>
              <w:spacing w:after="0"/>
              <w:rPr>
                <w:sz w:val="20"/>
                <w:szCs w:val="20"/>
                <w:color w:val="auto"/>
              </w:rPr>
            </w:pPr>
            <w:r>
              <w:rPr>
                <w:rFonts w:ascii="Arial" w:cs="Arial" w:eastAsia="Arial" w:hAnsi="Arial"/>
                <w:sz w:val="15"/>
                <w:szCs w:val="15"/>
                <w:color w:val="auto"/>
              </w:rPr>
              <w:t>—</w:t>
            </w:r>
          </w:p>
        </w:tc>
      </w:tr>
      <w:tr>
        <w:trPr>
          <w:trHeight w:val="237"/>
        </w:trPr>
        <w:tc>
          <w:tcPr>
            <w:tcW w:w="5700" w:type="dxa"/>
            <w:vAlign w:val="bottom"/>
            <w:tcBorders>
              <w:bottom w:val="single" w:sz="8" w:color="DADAE7"/>
            </w:tcBorders>
          </w:tcPr>
          <w:p>
            <w:pPr>
              <w:ind w:left="280"/>
              <w:spacing w:after="0"/>
              <w:rPr>
                <w:sz w:val="20"/>
                <w:szCs w:val="20"/>
                <w:color w:val="auto"/>
              </w:rPr>
            </w:pPr>
            <w:r>
              <w:rPr>
                <w:rFonts w:ascii="Arial" w:cs="Arial" w:eastAsia="Arial" w:hAnsi="Arial"/>
                <w:sz w:val="15"/>
                <w:szCs w:val="15"/>
                <w:color w:val="auto"/>
              </w:rPr>
              <w:t>Acquisition costs</w:t>
            </w:r>
            <w:r>
              <w:rPr>
                <w:rFonts w:ascii="Arial" w:cs="Arial" w:eastAsia="Arial" w:hAnsi="Arial"/>
                <w:sz w:val="19"/>
                <w:szCs w:val="19"/>
                <w:color w:val="auto"/>
                <w:vertAlign w:val="superscript"/>
              </w:rPr>
              <w:t>2</w:t>
            </w:r>
          </w:p>
        </w:tc>
        <w:tc>
          <w:tcPr>
            <w:tcW w:w="1280" w:type="dxa"/>
            <w:vAlign w:val="bottom"/>
            <w:tcBorders>
              <w:bottom w:val="single" w:sz="8" w:color="DADAE7"/>
            </w:tcBorders>
            <w:shd w:val="clear" w:color="auto" w:fill="F4EFF6"/>
          </w:tcPr>
          <w:p>
            <w:pPr>
              <w:jc w:val="right"/>
              <w:ind w:right="145"/>
              <w:spacing w:after="0"/>
              <w:rPr>
                <w:sz w:val="20"/>
                <w:szCs w:val="20"/>
                <w:color w:val="auto"/>
              </w:rPr>
            </w:pPr>
            <w:r>
              <w:rPr>
                <w:rFonts w:ascii="Arial" w:cs="Arial" w:eastAsia="Arial" w:hAnsi="Arial"/>
                <w:sz w:val="15"/>
                <w:szCs w:val="15"/>
                <w:b w:val="1"/>
                <w:bCs w:val="1"/>
                <w:color w:val="auto"/>
              </w:rPr>
              <w:t>—</w:t>
            </w:r>
          </w:p>
        </w:tc>
        <w:tc>
          <w:tcPr>
            <w:tcW w:w="1560" w:type="dxa"/>
            <w:vAlign w:val="bottom"/>
            <w:tcBorders>
              <w:bottom w:val="single" w:sz="8" w:color="DADAE7"/>
            </w:tcBorders>
          </w:tcPr>
          <w:p>
            <w:pPr>
              <w:jc w:val="right"/>
              <w:ind w:right="245"/>
              <w:spacing w:after="0"/>
              <w:rPr>
                <w:sz w:val="20"/>
                <w:szCs w:val="20"/>
                <w:color w:val="auto"/>
              </w:rPr>
            </w:pPr>
            <w:r>
              <w:rPr>
                <w:rFonts w:ascii="Arial" w:cs="Arial" w:eastAsia="Arial" w:hAnsi="Arial"/>
                <w:sz w:val="15"/>
                <w:szCs w:val="15"/>
                <w:color w:val="auto"/>
              </w:rPr>
              <w:t>(0.2)</w:t>
            </w:r>
          </w:p>
        </w:tc>
        <w:tc>
          <w:tcPr>
            <w:tcW w:w="1260" w:type="dxa"/>
            <w:vAlign w:val="bottom"/>
            <w:tcBorders>
              <w:bottom w:val="single" w:sz="8" w:color="DADAE7"/>
            </w:tcBorders>
            <w:shd w:val="clear" w:color="auto" w:fill="F4EFF6"/>
          </w:tcPr>
          <w:p>
            <w:pPr>
              <w:jc w:val="right"/>
              <w:ind w:right="125"/>
              <w:spacing w:after="0"/>
              <w:rPr>
                <w:sz w:val="20"/>
                <w:szCs w:val="20"/>
                <w:color w:val="auto"/>
              </w:rPr>
            </w:pPr>
            <w:r>
              <w:rPr>
                <w:rFonts w:ascii="Arial" w:cs="Arial" w:eastAsia="Arial" w:hAnsi="Arial"/>
                <w:sz w:val="15"/>
                <w:szCs w:val="15"/>
                <w:b w:val="1"/>
                <w:bCs w:val="1"/>
                <w:color w:val="auto"/>
              </w:rPr>
              <w:t>—</w:t>
            </w:r>
          </w:p>
        </w:tc>
        <w:tc>
          <w:tcPr>
            <w:tcW w:w="1420" w:type="dxa"/>
            <w:vAlign w:val="bottom"/>
            <w:tcBorders>
              <w:bottom w:val="single" w:sz="8" w:color="DADAE7"/>
            </w:tcBorders>
          </w:tcPr>
          <w:p>
            <w:pPr>
              <w:jc w:val="right"/>
              <w:ind w:right="125"/>
              <w:spacing w:after="0"/>
              <w:rPr>
                <w:sz w:val="20"/>
                <w:szCs w:val="20"/>
                <w:color w:val="auto"/>
              </w:rPr>
            </w:pPr>
            <w:r>
              <w:rPr>
                <w:rFonts w:ascii="Arial" w:cs="Arial" w:eastAsia="Arial" w:hAnsi="Arial"/>
                <w:sz w:val="15"/>
                <w:szCs w:val="15"/>
                <w:color w:val="auto"/>
              </w:rPr>
              <w:t>—</w:t>
            </w:r>
          </w:p>
        </w:tc>
      </w:tr>
      <w:tr>
        <w:trPr>
          <w:trHeight w:val="237"/>
        </w:trPr>
        <w:tc>
          <w:tcPr>
            <w:tcW w:w="5700" w:type="dxa"/>
            <w:vAlign w:val="bottom"/>
            <w:tcBorders>
              <w:bottom w:val="single" w:sz="8" w:color="DADAE7"/>
            </w:tcBorders>
          </w:tcPr>
          <w:p>
            <w:pPr>
              <w:ind w:left="280"/>
              <w:spacing w:after="0"/>
              <w:rPr>
                <w:sz w:val="20"/>
                <w:szCs w:val="20"/>
                <w:color w:val="auto"/>
              </w:rPr>
            </w:pPr>
            <w:r>
              <w:rPr>
                <w:rFonts w:ascii="Arial" w:cs="Arial" w:eastAsia="Arial" w:hAnsi="Arial"/>
                <w:sz w:val="15"/>
                <w:szCs w:val="15"/>
                <w:color w:val="auto"/>
              </w:rPr>
              <w:t>Amortisation of acquired brands and customer lists</w:t>
            </w:r>
            <w:r>
              <w:rPr>
                <w:rFonts w:ascii="Arial" w:cs="Arial" w:eastAsia="Arial" w:hAnsi="Arial"/>
                <w:sz w:val="19"/>
                <w:szCs w:val="19"/>
                <w:color w:val="auto"/>
                <w:vertAlign w:val="superscript"/>
              </w:rPr>
              <w:t>3</w:t>
            </w:r>
          </w:p>
        </w:tc>
        <w:tc>
          <w:tcPr>
            <w:tcW w:w="1280" w:type="dxa"/>
            <w:vAlign w:val="bottom"/>
            <w:tcBorders>
              <w:bottom w:val="single" w:sz="8" w:color="DADAE7"/>
            </w:tcBorders>
            <w:shd w:val="clear" w:color="auto" w:fill="F4EFF6"/>
          </w:tcPr>
          <w:p>
            <w:pPr>
              <w:jc w:val="right"/>
              <w:ind w:right="145"/>
              <w:spacing w:after="0"/>
              <w:rPr>
                <w:sz w:val="20"/>
                <w:szCs w:val="20"/>
                <w:color w:val="auto"/>
              </w:rPr>
            </w:pPr>
            <w:r>
              <w:rPr>
                <w:rFonts w:ascii="Arial" w:cs="Arial" w:eastAsia="Arial" w:hAnsi="Arial"/>
                <w:sz w:val="15"/>
                <w:szCs w:val="15"/>
                <w:b w:val="1"/>
                <w:bCs w:val="1"/>
                <w:color w:val="auto"/>
              </w:rPr>
              <w:t>1.7</w:t>
            </w:r>
          </w:p>
        </w:tc>
        <w:tc>
          <w:tcPr>
            <w:tcW w:w="1560" w:type="dxa"/>
            <w:vAlign w:val="bottom"/>
            <w:tcBorders>
              <w:bottom w:val="single" w:sz="8" w:color="DADAE7"/>
            </w:tcBorders>
          </w:tcPr>
          <w:p>
            <w:pPr>
              <w:jc w:val="right"/>
              <w:ind w:right="285"/>
              <w:spacing w:after="0"/>
              <w:rPr>
                <w:sz w:val="20"/>
                <w:szCs w:val="20"/>
                <w:color w:val="auto"/>
              </w:rPr>
            </w:pPr>
            <w:r>
              <w:rPr>
                <w:rFonts w:ascii="Arial" w:cs="Arial" w:eastAsia="Arial" w:hAnsi="Arial"/>
                <w:sz w:val="15"/>
                <w:szCs w:val="15"/>
                <w:color w:val="auto"/>
              </w:rPr>
              <w:t>1.8</w:t>
            </w:r>
          </w:p>
        </w:tc>
        <w:tc>
          <w:tcPr>
            <w:tcW w:w="1260" w:type="dxa"/>
            <w:vAlign w:val="bottom"/>
            <w:tcBorders>
              <w:bottom w:val="single" w:sz="8" w:color="DADAE7"/>
            </w:tcBorders>
            <w:shd w:val="clear" w:color="auto" w:fill="F4EFF6"/>
          </w:tcPr>
          <w:p>
            <w:pPr>
              <w:jc w:val="right"/>
              <w:ind w:right="125"/>
              <w:spacing w:after="0"/>
              <w:rPr>
                <w:sz w:val="20"/>
                <w:szCs w:val="20"/>
                <w:color w:val="auto"/>
              </w:rPr>
            </w:pPr>
            <w:r>
              <w:rPr>
                <w:rFonts w:ascii="Arial" w:cs="Arial" w:eastAsia="Arial" w:hAnsi="Arial"/>
                <w:sz w:val="15"/>
                <w:szCs w:val="15"/>
                <w:b w:val="1"/>
                <w:bCs w:val="1"/>
                <w:color w:val="auto"/>
              </w:rPr>
              <w:t>3.0</w:t>
            </w:r>
          </w:p>
        </w:tc>
        <w:tc>
          <w:tcPr>
            <w:tcW w:w="1420" w:type="dxa"/>
            <w:vAlign w:val="bottom"/>
            <w:tcBorders>
              <w:bottom w:val="single" w:sz="8" w:color="DADAE7"/>
            </w:tcBorders>
          </w:tcPr>
          <w:p>
            <w:pPr>
              <w:jc w:val="right"/>
              <w:ind w:right="125"/>
              <w:spacing w:after="0"/>
              <w:rPr>
                <w:sz w:val="20"/>
                <w:szCs w:val="20"/>
                <w:color w:val="auto"/>
              </w:rPr>
            </w:pPr>
            <w:r>
              <w:rPr>
                <w:rFonts w:ascii="Arial" w:cs="Arial" w:eastAsia="Arial" w:hAnsi="Arial"/>
                <w:sz w:val="15"/>
                <w:szCs w:val="15"/>
                <w:color w:val="auto"/>
              </w:rPr>
              <w:t>2.6</w:t>
            </w:r>
          </w:p>
        </w:tc>
      </w:tr>
      <w:tr>
        <w:trPr>
          <w:trHeight w:val="236"/>
        </w:trPr>
        <w:tc>
          <w:tcPr>
            <w:tcW w:w="5700" w:type="dxa"/>
            <w:vAlign w:val="bottom"/>
            <w:tcBorders>
              <w:bottom w:val="single" w:sz="8" w:color="DADAE7"/>
            </w:tcBorders>
          </w:tcPr>
          <w:p>
            <w:pPr>
              <w:ind w:left="280"/>
              <w:spacing w:after="0"/>
              <w:rPr>
                <w:sz w:val="20"/>
                <w:szCs w:val="20"/>
                <w:color w:val="auto"/>
              </w:rPr>
            </w:pPr>
            <w:r>
              <w:rPr>
                <w:rFonts w:ascii="Arial" w:cs="Arial" w:eastAsia="Arial" w:hAnsi="Arial"/>
                <w:sz w:val="15"/>
                <w:szCs w:val="15"/>
                <w:color w:val="auto"/>
              </w:rPr>
              <w:t>Activities relating to shareholders</w:t>
            </w:r>
            <w:r>
              <w:rPr>
                <w:rFonts w:ascii="Arial" w:cs="Arial" w:eastAsia="Arial" w:hAnsi="Arial"/>
                <w:sz w:val="19"/>
                <w:szCs w:val="19"/>
                <w:color w:val="auto"/>
                <w:vertAlign w:val="superscript"/>
              </w:rPr>
              <w:t>4</w:t>
            </w:r>
          </w:p>
        </w:tc>
        <w:tc>
          <w:tcPr>
            <w:tcW w:w="1280" w:type="dxa"/>
            <w:vAlign w:val="bottom"/>
            <w:tcBorders>
              <w:bottom w:val="single" w:sz="8" w:color="DADAE7"/>
            </w:tcBorders>
            <w:shd w:val="clear" w:color="auto" w:fill="F4EFF6"/>
          </w:tcPr>
          <w:p>
            <w:pPr>
              <w:jc w:val="right"/>
              <w:ind w:right="145"/>
              <w:spacing w:after="0"/>
              <w:rPr>
                <w:sz w:val="20"/>
                <w:szCs w:val="20"/>
                <w:color w:val="auto"/>
              </w:rPr>
            </w:pPr>
            <w:r>
              <w:rPr>
                <w:rFonts w:ascii="Arial" w:cs="Arial" w:eastAsia="Arial" w:hAnsi="Arial"/>
                <w:sz w:val="15"/>
                <w:szCs w:val="15"/>
                <w:b w:val="1"/>
                <w:bCs w:val="1"/>
                <w:color w:val="auto"/>
              </w:rPr>
              <w:t>—</w:t>
            </w:r>
          </w:p>
        </w:tc>
        <w:tc>
          <w:tcPr>
            <w:tcW w:w="1560" w:type="dxa"/>
            <w:vAlign w:val="bottom"/>
            <w:tcBorders>
              <w:bottom w:val="single" w:sz="8" w:color="DADAE7"/>
            </w:tcBorders>
          </w:tcPr>
          <w:p>
            <w:pPr>
              <w:jc w:val="right"/>
              <w:ind w:right="285"/>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DADAE7"/>
            </w:tcBorders>
            <w:shd w:val="clear" w:color="auto" w:fill="F4EFF6"/>
          </w:tcPr>
          <w:p>
            <w:pPr>
              <w:jc w:val="right"/>
              <w:ind w:right="125"/>
              <w:spacing w:after="0"/>
              <w:rPr>
                <w:sz w:val="20"/>
                <w:szCs w:val="20"/>
                <w:color w:val="auto"/>
              </w:rPr>
            </w:pPr>
            <w:r>
              <w:rPr>
                <w:rFonts w:ascii="Arial" w:cs="Arial" w:eastAsia="Arial" w:hAnsi="Arial"/>
                <w:sz w:val="15"/>
                <w:szCs w:val="15"/>
                <w:b w:val="1"/>
                <w:bCs w:val="1"/>
                <w:color w:val="auto"/>
              </w:rPr>
              <w:t>—</w:t>
            </w:r>
          </w:p>
        </w:tc>
        <w:tc>
          <w:tcPr>
            <w:tcW w:w="1420" w:type="dxa"/>
            <w:vAlign w:val="bottom"/>
            <w:tcBorders>
              <w:bottom w:val="single" w:sz="8" w:color="DADAE7"/>
            </w:tcBorders>
          </w:tcPr>
          <w:p>
            <w:pPr>
              <w:jc w:val="right"/>
              <w:ind w:right="125"/>
              <w:spacing w:after="0"/>
              <w:rPr>
                <w:sz w:val="20"/>
                <w:szCs w:val="20"/>
                <w:color w:val="auto"/>
              </w:rPr>
            </w:pPr>
            <w:r>
              <w:rPr>
                <w:rFonts w:ascii="Arial" w:cs="Arial" w:eastAsia="Arial" w:hAnsi="Arial"/>
                <w:sz w:val="15"/>
                <w:szCs w:val="15"/>
                <w:color w:val="auto"/>
              </w:rPr>
              <w:t>2.4</w:t>
            </w:r>
          </w:p>
        </w:tc>
      </w:tr>
      <w:tr>
        <w:trPr>
          <w:trHeight w:val="237"/>
        </w:trPr>
        <w:tc>
          <w:tcPr>
            <w:tcW w:w="5700" w:type="dxa"/>
            <w:vAlign w:val="bottom"/>
            <w:tcBorders>
              <w:bottom w:val="single" w:sz="8" w:color="DADAE7"/>
            </w:tcBorders>
          </w:tcPr>
          <w:p>
            <w:pPr>
              <w:ind w:left="300"/>
              <w:spacing w:after="0"/>
              <w:rPr>
                <w:sz w:val="20"/>
                <w:szCs w:val="20"/>
                <w:color w:val="auto"/>
              </w:rPr>
            </w:pPr>
            <w:r>
              <w:rPr>
                <w:rFonts w:ascii="Arial" w:cs="Arial" w:eastAsia="Arial" w:hAnsi="Arial"/>
                <w:sz w:val="15"/>
                <w:szCs w:val="15"/>
                <w:color w:val="auto"/>
              </w:rPr>
              <w:t>Employer tax on vesting of the growth shares</w:t>
            </w:r>
            <w:r>
              <w:rPr>
                <w:rFonts w:ascii="Arial" w:cs="Arial" w:eastAsia="Arial" w:hAnsi="Arial"/>
                <w:sz w:val="19"/>
                <w:szCs w:val="19"/>
                <w:color w:val="auto"/>
                <w:vertAlign w:val="superscript"/>
              </w:rPr>
              <w:t>5</w:t>
            </w:r>
          </w:p>
        </w:tc>
        <w:tc>
          <w:tcPr>
            <w:tcW w:w="1280" w:type="dxa"/>
            <w:vAlign w:val="bottom"/>
            <w:tcBorders>
              <w:bottom w:val="single" w:sz="8" w:color="DADAE7"/>
            </w:tcBorders>
            <w:shd w:val="clear" w:color="auto" w:fill="F4EFF6"/>
          </w:tcPr>
          <w:p>
            <w:pPr>
              <w:jc w:val="right"/>
              <w:ind w:right="145"/>
              <w:spacing w:after="0"/>
              <w:rPr>
                <w:sz w:val="20"/>
                <w:szCs w:val="20"/>
                <w:color w:val="auto"/>
              </w:rPr>
            </w:pPr>
            <w:r>
              <w:rPr>
                <w:rFonts w:ascii="Arial" w:cs="Arial" w:eastAsia="Arial" w:hAnsi="Arial"/>
                <w:sz w:val="15"/>
                <w:szCs w:val="15"/>
                <w:b w:val="1"/>
                <w:bCs w:val="1"/>
                <w:color w:val="auto"/>
              </w:rPr>
              <w:t>—</w:t>
            </w:r>
          </w:p>
        </w:tc>
        <w:tc>
          <w:tcPr>
            <w:tcW w:w="1560" w:type="dxa"/>
            <w:vAlign w:val="bottom"/>
            <w:tcBorders>
              <w:bottom w:val="single" w:sz="8" w:color="DADAE7"/>
            </w:tcBorders>
          </w:tcPr>
          <w:p>
            <w:pPr>
              <w:jc w:val="right"/>
              <w:ind w:right="285"/>
              <w:spacing w:after="0"/>
              <w:rPr>
                <w:sz w:val="20"/>
                <w:szCs w:val="20"/>
                <w:color w:val="auto"/>
              </w:rPr>
            </w:pPr>
            <w:r>
              <w:rPr>
                <w:rFonts w:ascii="Arial" w:cs="Arial" w:eastAsia="Arial" w:hAnsi="Arial"/>
                <w:sz w:val="15"/>
                <w:szCs w:val="15"/>
                <w:color w:val="auto"/>
              </w:rPr>
              <w:t>2.2</w:t>
            </w:r>
          </w:p>
        </w:tc>
        <w:tc>
          <w:tcPr>
            <w:tcW w:w="1260" w:type="dxa"/>
            <w:vAlign w:val="bottom"/>
            <w:tcBorders>
              <w:bottom w:val="single" w:sz="8" w:color="DADAE7"/>
            </w:tcBorders>
            <w:shd w:val="clear" w:color="auto" w:fill="F4EFF6"/>
          </w:tcPr>
          <w:p>
            <w:pPr>
              <w:jc w:val="right"/>
              <w:ind w:right="125"/>
              <w:spacing w:after="0"/>
              <w:rPr>
                <w:sz w:val="20"/>
                <w:szCs w:val="20"/>
                <w:color w:val="auto"/>
              </w:rPr>
            </w:pPr>
            <w:r>
              <w:rPr>
                <w:rFonts w:ascii="Arial" w:cs="Arial" w:eastAsia="Arial" w:hAnsi="Arial"/>
                <w:sz w:val="15"/>
                <w:szCs w:val="15"/>
                <w:b w:val="1"/>
                <w:bCs w:val="1"/>
                <w:color w:val="auto"/>
              </w:rPr>
              <w:t>—</w:t>
            </w:r>
          </w:p>
        </w:tc>
        <w:tc>
          <w:tcPr>
            <w:tcW w:w="1420" w:type="dxa"/>
            <w:vAlign w:val="bottom"/>
            <w:tcBorders>
              <w:bottom w:val="single" w:sz="8" w:color="DADAE7"/>
            </w:tcBorders>
          </w:tcPr>
          <w:p>
            <w:pPr>
              <w:jc w:val="right"/>
              <w:ind w:right="125"/>
              <w:spacing w:after="0"/>
              <w:rPr>
                <w:sz w:val="20"/>
                <w:szCs w:val="20"/>
                <w:color w:val="auto"/>
              </w:rPr>
            </w:pPr>
            <w:r>
              <w:rPr>
                <w:rFonts w:ascii="Arial" w:cs="Arial" w:eastAsia="Arial" w:hAnsi="Arial"/>
                <w:sz w:val="15"/>
                <w:szCs w:val="15"/>
                <w:color w:val="auto"/>
              </w:rPr>
              <w:t>2.2</w:t>
            </w:r>
          </w:p>
        </w:tc>
      </w:tr>
      <w:tr>
        <w:trPr>
          <w:trHeight w:val="237"/>
        </w:trPr>
        <w:tc>
          <w:tcPr>
            <w:tcW w:w="5700" w:type="dxa"/>
            <w:vAlign w:val="bottom"/>
            <w:tcBorders>
              <w:bottom w:val="single" w:sz="8" w:color="DADAE7"/>
            </w:tcBorders>
          </w:tcPr>
          <w:p>
            <w:pPr>
              <w:ind w:left="300"/>
              <w:spacing w:after="0"/>
              <w:rPr>
                <w:sz w:val="20"/>
                <w:szCs w:val="20"/>
                <w:color w:val="auto"/>
              </w:rPr>
            </w:pPr>
            <w:r>
              <w:rPr>
                <w:rFonts w:ascii="Arial" w:cs="Arial" w:eastAsia="Arial" w:hAnsi="Arial"/>
                <w:sz w:val="15"/>
                <w:szCs w:val="15"/>
                <w:color w:val="auto"/>
              </w:rPr>
              <w:t>Owner fees</w:t>
            </w:r>
            <w:r>
              <w:rPr>
                <w:rFonts w:ascii="Arial" w:cs="Arial" w:eastAsia="Arial" w:hAnsi="Arial"/>
                <w:sz w:val="19"/>
                <w:szCs w:val="19"/>
                <w:color w:val="auto"/>
                <w:vertAlign w:val="superscript"/>
              </w:rPr>
              <w:t>6</w:t>
            </w:r>
          </w:p>
        </w:tc>
        <w:tc>
          <w:tcPr>
            <w:tcW w:w="1280" w:type="dxa"/>
            <w:vAlign w:val="bottom"/>
            <w:tcBorders>
              <w:bottom w:val="single" w:sz="8" w:color="DADAE7"/>
            </w:tcBorders>
            <w:shd w:val="clear" w:color="auto" w:fill="F4EFF6"/>
          </w:tcPr>
          <w:p>
            <w:pPr>
              <w:jc w:val="right"/>
              <w:ind w:right="145"/>
              <w:spacing w:after="0"/>
              <w:rPr>
                <w:sz w:val="20"/>
                <w:szCs w:val="20"/>
                <w:color w:val="auto"/>
              </w:rPr>
            </w:pPr>
            <w:r>
              <w:rPr>
                <w:rFonts w:ascii="Arial" w:cs="Arial" w:eastAsia="Arial" w:hAnsi="Arial"/>
                <w:sz w:val="15"/>
                <w:szCs w:val="15"/>
                <w:b w:val="1"/>
                <w:bCs w:val="1"/>
                <w:color w:val="auto"/>
              </w:rPr>
              <w:t>—</w:t>
            </w:r>
          </w:p>
        </w:tc>
        <w:tc>
          <w:tcPr>
            <w:tcW w:w="1560" w:type="dxa"/>
            <w:vAlign w:val="bottom"/>
            <w:tcBorders>
              <w:bottom w:val="single" w:sz="8" w:color="DADAE7"/>
            </w:tcBorders>
          </w:tcPr>
          <w:p>
            <w:pPr>
              <w:jc w:val="right"/>
              <w:ind w:right="285"/>
              <w:spacing w:after="0"/>
              <w:rPr>
                <w:sz w:val="20"/>
                <w:szCs w:val="20"/>
                <w:color w:val="auto"/>
              </w:rPr>
            </w:pPr>
            <w:r>
              <w:rPr>
                <w:rFonts w:ascii="Arial" w:cs="Arial" w:eastAsia="Arial" w:hAnsi="Arial"/>
                <w:sz w:val="15"/>
                <w:szCs w:val="15"/>
                <w:color w:val="auto"/>
              </w:rPr>
              <w:t>0.7</w:t>
            </w:r>
          </w:p>
        </w:tc>
        <w:tc>
          <w:tcPr>
            <w:tcW w:w="1260" w:type="dxa"/>
            <w:vAlign w:val="bottom"/>
            <w:tcBorders>
              <w:bottom w:val="single" w:sz="8" w:color="DADAE7"/>
            </w:tcBorders>
            <w:shd w:val="clear" w:color="auto" w:fill="F4EFF6"/>
          </w:tcPr>
          <w:p>
            <w:pPr>
              <w:jc w:val="right"/>
              <w:ind w:right="125"/>
              <w:spacing w:after="0"/>
              <w:rPr>
                <w:sz w:val="20"/>
                <w:szCs w:val="20"/>
                <w:color w:val="auto"/>
              </w:rPr>
            </w:pPr>
            <w:r>
              <w:rPr>
                <w:rFonts w:ascii="Arial" w:cs="Arial" w:eastAsia="Arial" w:hAnsi="Arial"/>
                <w:sz w:val="15"/>
                <w:szCs w:val="15"/>
                <w:b w:val="1"/>
                <w:bCs w:val="1"/>
                <w:color w:val="auto"/>
              </w:rPr>
              <w:t>0.4</w:t>
            </w:r>
          </w:p>
        </w:tc>
        <w:tc>
          <w:tcPr>
            <w:tcW w:w="1420" w:type="dxa"/>
            <w:vAlign w:val="bottom"/>
            <w:tcBorders>
              <w:bottom w:val="single" w:sz="8" w:color="DADAE7"/>
            </w:tcBorders>
          </w:tcPr>
          <w:p>
            <w:pPr>
              <w:jc w:val="right"/>
              <w:ind w:right="125"/>
              <w:spacing w:after="0"/>
              <w:rPr>
                <w:sz w:val="20"/>
                <w:szCs w:val="20"/>
                <w:color w:val="auto"/>
              </w:rPr>
            </w:pPr>
            <w:r>
              <w:rPr>
                <w:rFonts w:ascii="Arial" w:cs="Arial" w:eastAsia="Arial" w:hAnsi="Arial"/>
                <w:sz w:val="15"/>
                <w:szCs w:val="15"/>
                <w:color w:val="auto"/>
              </w:rPr>
              <w:t>2.4</w:t>
            </w:r>
          </w:p>
        </w:tc>
      </w:tr>
      <w:tr>
        <w:trPr>
          <w:trHeight w:val="237"/>
        </w:trPr>
        <w:tc>
          <w:tcPr>
            <w:tcW w:w="5700" w:type="dxa"/>
            <w:vAlign w:val="bottom"/>
            <w:tcBorders>
              <w:bottom w:val="single" w:sz="8" w:color="DADAE7"/>
            </w:tcBorders>
          </w:tcPr>
          <w:p>
            <w:pPr>
              <w:ind w:left="300"/>
              <w:spacing w:after="0"/>
              <w:rPr>
                <w:sz w:val="20"/>
                <w:szCs w:val="20"/>
                <w:color w:val="auto"/>
              </w:rPr>
            </w:pPr>
            <w:r>
              <w:rPr>
                <w:rFonts w:ascii="Arial" w:cs="Arial" w:eastAsia="Arial" w:hAnsi="Arial"/>
                <w:sz w:val="15"/>
                <w:szCs w:val="15"/>
                <w:color w:val="auto"/>
              </w:rPr>
              <w:t>IPO preparation costs</w:t>
            </w:r>
            <w:r>
              <w:rPr>
                <w:rFonts w:ascii="Arial" w:cs="Arial" w:eastAsia="Arial" w:hAnsi="Arial"/>
                <w:sz w:val="19"/>
                <w:szCs w:val="19"/>
                <w:color w:val="auto"/>
                <w:vertAlign w:val="superscript"/>
              </w:rPr>
              <w:t>7</w:t>
            </w:r>
          </w:p>
        </w:tc>
        <w:tc>
          <w:tcPr>
            <w:tcW w:w="1280" w:type="dxa"/>
            <w:vAlign w:val="bottom"/>
            <w:tcBorders>
              <w:bottom w:val="single" w:sz="8" w:color="DADAE7"/>
            </w:tcBorders>
            <w:shd w:val="clear" w:color="auto" w:fill="F4EFF6"/>
          </w:tcPr>
          <w:p>
            <w:pPr>
              <w:jc w:val="right"/>
              <w:ind w:right="145"/>
              <w:spacing w:after="0"/>
              <w:rPr>
                <w:sz w:val="20"/>
                <w:szCs w:val="20"/>
                <w:color w:val="auto"/>
              </w:rPr>
            </w:pPr>
            <w:r>
              <w:rPr>
                <w:rFonts w:ascii="Arial" w:cs="Arial" w:eastAsia="Arial" w:hAnsi="Arial"/>
                <w:sz w:val="15"/>
                <w:szCs w:val="15"/>
                <w:b w:val="1"/>
                <w:bCs w:val="1"/>
                <w:color w:val="auto"/>
              </w:rPr>
              <w:t>—</w:t>
            </w:r>
          </w:p>
        </w:tc>
        <w:tc>
          <w:tcPr>
            <w:tcW w:w="1560" w:type="dxa"/>
            <w:vAlign w:val="bottom"/>
            <w:tcBorders>
              <w:bottom w:val="single" w:sz="8" w:color="DADAE7"/>
            </w:tcBorders>
          </w:tcPr>
          <w:p>
            <w:pPr>
              <w:jc w:val="right"/>
              <w:ind w:right="285"/>
              <w:spacing w:after="0"/>
              <w:rPr>
                <w:sz w:val="20"/>
                <w:szCs w:val="20"/>
                <w:color w:val="auto"/>
              </w:rPr>
            </w:pPr>
            <w:r>
              <w:rPr>
                <w:rFonts w:ascii="Arial" w:cs="Arial" w:eastAsia="Arial" w:hAnsi="Arial"/>
                <w:sz w:val="15"/>
                <w:szCs w:val="15"/>
                <w:color w:val="auto"/>
              </w:rPr>
              <w:t>4.6</w:t>
            </w:r>
          </w:p>
        </w:tc>
        <w:tc>
          <w:tcPr>
            <w:tcW w:w="1260" w:type="dxa"/>
            <w:vAlign w:val="bottom"/>
            <w:tcBorders>
              <w:bottom w:val="single" w:sz="8" w:color="DADAE7"/>
            </w:tcBorders>
            <w:shd w:val="clear" w:color="auto" w:fill="F4EFF6"/>
          </w:tcPr>
          <w:p>
            <w:pPr>
              <w:jc w:val="right"/>
              <w:ind w:right="125"/>
              <w:spacing w:after="0"/>
              <w:rPr>
                <w:sz w:val="20"/>
                <w:szCs w:val="20"/>
                <w:color w:val="auto"/>
              </w:rPr>
            </w:pPr>
            <w:r>
              <w:rPr>
                <w:rFonts w:ascii="Arial" w:cs="Arial" w:eastAsia="Arial" w:hAnsi="Arial"/>
                <w:sz w:val="15"/>
                <w:szCs w:val="15"/>
                <w:b w:val="1"/>
                <w:bCs w:val="1"/>
                <w:color w:val="auto"/>
              </w:rPr>
              <w:t>—</w:t>
            </w:r>
          </w:p>
        </w:tc>
        <w:tc>
          <w:tcPr>
            <w:tcW w:w="1420" w:type="dxa"/>
            <w:vAlign w:val="bottom"/>
            <w:tcBorders>
              <w:bottom w:val="single" w:sz="8" w:color="DADAE7"/>
            </w:tcBorders>
          </w:tcPr>
          <w:p>
            <w:pPr>
              <w:jc w:val="right"/>
              <w:ind w:right="125"/>
              <w:spacing w:after="0"/>
              <w:rPr>
                <w:sz w:val="20"/>
                <w:szCs w:val="20"/>
                <w:color w:val="auto"/>
              </w:rPr>
            </w:pPr>
            <w:r>
              <w:rPr>
                <w:rFonts w:ascii="Arial" w:cs="Arial" w:eastAsia="Arial" w:hAnsi="Arial"/>
                <w:sz w:val="15"/>
                <w:szCs w:val="15"/>
                <w:color w:val="auto"/>
              </w:rPr>
              <w:t>8.3</w:t>
            </w:r>
          </w:p>
        </w:tc>
      </w:tr>
      <w:tr>
        <w:trPr>
          <w:trHeight w:val="237"/>
        </w:trPr>
        <w:tc>
          <w:tcPr>
            <w:tcW w:w="5700" w:type="dxa"/>
            <w:vAlign w:val="bottom"/>
            <w:tcBorders>
              <w:bottom w:val="single" w:sz="8" w:color="DADAE7"/>
            </w:tcBorders>
          </w:tcPr>
          <w:p>
            <w:pPr>
              <w:ind w:left="300"/>
              <w:spacing w:after="0"/>
              <w:rPr>
                <w:sz w:val="20"/>
                <w:szCs w:val="20"/>
                <w:color w:val="auto"/>
              </w:rPr>
            </w:pPr>
            <w:r>
              <w:rPr>
                <w:rFonts w:ascii="Arial" w:cs="Arial" w:eastAsia="Arial" w:hAnsi="Arial"/>
                <w:sz w:val="15"/>
                <w:szCs w:val="15"/>
                <w:color w:val="auto"/>
              </w:rPr>
              <w:t>Fair value of the cash settlement option on the growth shares</w:t>
            </w:r>
            <w:r>
              <w:rPr>
                <w:rFonts w:ascii="Arial" w:cs="Arial" w:eastAsia="Arial" w:hAnsi="Arial"/>
                <w:sz w:val="19"/>
                <w:szCs w:val="19"/>
                <w:color w:val="auto"/>
                <w:vertAlign w:val="superscript"/>
              </w:rPr>
              <w:t>8</w:t>
            </w:r>
          </w:p>
        </w:tc>
        <w:tc>
          <w:tcPr>
            <w:tcW w:w="1280" w:type="dxa"/>
            <w:vAlign w:val="bottom"/>
            <w:tcBorders>
              <w:bottom w:val="single" w:sz="8" w:color="DADAE7"/>
            </w:tcBorders>
            <w:shd w:val="clear" w:color="auto" w:fill="F4EFF6"/>
          </w:tcPr>
          <w:p>
            <w:pPr>
              <w:jc w:val="right"/>
              <w:ind w:right="145"/>
              <w:spacing w:after="0"/>
              <w:rPr>
                <w:sz w:val="20"/>
                <w:szCs w:val="20"/>
                <w:color w:val="auto"/>
              </w:rPr>
            </w:pPr>
            <w:r>
              <w:rPr>
                <w:rFonts w:ascii="Arial" w:cs="Arial" w:eastAsia="Arial" w:hAnsi="Arial"/>
                <w:sz w:val="15"/>
                <w:szCs w:val="15"/>
                <w:b w:val="1"/>
                <w:bCs w:val="1"/>
                <w:color w:val="auto"/>
              </w:rPr>
              <w:t>—</w:t>
            </w:r>
          </w:p>
        </w:tc>
        <w:tc>
          <w:tcPr>
            <w:tcW w:w="1560" w:type="dxa"/>
            <w:vAlign w:val="bottom"/>
            <w:tcBorders>
              <w:bottom w:val="single" w:sz="8" w:color="DADAE7"/>
            </w:tcBorders>
          </w:tcPr>
          <w:p>
            <w:pPr>
              <w:jc w:val="right"/>
              <w:ind w:right="285"/>
              <w:spacing w:after="0"/>
              <w:rPr>
                <w:sz w:val="20"/>
                <w:szCs w:val="20"/>
                <w:color w:val="auto"/>
              </w:rPr>
            </w:pPr>
            <w:r>
              <w:rPr>
                <w:rFonts w:ascii="Arial" w:cs="Arial" w:eastAsia="Arial" w:hAnsi="Arial"/>
                <w:sz w:val="15"/>
                <w:szCs w:val="15"/>
                <w:color w:val="auto"/>
              </w:rPr>
              <w:t>2.3</w:t>
            </w:r>
          </w:p>
        </w:tc>
        <w:tc>
          <w:tcPr>
            <w:tcW w:w="1260" w:type="dxa"/>
            <w:vAlign w:val="bottom"/>
            <w:tcBorders>
              <w:bottom w:val="single" w:sz="8" w:color="DADAE7"/>
            </w:tcBorders>
            <w:shd w:val="clear" w:color="auto" w:fill="F4EFF6"/>
          </w:tcPr>
          <w:p>
            <w:pPr>
              <w:jc w:val="right"/>
              <w:ind w:right="125"/>
              <w:spacing w:after="0"/>
              <w:rPr>
                <w:sz w:val="20"/>
                <w:szCs w:val="20"/>
                <w:color w:val="auto"/>
              </w:rPr>
            </w:pPr>
            <w:r>
              <w:rPr>
                <w:rFonts w:ascii="Arial" w:cs="Arial" w:eastAsia="Arial" w:hAnsi="Arial"/>
                <w:sz w:val="15"/>
                <w:szCs w:val="15"/>
                <w:b w:val="1"/>
                <w:bCs w:val="1"/>
                <w:color w:val="auto"/>
              </w:rPr>
              <w:t>—</w:t>
            </w:r>
          </w:p>
        </w:tc>
        <w:tc>
          <w:tcPr>
            <w:tcW w:w="1420" w:type="dxa"/>
            <w:vAlign w:val="bottom"/>
            <w:tcBorders>
              <w:bottom w:val="single" w:sz="8" w:color="DADAE7"/>
            </w:tcBorders>
          </w:tcPr>
          <w:p>
            <w:pPr>
              <w:jc w:val="right"/>
              <w:ind w:right="125"/>
              <w:spacing w:after="0"/>
              <w:rPr>
                <w:sz w:val="20"/>
                <w:szCs w:val="20"/>
                <w:color w:val="auto"/>
              </w:rPr>
            </w:pPr>
            <w:r>
              <w:rPr>
                <w:rFonts w:ascii="Arial" w:cs="Arial" w:eastAsia="Arial" w:hAnsi="Arial"/>
                <w:sz w:val="15"/>
                <w:szCs w:val="15"/>
                <w:color w:val="auto"/>
              </w:rPr>
              <w:t>2.3</w:t>
            </w:r>
          </w:p>
        </w:tc>
      </w:tr>
      <w:tr>
        <w:trPr>
          <w:trHeight w:val="236"/>
        </w:trPr>
        <w:tc>
          <w:tcPr>
            <w:tcW w:w="5700" w:type="dxa"/>
            <w:vAlign w:val="bottom"/>
            <w:tcBorders>
              <w:bottom w:val="single" w:sz="8" w:color="793690"/>
            </w:tcBorders>
          </w:tcPr>
          <w:p>
            <w:pPr>
              <w:ind w:left="300"/>
              <w:spacing w:after="0"/>
              <w:rPr>
                <w:sz w:val="20"/>
                <w:szCs w:val="20"/>
                <w:color w:val="auto"/>
              </w:rPr>
            </w:pPr>
            <w:r>
              <w:rPr>
                <w:rFonts w:ascii="Arial" w:cs="Arial" w:eastAsia="Arial" w:hAnsi="Arial"/>
                <w:sz w:val="15"/>
                <w:szCs w:val="15"/>
                <w:color w:val="auto"/>
              </w:rPr>
              <w:t>Public offering of ordinary shares</w:t>
            </w:r>
            <w:r>
              <w:rPr>
                <w:rFonts w:ascii="Arial" w:cs="Arial" w:eastAsia="Arial" w:hAnsi="Arial"/>
                <w:sz w:val="19"/>
                <w:szCs w:val="19"/>
                <w:color w:val="auto"/>
                <w:vertAlign w:val="superscript"/>
              </w:rPr>
              <w:t>9</w:t>
            </w:r>
          </w:p>
        </w:tc>
        <w:tc>
          <w:tcPr>
            <w:tcW w:w="1280" w:type="dxa"/>
            <w:vAlign w:val="bottom"/>
            <w:tcBorders>
              <w:bottom w:val="single" w:sz="8" w:color="793690"/>
            </w:tcBorders>
            <w:shd w:val="clear" w:color="auto" w:fill="F4EFF6"/>
          </w:tcPr>
          <w:p>
            <w:pPr>
              <w:jc w:val="right"/>
              <w:ind w:right="145"/>
              <w:spacing w:after="0"/>
              <w:rPr>
                <w:sz w:val="20"/>
                <w:szCs w:val="20"/>
                <w:color w:val="auto"/>
              </w:rPr>
            </w:pPr>
            <w:r>
              <w:rPr>
                <w:rFonts w:ascii="Arial" w:cs="Arial" w:eastAsia="Arial" w:hAnsi="Arial"/>
                <w:sz w:val="15"/>
                <w:szCs w:val="15"/>
                <w:b w:val="1"/>
                <w:bCs w:val="1"/>
                <w:color w:val="auto"/>
              </w:rPr>
              <w:t>1.3</w:t>
            </w:r>
          </w:p>
        </w:tc>
        <w:tc>
          <w:tcPr>
            <w:tcW w:w="1560" w:type="dxa"/>
            <w:vAlign w:val="bottom"/>
            <w:tcBorders>
              <w:bottom w:val="single" w:sz="8" w:color="793690"/>
            </w:tcBorders>
          </w:tcPr>
          <w:p>
            <w:pPr>
              <w:jc w:val="right"/>
              <w:ind w:right="285"/>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793690"/>
            </w:tcBorders>
            <w:shd w:val="clear" w:color="auto" w:fill="F4EFF6"/>
          </w:tcPr>
          <w:p>
            <w:pPr>
              <w:jc w:val="right"/>
              <w:ind w:right="125"/>
              <w:spacing w:after="0"/>
              <w:rPr>
                <w:sz w:val="20"/>
                <w:szCs w:val="20"/>
                <w:color w:val="auto"/>
              </w:rPr>
            </w:pPr>
            <w:r>
              <w:rPr>
                <w:rFonts w:ascii="Arial" w:cs="Arial" w:eastAsia="Arial" w:hAnsi="Arial"/>
                <w:sz w:val="15"/>
                <w:szCs w:val="15"/>
                <w:b w:val="1"/>
                <w:bCs w:val="1"/>
                <w:color w:val="auto"/>
              </w:rPr>
              <w:t>1.3</w:t>
            </w:r>
          </w:p>
        </w:tc>
        <w:tc>
          <w:tcPr>
            <w:tcW w:w="1420" w:type="dxa"/>
            <w:vAlign w:val="bottom"/>
            <w:tcBorders>
              <w:bottom w:val="single" w:sz="8" w:color="793690"/>
            </w:tcBorders>
          </w:tcPr>
          <w:p>
            <w:pPr>
              <w:jc w:val="right"/>
              <w:ind w:right="125"/>
              <w:spacing w:after="0"/>
              <w:rPr>
                <w:sz w:val="20"/>
                <w:szCs w:val="20"/>
                <w:color w:val="auto"/>
              </w:rPr>
            </w:pPr>
            <w:r>
              <w:rPr>
                <w:rFonts w:ascii="Arial" w:cs="Arial" w:eastAsia="Arial" w:hAnsi="Arial"/>
                <w:sz w:val="15"/>
                <w:szCs w:val="15"/>
                <w:color w:val="auto"/>
              </w:rPr>
              <w:t>—</w:t>
            </w:r>
          </w:p>
        </w:tc>
      </w:tr>
      <w:tr>
        <w:trPr>
          <w:trHeight w:val="237"/>
        </w:trPr>
        <w:tc>
          <w:tcPr>
            <w:tcW w:w="5700" w:type="dxa"/>
            <w:vAlign w:val="bottom"/>
          </w:tcPr>
          <w:p>
            <w:pPr>
              <w:ind w:left="20"/>
              <w:spacing w:after="0"/>
              <w:rPr>
                <w:sz w:val="20"/>
                <w:szCs w:val="20"/>
                <w:color w:val="auto"/>
              </w:rPr>
            </w:pPr>
            <w:r>
              <w:rPr>
                <w:rFonts w:ascii="Arial" w:cs="Arial" w:eastAsia="Arial" w:hAnsi="Arial"/>
                <w:sz w:val="15"/>
                <w:szCs w:val="15"/>
                <w:b w:val="1"/>
                <w:bCs w:val="1"/>
                <w:color w:val="auto"/>
              </w:rPr>
              <w:t>Adjusted Profit Before Tax</w:t>
            </w:r>
          </w:p>
        </w:tc>
        <w:tc>
          <w:tcPr>
            <w:tcW w:w="1280" w:type="dxa"/>
            <w:vAlign w:val="bottom"/>
            <w:tcBorders>
              <w:bottom w:val="single" w:sz="8" w:color="F4EFF6"/>
            </w:tcBorders>
            <w:shd w:val="clear" w:color="auto" w:fill="F4EFF6"/>
          </w:tcPr>
          <w:p>
            <w:pPr>
              <w:jc w:val="right"/>
              <w:ind w:right="145"/>
              <w:spacing w:after="0"/>
              <w:rPr>
                <w:sz w:val="20"/>
                <w:szCs w:val="20"/>
                <w:color w:val="auto"/>
              </w:rPr>
            </w:pPr>
            <w:r>
              <w:rPr>
                <w:rFonts w:ascii="Arial" w:cs="Arial" w:eastAsia="Arial" w:hAnsi="Arial"/>
                <w:sz w:val="15"/>
                <w:szCs w:val="15"/>
                <w:b w:val="1"/>
                <w:bCs w:val="1"/>
                <w:color w:val="auto"/>
              </w:rPr>
              <w:t>106.4</w:t>
            </w:r>
          </w:p>
        </w:tc>
        <w:tc>
          <w:tcPr>
            <w:tcW w:w="1560" w:type="dxa"/>
            <w:vAlign w:val="bottom"/>
          </w:tcPr>
          <w:p>
            <w:pPr>
              <w:jc w:val="right"/>
              <w:ind w:right="285"/>
              <w:spacing w:after="0"/>
              <w:rPr>
                <w:sz w:val="20"/>
                <w:szCs w:val="20"/>
                <w:color w:val="auto"/>
              </w:rPr>
            </w:pPr>
            <w:r>
              <w:rPr>
                <w:rFonts w:ascii="Arial" w:cs="Arial" w:eastAsia="Arial" w:hAnsi="Arial"/>
                <w:sz w:val="15"/>
                <w:szCs w:val="15"/>
                <w:color w:val="auto"/>
              </w:rPr>
              <w:t>91.5</w:t>
            </w:r>
          </w:p>
        </w:tc>
        <w:tc>
          <w:tcPr>
            <w:tcW w:w="1260" w:type="dxa"/>
            <w:vAlign w:val="bottom"/>
            <w:tcBorders>
              <w:bottom w:val="single" w:sz="8" w:color="F4EFF6"/>
            </w:tcBorders>
            <w:shd w:val="clear" w:color="auto" w:fill="F4EFF6"/>
          </w:tcPr>
          <w:p>
            <w:pPr>
              <w:jc w:val="right"/>
              <w:ind w:right="125"/>
              <w:spacing w:after="0"/>
              <w:rPr>
                <w:sz w:val="20"/>
                <w:szCs w:val="20"/>
                <w:color w:val="auto"/>
              </w:rPr>
            </w:pPr>
            <w:r>
              <w:rPr>
                <w:rFonts w:ascii="Arial" w:cs="Arial" w:eastAsia="Arial" w:hAnsi="Arial"/>
                <w:sz w:val="15"/>
                <w:szCs w:val="15"/>
                <w:b w:val="1"/>
                <w:bCs w:val="1"/>
                <w:color w:val="auto"/>
              </w:rPr>
              <w:t>202.7</w:t>
            </w:r>
          </w:p>
        </w:tc>
        <w:tc>
          <w:tcPr>
            <w:tcW w:w="1420" w:type="dxa"/>
            <w:vAlign w:val="bottom"/>
          </w:tcPr>
          <w:p>
            <w:pPr>
              <w:jc w:val="right"/>
              <w:ind w:right="125"/>
              <w:spacing w:after="0"/>
              <w:rPr>
                <w:sz w:val="20"/>
                <w:szCs w:val="20"/>
                <w:color w:val="auto"/>
              </w:rPr>
            </w:pPr>
            <w:r>
              <w:rPr>
                <w:rFonts w:ascii="Arial" w:cs="Arial" w:eastAsia="Arial" w:hAnsi="Arial"/>
                <w:sz w:val="15"/>
                <w:szCs w:val="15"/>
                <w:color w:val="auto"/>
              </w:rPr>
              <w:t>159.2</w:t>
            </w:r>
          </w:p>
        </w:tc>
      </w:tr>
      <w:tr>
        <w:trPr>
          <w:trHeight w:val="237"/>
        </w:trPr>
        <w:tc>
          <w:tcPr>
            <w:tcW w:w="5700" w:type="dxa"/>
            <w:vAlign w:val="bottom"/>
            <w:tcBorders>
              <w:top w:val="single" w:sz="8" w:color="DADAE7"/>
              <w:bottom w:val="single" w:sz="8" w:color="DADAE7"/>
            </w:tcBorders>
          </w:tcPr>
          <w:p>
            <w:pPr>
              <w:ind w:left="300"/>
              <w:spacing w:after="0"/>
              <w:rPr>
                <w:sz w:val="20"/>
                <w:szCs w:val="20"/>
                <w:color w:val="auto"/>
              </w:rPr>
            </w:pPr>
            <w:r>
              <w:rPr>
                <w:rFonts w:ascii="Arial" w:cs="Arial" w:eastAsia="Arial" w:hAnsi="Arial"/>
                <w:sz w:val="15"/>
                <w:szCs w:val="15"/>
                <w:color w:val="auto"/>
              </w:rPr>
              <w:t>Tax and the tax effect on Adjusting Items</w:t>
            </w:r>
            <w:r>
              <w:rPr>
                <w:rFonts w:ascii="Arial" w:cs="Arial" w:eastAsia="Arial" w:hAnsi="Arial"/>
                <w:sz w:val="19"/>
                <w:szCs w:val="19"/>
                <w:color w:val="auto"/>
                <w:vertAlign w:val="superscript"/>
              </w:rPr>
              <w:t>10</w:t>
            </w:r>
          </w:p>
        </w:tc>
        <w:tc>
          <w:tcPr>
            <w:tcW w:w="1280" w:type="dxa"/>
            <w:vAlign w:val="bottom"/>
            <w:tcBorders>
              <w:top w:val="single" w:sz="8" w:color="DADAE7"/>
              <w:bottom w:val="single" w:sz="8" w:color="DADAE7"/>
            </w:tcBorders>
            <w:shd w:val="clear" w:color="auto" w:fill="F4EFF6"/>
          </w:tcPr>
          <w:p>
            <w:pPr>
              <w:jc w:val="right"/>
              <w:ind w:right="85"/>
              <w:spacing w:after="0"/>
              <w:rPr>
                <w:sz w:val="20"/>
                <w:szCs w:val="20"/>
                <w:color w:val="auto"/>
              </w:rPr>
            </w:pPr>
            <w:r>
              <w:rPr>
                <w:rFonts w:ascii="Arial" w:cs="Arial" w:eastAsia="Arial" w:hAnsi="Arial"/>
                <w:sz w:val="15"/>
                <w:szCs w:val="15"/>
                <w:b w:val="1"/>
                <w:bCs w:val="1"/>
                <w:color w:val="auto"/>
              </w:rPr>
              <w:t>(26.1)</w:t>
            </w:r>
          </w:p>
        </w:tc>
        <w:tc>
          <w:tcPr>
            <w:tcW w:w="1560" w:type="dxa"/>
            <w:vAlign w:val="bottom"/>
            <w:tcBorders>
              <w:top w:val="single" w:sz="8" w:color="DADAE7"/>
              <w:bottom w:val="single" w:sz="8" w:color="DADAE7"/>
            </w:tcBorders>
          </w:tcPr>
          <w:p>
            <w:pPr>
              <w:jc w:val="right"/>
              <w:ind w:right="245"/>
              <w:spacing w:after="0"/>
              <w:rPr>
                <w:sz w:val="20"/>
                <w:szCs w:val="20"/>
                <w:color w:val="auto"/>
              </w:rPr>
            </w:pPr>
            <w:r>
              <w:rPr>
                <w:rFonts w:ascii="Arial" w:cs="Arial" w:eastAsia="Arial" w:hAnsi="Arial"/>
                <w:sz w:val="15"/>
                <w:szCs w:val="15"/>
                <w:color w:val="auto"/>
              </w:rPr>
              <w:t>(21.4)</w:t>
            </w:r>
          </w:p>
        </w:tc>
        <w:tc>
          <w:tcPr>
            <w:tcW w:w="1260" w:type="dxa"/>
            <w:vAlign w:val="bottom"/>
            <w:tcBorders>
              <w:top w:val="single" w:sz="8" w:color="DADAE7"/>
              <w:bottom w:val="single" w:sz="8" w:color="DADAE7"/>
            </w:tcBorders>
            <w:shd w:val="clear" w:color="auto" w:fill="F4EFF6"/>
          </w:tcPr>
          <w:p>
            <w:pPr>
              <w:jc w:val="right"/>
              <w:ind w:right="85"/>
              <w:spacing w:after="0"/>
              <w:rPr>
                <w:sz w:val="20"/>
                <w:szCs w:val="20"/>
                <w:color w:val="auto"/>
              </w:rPr>
            </w:pPr>
            <w:r>
              <w:rPr>
                <w:rFonts w:ascii="Arial" w:cs="Arial" w:eastAsia="Arial" w:hAnsi="Arial"/>
                <w:sz w:val="15"/>
                <w:szCs w:val="15"/>
                <w:b w:val="1"/>
                <w:bCs w:val="1"/>
                <w:color w:val="auto"/>
              </w:rPr>
              <w:t>(50.8)</w:t>
            </w:r>
          </w:p>
        </w:tc>
        <w:tc>
          <w:tcPr>
            <w:tcW w:w="1420" w:type="dxa"/>
            <w:vAlign w:val="bottom"/>
            <w:tcBorders>
              <w:top w:val="single" w:sz="8" w:color="DADAE7"/>
              <w:bottom w:val="single" w:sz="8" w:color="DADAE7"/>
            </w:tcBorders>
          </w:tcPr>
          <w:p>
            <w:pPr>
              <w:jc w:val="right"/>
              <w:ind w:right="85"/>
              <w:spacing w:after="0"/>
              <w:rPr>
                <w:sz w:val="20"/>
                <w:szCs w:val="20"/>
                <w:color w:val="auto"/>
              </w:rPr>
            </w:pPr>
            <w:r>
              <w:rPr>
                <w:rFonts w:ascii="Arial" w:cs="Arial" w:eastAsia="Arial" w:hAnsi="Arial"/>
                <w:sz w:val="15"/>
                <w:szCs w:val="15"/>
                <w:color w:val="auto"/>
              </w:rPr>
              <w:t>(36.9)</w:t>
            </w:r>
          </w:p>
        </w:tc>
      </w:tr>
      <w:tr>
        <w:trPr>
          <w:trHeight w:val="237"/>
        </w:trPr>
        <w:tc>
          <w:tcPr>
            <w:tcW w:w="5700" w:type="dxa"/>
            <w:vAlign w:val="bottom"/>
            <w:tcBorders>
              <w:bottom w:val="single" w:sz="8" w:color="793690"/>
            </w:tcBorders>
          </w:tcPr>
          <w:p>
            <w:pPr>
              <w:ind w:left="300"/>
              <w:spacing w:after="0"/>
              <w:rPr>
                <w:sz w:val="20"/>
                <w:szCs w:val="20"/>
                <w:color w:val="auto"/>
              </w:rPr>
            </w:pPr>
            <w:r>
              <w:rPr>
                <w:rFonts w:ascii="Arial" w:cs="Arial" w:eastAsia="Arial" w:hAnsi="Arial"/>
                <w:sz w:val="15"/>
                <w:szCs w:val="15"/>
                <w:color w:val="auto"/>
              </w:rPr>
              <w:t>Profit attributable to AT1 note holders</w:t>
            </w:r>
            <w:r>
              <w:rPr>
                <w:rFonts w:ascii="Arial" w:cs="Arial" w:eastAsia="Arial" w:hAnsi="Arial"/>
                <w:sz w:val="19"/>
                <w:szCs w:val="19"/>
                <w:color w:val="auto"/>
                <w:vertAlign w:val="superscript"/>
              </w:rPr>
              <w:t>11</w:t>
            </w:r>
          </w:p>
        </w:tc>
        <w:tc>
          <w:tcPr>
            <w:tcW w:w="1280" w:type="dxa"/>
            <w:vAlign w:val="bottom"/>
            <w:tcBorders>
              <w:bottom w:val="single" w:sz="8" w:color="793690"/>
            </w:tcBorders>
            <w:shd w:val="clear" w:color="auto" w:fill="F4EFF6"/>
          </w:tcPr>
          <w:p>
            <w:pPr>
              <w:jc w:val="right"/>
              <w:ind w:right="85"/>
              <w:spacing w:after="0"/>
              <w:rPr>
                <w:sz w:val="20"/>
                <w:szCs w:val="20"/>
                <w:color w:val="auto"/>
              </w:rPr>
            </w:pPr>
            <w:r>
              <w:rPr>
                <w:rFonts w:ascii="Arial" w:cs="Arial" w:eastAsia="Arial" w:hAnsi="Arial"/>
                <w:sz w:val="15"/>
                <w:szCs w:val="15"/>
                <w:b w:val="1"/>
                <w:bCs w:val="1"/>
                <w:color w:val="auto"/>
              </w:rPr>
              <w:t>(3.3)</w:t>
            </w:r>
          </w:p>
        </w:tc>
        <w:tc>
          <w:tcPr>
            <w:tcW w:w="1560" w:type="dxa"/>
            <w:vAlign w:val="bottom"/>
            <w:tcBorders>
              <w:bottom w:val="single" w:sz="8" w:color="793690"/>
            </w:tcBorders>
          </w:tcPr>
          <w:p>
            <w:pPr>
              <w:jc w:val="right"/>
              <w:ind w:right="245"/>
              <w:spacing w:after="0"/>
              <w:rPr>
                <w:sz w:val="20"/>
                <w:szCs w:val="20"/>
                <w:color w:val="auto"/>
              </w:rPr>
            </w:pPr>
            <w:r>
              <w:rPr>
                <w:rFonts w:ascii="Arial" w:cs="Arial" w:eastAsia="Arial" w:hAnsi="Arial"/>
                <w:sz w:val="15"/>
                <w:szCs w:val="15"/>
                <w:color w:val="auto"/>
              </w:rPr>
              <w:t>(3.3)</w:t>
            </w:r>
          </w:p>
        </w:tc>
        <w:tc>
          <w:tcPr>
            <w:tcW w:w="1260" w:type="dxa"/>
            <w:vAlign w:val="bottom"/>
            <w:tcBorders>
              <w:bottom w:val="single" w:sz="8" w:color="793690"/>
            </w:tcBorders>
            <w:shd w:val="clear" w:color="auto" w:fill="F4EFF6"/>
          </w:tcPr>
          <w:p>
            <w:pPr>
              <w:jc w:val="right"/>
              <w:ind w:right="85"/>
              <w:spacing w:after="0"/>
              <w:rPr>
                <w:sz w:val="20"/>
                <w:szCs w:val="20"/>
                <w:color w:val="auto"/>
              </w:rPr>
            </w:pPr>
            <w:r>
              <w:rPr>
                <w:rFonts w:ascii="Arial" w:cs="Arial" w:eastAsia="Arial" w:hAnsi="Arial"/>
                <w:sz w:val="15"/>
                <w:szCs w:val="15"/>
                <w:b w:val="1"/>
                <w:bCs w:val="1"/>
                <w:color w:val="auto"/>
              </w:rPr>
              <w:t>(6.6)</w:t>
            </w:r>
          </w:p>
        </w:tc>
        <w:tc>
          <w:tcPr>
            <w:tcW w:w="1420" w:type="dxa"/>
            <w:vAlign w:val="bottom"/>
            <w:tcBorders>
              <w:bottom w:val="single" w:sz="8" w:color="793690"/>
            </w:tcBorders>
          </w:tcPr>
          <w:p>
            <w:pPr>
              <w:jc w:val="right"/>
              <w:ind w:right="85"/>
              <w:spacing w:after="0"/>
              <w:rPr>
                <w:sz w:val="20"/>
                <w:szCs w:val="20"/>
                <w:color w:val="auto"/>
              </w:rPr>
            </w:pPr>
            <w:r>
              <w:rPr>
                <w:rFonts w:ascii="Arial" w:cs="Arial" w:eastAsia="Arial" w:hAnsi="Arial"/>
                <w:sz w:val="15"/>
                <w:szCs w:val="15"/>
                <w:color w:val="auto"/>
              </w:rPr>
              <w:t>(6.6)</w:t>
            </w:r>
          </w:p>
        </w:tc>
      </w:tr>
      <w:tr>
        <w:trPr>
          <w:trHeight w:val="236"/>
        </w:trPr>
        <w:tc>
          <w:tcPr>
            <w:tcW w:w="5700" w:type="dxa"/>
            <w:vAlign w:val="bottom"/>
          </w:tcPr>
          <w:p>
            <w:pPr>
              <w:ind w:left="20"/>
              <w:spacing w:after="0"/>
              <w:rPr>
                <w:sz w:val="20"/>
                <w:szCs w:val="20"/>
                <w:color w:val="auto"/>
              </w:rPr>
            </w:pPr>
            <w:r>
              <w:rPr>
                <w:rFonts w:ascii="Arial" w:cs="Arial" w:eastAsia="Arial" w:hAnsi="Arial"/>
                <w:sz w:val="15"/>
                <w:szCs w:val="15"/>
                <w:b w:val="1"/>
                <w:bCs w:val="1"/>
                <w:color w:val="auto"/>
              </w:rPr>
              <w:t>Adjusted Profit after Tax Attributable to Common Equity</w:t>
            </w:r>
          </w:p>
        </w:tc>
        <w:tc>
          <w:tcPr>
            <w:tcW w:w="1280" w:type="dxa"/>
            <w:vAlign w:val="bottom"/>
            <w:tcBorders>
              <w:bottom w:val="single" w:sz="8" w:color="F4EFF6"/>
            </w:tcBorders>
            <w:shd w:val="clear" w:color="auto" w:fill="F4EFF6"/>
          </w:tcPr>
          <w:p>
            <w:pPr>
              <w:jc w:val="right"/>
              <w:ind w:right="85"/>
              <w:spacing w:after="0"/>
              <w:rPr>
                <w:sz w:val="20"/>
                <w:szCs w:val="20"/>
                <w:color w:val="auto"/>
              </w:rPr>
            </w:pPr>
            <w:r>
              <w:rPr>
                <w:rFonts w:ascii="Arial" w:cs="Arial" w:eastAsia="Arial" w:hAnsi="Arial"/>
                <w:sz w:val="15"/>
                <w:szCs w:val="15"/>
                <w:b w:val="1"/>
                <w:bCs w:val="1"/>
                <w:color w:val="auto"/>
              </w:rPr>
              <w:t>77.0</w:t>
            </w:r>
          </w:p>
        </w:tc>
        <w:tc>
          <w:tcPr>
            <w:tcW w:w="1560" w:type="dxa"/>
            <w:vAlign w:val="bottom"/>
          </w:tcPr>
          <w:p>
            <w:pPr>
              <w:jc w:val="right"/>
              <w:ind w:right="245"/>
              <w:spacing w:after="0"/>
              <w:rPr>
                <w:sz w:val="20"/>
                <w:szCs w:val="20"/>
                <w:color w:val="auto"/>
              </w:rPr>
            </w:pPr>
            <w:r>
              <w:rPr>
                <w:rFonts w:ascii="Arial" w:cs="Arial" w:eastAsia="Arial" w:hAnsi="Arial"/>
                <w:sz w:val="15"/>
                <w:szCs w:val="15"/>
                <w:color w:val="auto"/>
              </w:rPr>
              <w:t>66.8</w:t>
            </w:r>
          </w:p>
        </w:tc>
        <w:tc>
          <w:tcPr>
            <w:tcW w:w="1260" w:type="dxa"/>
            <w:vAlign w:val="bottom"/>
            <w:tcBorders>
              <w:bottom w:val="single" w:sz="8" w:color="F4EFF6"/>
            </w:tcBorders>
            <w:shd w:val="clear" w:color="auto" w:fill="F4EFF6"/>
          </w:tcPr>
          <w:p>
            <w:pPr>
              <w:jc w:val="right"/>
              <w:ind w:right="85"/>
              <w:spacing w:after="0"/>
              <w:rPr>
                <w:sz w:val="20"/>
                <w:szCs w:val="20"/>
                <w:color w:val="auto"/>
              </w:rPr>
            </w:pPr>
            <w:r>
              <w:rPr>
                <w:rFonts w:ascii="Arial" w:cs="Arial" w:eastAsia="Arial" w:hAnsi="Arial"/>
                <w:sz w:val="15"/>
                <w:szCs w:val="15"/>
                <w:b w:val="1"/>
                <w:bCs w:val="1"/>
                <w:color w:val="auto"/>
              </w:rPr>
              <w:t>145.3</w:t>
            </w:r>
          </w:p>
        </w:tc>
        <w:tc>
          <w:tcPr>
            <w:tcW w:w="1420" w:type="dxa"/>
            <w:vAlign w:val="bottom"/>
          </w:tcPr>
          <w:p>
            <w:pPr>
              <w:jc w:val="right"/>
              <w:ind w:right="85"/>
              <w:spacing w:after="0"/>
              <w:rPr>
                <w:sz w:val="20"/>
                <w:szCs w:val="20"/>
                <w:color w:val="auto"/>
              </w:rPr>
            </w:pPr>
            <w:r>
              <w:rPr>
                <w:rFonts w:ascii="Arial" w:cs="Arial" w:eastAsia="Arial" w:hAnsi="Arial"/>
                <w:sz w:val="15"/>
                <w:szCs w:val="15"/>
                <w:color w:val="auto"/>
              </w:rPr>
              <w:t>115.7</w:t>
            </w:r>
          </w:p>
        </w:tc>
      </w:tr>
      <w:tr>
        <w:trPr>
          <w:trHeight w:val="196"/>
        </w:trPr>
        <w:tc>
          <w:tcPr>
            <w:tcW w:w="5700" w:type="dxa"/>
            <w:vAlign w:val="bottom"/>
            <w:tcBorders>
              <w:top w:val="single" w:sz="8" w:color="793690"/>
              <w:bottom w:val="single" w:sz="8" w:color="DADAE7"/>
            </w:tcBorders>
          </w:tcPr>
          <w:p>
            <w:pPr>
              <w:spacing w:after="0"/>
              <w:rPr>
                <w:sz w:val="17"/>
                <w:szCs w:val="17"/>
                <w:color w:val="auto"/>
              </w:rPr>
            </w:pPr>
          </w:p>
        </w:tc>
        <w:tc>
          <w:tcPr>
            <w:tcW w:w="1280" w:type="dxa"/>
            <w:vAlign w:val="bottom"/>
            <w:tcBorders>
              <w:top w:val="single" w:sz="8" w:color="793690"/>
              <w:bottom w:val="single" w:sz="8" w:color="DADAE7"/>
            </w:tcBorders>
            <w:shd w:val="clear" w:color="auto" w:fill="F4EFF6"/>
          </w:tcPr>
          <w:p>
            <w:pPr>
              <w:spacing w:after="0"/>
              <w:rPr>
                <w:sz w:val="17"/>
                <w:szCs w:val="17"/>
                <w:color w:val="auto"/>
              </w:rPr>
            </w:pPr>
          </w:p>
        </w:tc>
        <w:tc>
          <w:tcPr>
            <w:tcW w:w="1560" w:type="dxa"/>
            <w:vAlign w:val="bottom"/>
            <w:tcBorders>
              <w:top w:val="single" w:sz="8" w:color="793690"/>
              <w:bottom w:val="single" w:sz="8" w:color="DADAE7"/>
            </w:tcBorders>
          </w:tcPr>
          <w:p>
            <w:pPr>
              <w:spacing w:after="0"/>
              <w:rPr>
                <w:sz w:val="17"/>
                <w:szCs w:val="17"/>
                <w:color w:val="auto"/>
              </w:rPr>
            </w:pPr>
          </w:p>
        </w:tc>
        <w:tc>
          <w:tcPr>
            <w:tcW w:w="1260" w:type="dxa"/>
            <w:vAlign w:val="bottom"/>
            <w:tcBorders>
              <w:top w:val="single" w:sz="8" w:color="793690"/>
              <w:bottom w:val="single" w:sz="8" w:color="DADAE7"/>
            </w:tcBorders>
            <w:shd w:val="clear" w:color="auto" w:fill="F4EFF6"/>
          </w:tcPr>
          <w:p>
            <w:pPr>
              <w:spacing w:after="0"/>
              <w:rPr>
                <w:sz w:val="17"/>
                <w:szCs w:val="17"/>
                <w:color w:val="auto"/>
              </w:rPr>
            </w:pPr>
          </w:p>
        </w:tc>
        <w:tc>
          <w:tcPr>
            <w:tcW w:w="1420" w:type="dxa"/>
            <w:vAlign w:val="bottom"/>
            <w:tcBorders>
              <w:top w:val="single" w:sz="8" w:color="793690"/>
              <w:bottom w:val="single" w:sz="8" w:color="DADAE7"/>
            </w:tcBorders>
          </w:tcPr>
          <w:p>
            <w:pPr>
              <w:spacing w:after="0"/>
              <w:rPr>
                <w:sz w:val="17"/>
                <w:szCs w:val="17"/>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5"/>
                <w:szCs w:val="15"/>
                <w:b w:val="1"/>
                <w:bCs w:val="1"/>
                <w:color w:val="auto"/>
              </w:rPr>
              <w:t>Profit After Tax Margin</w:t>
            </w:r>
          </w:p>
        </w:tc>
        <w:tc>
          <w:tcPr>
            <w:tcW w:w="128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15.3%</w:t>
            </w:r>
          </w:p>
        </w:tc>
        <w:tc>
          <w:tcPr>
            <w:tcW w:w="1560" w:type="dxa"/>
            <w:vAlign w:val="bottom"/>
          </w:tcPr>
          <w:p>
            <w:pPr>
              <w:jc w:val="right"/>
              <w:ind w:right="105"/>
              <w:spacing w:after="0"/>
              <w:rPr>
                <w:sz w:val="20"/>
                <w:szCs w:val="20"/>
                <w:color w:val="auto"/>
              </w:rPr>
            </w:pPr>
            <w:r>
              <w:rPr>
                <w:rFonts w:ascii="Arial" w:cs="Arial" w:eastAsia="Arial" w:hAnsi="Arial"/>
                <w:sz w:val="15"/>
                <w:szCs w:val="15"/>
                <w:color w:val="auto"/>
              </w:rPr>
              <w:t>14.0%</w:t>
            </w:r>
          </w:p>
        </w:tc>
        <w:tc>
          <w:tcPr>
            <w:tcW w:w="126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15.4%</w:t>
            </w:r>
          </w:p>
        </w:tc>
        <w:tc>
          <w:tcPr>
            <w:tcW w:w="1420" w:type="dxa"/>
            <w:vAlign w:val="bottom"/>
          </w:tcPr>
          <w:p>
            <w:pPr>
              <w:jc w:val="right"/>
              <w:spacing w:after="0"/>
              <w:rPr>
                <w:sz w:val="20"/>
                <w:szCs w:val="20"/>
                <w:color w:val="auto"/>
              </w:rPr>
            </w:pPr>
            <w:r>
              <w:rPr>
                <w:rFonts w:ascii="Arial" w:cs="Arial" w:eastAsia="Arial" w:hAnsi="Arial"/>
                <w:sz w:val="15"/>
                <w:szCs w:val="15"/>
                <w:color w:val="auto"/>
              </w:rPr>
              <w:t>13.1%</w:t>
            </w:r>
          </w:p>
        </w:tc>
      </w:tr>
      <w:tr>
        <w:trPr>
          <w:trHeight w:val="236"/>
        </w:trPr>
        <w:tc>
          <w:tcPr>
            <w:tcW w:w="5700" w:type="dxa"/>
            <w:vAlign w:val="bottom"/>
            <w:tcBorders>
              <w:top w:val="single" w:sz="8" w:color="DADAE7"/>
              <w:bottom w:val="single" w:sz="8" w:color="DADAE7"/>
            </w:tcBorders>
          </w:tcPr>
          <w:p>
            <w:pPr>
              <w:ind w:left="20"/>
              <w:spacing w:after="0"/>
              <w:rPr>
                <w:sz w:val="20"/>
                <w:szCs w:val="20"/>
                <w:color w:val="auto"/>
              </w:rPr>
            </w:pPr>
            <w:r>
              <w:rPr>
                <w:rFonts w:ascii="Arial" w:cs="Arial" w:eastAsia="Arial" w:hAnsi="Arial"/>
                <w:sz w:val="15"/>
                <w:szCs w:val="15"/>
                <w:b w:val="1"/>
                <w:bCs w:val="1"/>
                <w:color w:val="auto"/>
              </w:rPr>
              <w:t>Adjusted Profit Before Tax Margin</w:t>
            </w:r>
            <w:r>
              <w:rPr>
                <w:rFonts w:ascii="Arial" w:cs="Arial" w:eastAsia="Arial" w:hAnsi="Arial"/>
                <w:sz w:val="19"/>
                <w:szCs w:val="19"/>
                <w:b w:val="1"/>
                <w:bCs w:val="1"/>
                <w:color w:val="auto"/>
                <w:vertAlign w:val="superscript"/>
              </w:rPr>
              <w:t>12</w:t>
            </w:r>
          </w:p>
        </w:tc>
        <w:tc>
          <w:tcPr>
            <w:tcW w:w="1280" w:type="dxa"/>
            <w:vAlign w:val="bottom"/>
            <w:tcBorders>
              <w:top w:val="single" w:sz="8" w:color="DADAE7"/>
              <w:bottom w:val="single" w:sz="8" w:color="DADAE7"/>
            </w:tcBorders>
          </w:tcPr>
          <w:p>
            <w:pPr>
              <w:jc w:val="right"/>
              <w:spacing w:after="0"/>
              <w:rPr>
                <w:sz w:val="20"/>
                <w:szCs w:val="20"/>
                <w:color w:val="auto"/>
              </w:rPr>
            </w:pPr>
            <w:r>
              <w:rPr>
                <w:rFonts w:ascii="Arial" w:cs="Arial" w:eastAsia="Arial" w:hAnsi="Arial"/>
                <w:sz w:val="15"/>
                <w:szCs w:val="15"/>
                <w:b w:val="1"/>
                <w:bCs w:val="1"/>
                <w:color w:val="auto"/>
              </w:rPr>
              <w:t>21.3%</w:t>
            </w:r>
          </w:p>
        </w:tc>
        <w:tc>
          <w:tcPr>
            <w:tcW w:w="1560" w:type="dxa"/>
            <w:vAlign w:val="bottom"/>
            <w:tcBorders>
              <w:top w:val="single" w:sz="8" w:color="DADAE7"/>
              <w:bottom w:val="single" w:sz="8" w:color="DADAE7"/>
            </w:tcBorders>
          </w:tcPr>
          <w:p>
            <w:pPr>
              <w:jc w:val="right"/>
              <w:ind w:right="105"/>
              <w:spacing w:after="0"/>
              <w:rPr>
                <w:sz w:val="20"/>
                <w:szCs w:val="20"/>
                <w:color w:val="auto"/>
              </w:rPr>
            </w:pPr>
            <w:r>
              <w:rPr>
                <w:rFonts w:ascii="Arial" w:cs="Arial" w:eastAsia="Arial" w:hAnsi="Arial"/>
                <w:sz w:val="15"/>
                <w:szCs w:val="15"/>
                <w:color w:val="auto"/>
              </w:rPr>
              <w:t>21.7%</w:t>
            </w:r>
          </w:p>
        </w:tc>
        <w:tc>
          <w:tcPr>
            <w:tcW w:w="1260" w:type="dxa"/>
            <w:vAlign w:val="bottom"/>
            <w:tcBorders>
              <w:top w:val="single" w:sz="8" w:color="DADAE7"/>
              <w:bottom w:val="single" w:sz="8" w:color="DADAE7"/>
            </w:tcBorders>
          </w:tcPr>
          <w:p>
            <w:pPr>
              <w:jc w:val="right"/>
              <w:spacing w:after="0"/>
              <w:rPr>
                <w:sz w:val="20"/>
                <w:szCs w:val="20"/>
                <w:color w:val="auto"/>
              </w:rPr>
            </w:pPr>
            <w:r>
              <w:rPr>
                <w:rFonts w:ascii="Arial" w:cs="Arial" w:eastAsia="Arial" w:hAnsi="Arial"/>
                <w:sz w:val="15"/>
                <w:szCs w:val="15"/>
                <w:b w:val="1"/>
                <w:bCs w:val="1"/>
                <w:color w:val="auto"/>
              </w:rPr>
              <w:t>21.0%</w:t>
            </w:r>
          </w:p>
        </w:tc>
        <w:tc>
          <w:tcPr>
            <w:tcW w:w="1420" w:type="dxa"/>
            <w:vAlign w:val="bottom"/>
            <w:tcBorders>
              <w:top w:val="single" w:sz="8" w:color="DADAE7"/>
              <w:bottom w:val="single" w:sz="8" w:color="DADAE7"/>
            </w:tcBorders>
          </w:tcPr>
          <w:p>
            <w:pPr>
              <w:jc w:val="right"/>
              <w:spacing w:after="0"/>
              <w:rPr>
                <w:sz w:val="20"/>
                <w:szCs w:val="20"/>
                <w:color w:val="auto"/>
              </w:rPr>
            </w:pPr>
            <w:r>
              <w:rPr>
                <w:rFonts w:ascii="Arial" w:cs="Arial" w:eastAsia="Arial" w:hAnsi="Arial"/>
                <w:sz w:val="15"/>
                <w:szCs w:val="15"/>
                <w:color w:val="auto"/>
              </w:rPr>
              <w:t>20.2%</w:t>
            </w:r>
          </w:p>
        </w:tc>
      </w:tr>
      <w:tr>
        <w:trPr>
          <w:trHeight w:val="196"/>
        </w:trPr>
        <w:tc>
          <w:tcPr>
            <w:tcW w:w="5700" w:type="dxa"/>
            <w:vAlign w:val="bottom"/>
            <w:tcBorders>
              <w:bottom w:val="single" w:sz="8" w:color="DADAE7"/>
            </w:tcBorders>
          </w:tcPr>
          <w:p>
            <w:pPr>
              <w:spacing w:after="0"/>
              <w:rPr>
                <w:sz w:val="17"/>
                <w:szCs w:val="17"/>
                <w:color w:val="auto"/>
              </w:rPr>
            </w:pPr>
          </w:p>
        </w:tc>
        <w:tc>
          <w:tcPr>
            <w:tcW w:w="1280" w:type="dxa"/>
            <w:vAlign w:val="bottom"/>
            <w:tcBorders>
              <w:bottom w:val="single" w:sz="8" w:color="DADAE7"/>
            </w:tcBorders>
            <w:shd w:val="clear" w:color="auto" w:fill="F4EFF6"/>
          </w:tcPr>
          <w:p>
            <w:pPr>
              <w:spacing w:after="0"/>
              <w:rPr>
                <w:sz w:val="17"/>
                <w:szCs w:val="17"/>
                <w:color w:val="auto"/>
              </w:rPr>
            </w:pPr>
          </w:p>
        </w:tc>
        <w:tc>
          <w:tcPr>
            <w:tcW w:w="1560" w:type="dxa"/>
            <w:vAlign w:val="bottom"/>
            <w:tcBorders>
              <w:bottom w:val="single" w:sz="8" w:color="DADAE7"/>
            </w:tcBorders>
          </w:tcPr>
          <w:p>
            <w:pPr>
              <w:spacing w:after="0"/>
              <w:rPr>
                <w:sz w:val="17"/>
                <w:szCs w:val="17"/>
                <w:color w:val="auto"/>
              </w:rPr>
            </w:pPr>
          </w:p>
        </w:tc>
        <w:tc>
          <w:tcPr>
            <w:tcW w:w="1260" w:type="dxa"/>
            <w:vAlign w:val="bottom"/>
            <w:tcBorders>
              <w:bottom w:val="single" w:sz="8" w:color="DADAE7"/>
            </w:tcBorders>
            <w:shd w:val="clear" w:color="auto" w:fill="F4EFF6"/>
          </w:tcPr>
          <w:p>
            <w:pPr>
              <w:spacing w:after="0"/>
              <w:rPr>
                <w:sz w:val="17"/>
                <w:szCs w:val="17"/>
                <w:color w:val="auto"/>
              </w:rPr>
            </w:pPr>
          </w:p>
        </w:tc>
        <w:tc>
          <w:tcPr>
            <w:tcW w:w="1420" w:type="dxa"/>
            <w:vAlign w:val="bottom"/>
            <w:tcBorders>
              <w:bottom w:val="single" w:sz="8" w:color="DADAE7"/>
            </w:tcBorders>
          </w:tcPr>
          <w:p>
            <w:pPr>
              <w:spacing w:after="0"/>
              <w:rPr>
                <w:sz w:val="17"/>
                <w:szCs w:val="17"/>
                <w:color w:val="auto"/>
              </w:rPr>
            </w:pPr>
          </w:p>
        </w:tc>
      </w:tr>
      <w:tr>
        <w:trPr>
          <w:trHeight w:val="236"/>
        </w:trPr>
        <w:tc>
          <w:tcPr>
            <w:tcW w:w="5700" w:type="dxa"/>
            <w:vAlign w:val="bottom"/>
          </w:tcPr>
          <w:p>
            <w:pPr>
              <w:ind w:left="20"/>
              <w:spacing w:after="0"/>
              <w:rPr>
                <w:sz w:val="20"/>
                <w:szCs w:val="20"/>
                <w:color w:val="auto"/>
              </w:rPr>
            </w:pPr>
            <w:r>
              <w:rPr>
                <w:rFonts w:ascii="Arial" w:cs="Arial" w:eastAsia="Arial" w:hAnsi="Arial"/>
                <w:sz w:val="15"/>
                <w:szCs w:val="15"/>
                <w:b w:val="1"/>
                <w:bCs w:val="1"/>
                <w:color w:val="auto"/>
              </w:rPr>
              <w:t>Basic Earnings per Share ($)</w:t>
            </w:r>
          </w:p>
        </w:tc>
        <w:tc>
          <w:tcPr>
            <w:tcW w:w="1280" w:type="dxa"/>
            <w:vAlign w:val="bottom"/>
            <w:tcBorders>
              <w:bottom w:val="single" w:sz="8" w:color="F4EFF6"/>
            </w:tcBorders>
            <w:shd w:val="clear" w:color="auto" w:fill="F4EFF6"/>
          </w:tcPr>
          <w:p>
            <w:pPr>
              <w:jc w:val="right"/>
              <w:ind w:right="145"/>
              <w:spacing w:after="0"/>
              <w:rPr>
                <w:sz w:val="20"/>
                <w:szCs w:val="20"/>
                <w:color w:val="auto"/>
              </w:rPr>
            </w:pPr>
            <w:r>
              <w:rPr>
                <w:rFonts w:ascii="Arial" w:cs="Arial" w:eastAsia="Arial" w:hAnsi="Arial"/>
                <w:sz w:val="15"/>
                <w:szCs w:val="15"/>
                <w:b w:val="1"/>
                <w:bCs w:val="1"/>
                <w:color w:val="auto"/>
              </w:rPr>
              <w:t>1.03</w:t>
            </w:r>
          </w:p>
        </w:tc>
        <w:tc>
          <w:tcPr>
            <w:tcW w:w="1560" w:type="dxa"/>
            <w:vAlign w:val="bottom"/>
          </w:tcPr>
          <w:p>
            <w:pPr>
              <w:jc w:val="right"/>
              <w:ind w:right="285"/>
              <w:spacing w:after="0"/>
              <w:rPr>
                <w:sz w:val="20"/>
                <w:szCs w:val="20"/>
                <w:color w:val="auto"/>
              </w:rPr>
            </w:pPr>
            <w:r>
              <w:rPr>
                <w:rFonts w:ascii="Arial" w:cs="Arial" w:eastAsia="Arial" w:hAnsi="Arial"/>
                <w:sz w:val="15"/>
                <w:szCs w:val="15"/>
                <w:color w:val="auto"/>
              </w:rPr>
              <w:t>0.81</w:t>
            </w:r>
          </w:p>
        </w:tc>
        <w:tc>
          <w:tcPr>
            <w:tcW w:w="1260" w:type="dxa"/>
            <w:vAlign w:val="bottom"/>
            <w:tcBorders>
              <w:bottom w:val="single" w:sz="8" w:color="F4EFF6"/>
            </w:tcBorders>
            <w:shd w:val="clear" w:color="auto" w:fill="F4EFF6"/>
          </w:tcPr>
          <w:p>
            <w:pPr>
              <w:jc w:val="right"/>
              <w:ind w:right="125"/>
              <w:spacing w:after="0"/>
              <w:rPr>
                <w:sz w:val="20"/>
                <w:szCs w:val="20"/>
                <w:color w:val="auto"/>
              </w:rPr>
            </w:pPr>
            <w:r>
              <w:rPr>
                <w:rFonts w:ascii="Arial" w:cs="Arial" w:eastAsia="Arial" w:hAnsi="Arial"/>
                <w:sz w:val="15"/>
                <w:szCs w:val="15"/>
                <w:b w:val="1"/>
                <w:bCs w:val="1"/>
                <w:color w:val="auto"/>
              </w:rPr>
              <w:t>2.01</w:t>
            </w:r>
          </w:p>
        </w:tc>
        <w:tc>
          <w:tcPr>
            <w:tcW w:w="1420" w:type="dxa"/>
            <w:vAlign w:val="bottom"/>
          </w:tcPr>
          <w:p>
            <w:pPr>
              <w:jc w:val="right"/>
              <w:ind w:right="125"/>
              <w:spacing w:after="0"/>
              <w:rPr>
                <w:sz w:val="20"/>
                <w:szCs w:val="20"/>
                <w:color w:val="auto"/>
              </w:rPr>
            </w:pPr>
            <w:r>
              <w:rPr>
                <w:rFonts w:ascii="Arial" w:cs="Arial" w:eastAsia="Arial" w:hAnsi="Arial"/>
                <w:sz w:val="15"/>
                <w:szCs w:val="15"/>
                <w:color w:val="auto"/>
              </w:rPr>
              <w:t>1.41</w:t>
            </w:r>
          </w:p>
        </w:tc>
      </w:tr>
      <w:tr>
        <w:trPr>
          <w:trHeight w:val="237"/>
        </w:trPr>
        <w:tc>
          <w:tcPr>
            <w:tcW w:w="5700" w:type="dxa"/>
            <w:vAlign w:val="bottom"/>
            <w:tcBorders>
              <w:top w:val="single" w:sz="8" w:color="DADAE7"/>
              <w:bottom w:val="single" w:sz="8" w:color="DADAE7"/>
            </w:tcBorders>
          </w:tcPr>
          <w:p>
            <w:pPr>
              <w:ind w:left="20"/>
              <w:spacing w:after="0"/>
              <w:rPr>
                <w:sz w:val="20"/>
                <w:szCs w:val="20"/>
                <w:color w:val="auto"/>
              </w:rPr>
            </w:pPr>
            <w:r>
              <w:rPr>
                <w:rFonts w:ascii="Arial" w:cs="Arial" w:eastAsia="Arial" w:hAnsi="Arial"/>
                <w:sz w:val="15"/>
                <w:szCs w:val="15"/>
                <w:b w:val="1"/>
                <w:bCs w:val="1"/>
                <w:color w:val="auto"/>
              </w:rPr>
              <w:t>Diluted Earnings per Share ($)</w:t>
            </w:r>
            <w:r>
              <w:rPr>
                <w:rFonts w:ascii="Arial" w:cs="Arial" w:eastAsia="Arial" w:hAnsi="Arial"/>
                <w:sz w:val="19"/>
                <w:szCs w:val="19"/>
                <w:b w:val="1"/>
                <w:bCs w:val="1"/>
                <w:color w:val="auto"/>
                <w:vertAlign w:val="superscript"/>
              </w:rPr>
              <w:t>13</w:t>
            </w:r>
          </w:p>
        </w:tc>
        <w:tc>
          <w:tcPr>
            <w:tcW w:w="1280" w:type="dxa"/>
            <w:vAlign w:val="bottom"/>
            <w:tcBorders>
              <w:top w:val="single" w:sz="8" w:color="DADAE7"/>
              <w:bottom w:val="single" w:sz="8" w:color="DADAE7"/>
            </w:tcBorders>
            <w:shd w:val="clear" w:color="auto" w:fill="F4EFF6"/>
          </w:tcPr>
          <w:p>
            <w:pPr>
              <w:jc w:val="right"/>
              <w:ind w:right="145"/>
              <w:spacing w:after="0"/>
              <w:rPr>
                <w:sz w:val="20"/>
                <w:szCs w:val="20"/>
                <w:color w:val="auto"/>
              </w:rPr>
            </w:pPr>
            <w:r>
              <w:rPr>
                <w:rFonts w:ascii="Arial" w:cs="Arial" w:eastAsia="Arial" w:hAnsi="Arial"/>
                <w:sz w:val="15"/>
                <w:szCs w:val="15"/>
                <w:b w:val="1"/>
                <w:bCs w:val="1"/>
                <w:color w:val="auto"/>
              </w:rPr>
              <w:t>0.98</w:t>
            </w:r>
          </w:p>
        </w:tc>
        <w:tc>
          <w:tcPr>
            <w:tcW w:w="1560" w:type="dxa"/>
            <w:vAlign w:val="bottom"/>
            <w:tcBorders>
              <w:top w:val="single" w:sz="8" w:color="DADAE7"/>
              <w:bottom w:val="single" w:sz="8" w:color="DADAE7"/>
            </w:tcBorders>
          </w:tcPr>
          <w:p>
            <w:pPr>
              <w:jc w:val="right"/>
              <w:ind w:right="285"/>
              <w:spacing w:after="0"/>
              <w:rPr>
                <w:sz w:val="20"/>
                <w:szCs w:val="20"/>
                <w:color w:val="auto"/>
              </w:rPr>
            </w:pPr>
            <w:r>
              <w:rPr>
                <w:rFonts w:ascii="Arial" w:cs="Arial" w:eastAsia="Arial" w:hAnsi="Arial"/>
                <w:sz w:val="15"/>
                <w:szCs w:val="15"/>
                <w:color w:val="auto"/>
              </w:rPr>
              <w:t>0.76</w:t>
            </w:r>
          </w:p>
        </w:tc>
        <w:tc>
          <w:tcPr>
            <w:tcW w:w="1260" w:type="dxa"/>
            <w:vAlign w:val="bottom"/>
            <w:tcBorders>
              <w:top w:val="single" w:sz="8" w:color="DADAE7"/>
              <w:bottom w:val="single" w:sz="8" w:color="DADAE7"/>
            </w:tcBorders>
            <w:shd w:val="clear" w:color="auto" w:fill="F4EFF6"/>
          </w:tcPr>
          <w:p>
            <w:pPr>
              <w:jc w:val="right"/>
              <w:ind w:right="125"/>
              <w:spacing w:after="0"/>
              <w:rPr>
                <w:sz w:val="20"/>
                <w:szCs w:val="20"/>
                <w:color w:val="auto"/>
              </w:rPr>
            </w:pPr>
            <w:r>
              <w:rPr>
                <w:rFonts w:ascii="Arial" w:cs="Arial" w:eastAsia="Arial" w:hAnsi="Arial"/>
                <w:sz w:val="15"/>
                <w:szCs w:val="15"/>
                <w:b w:val="1"/>
                <w:bCs w:val="1"/>
                <w:color w:val="auto"/>
              </w:rPr>
              <w:t>1.91</w:t>
            </w:r>
          </w:p>
        </w:tc>
        <w:tc>
          <w:tcPr>
            <w:tcW w:w="1420" w:type="dxa"/>
            <w:vAlign w:val="bottom"/>
            <w:tcBorders>
              <w:top w:val="single" w:sz="8" w:color="DADAE7"/>
              <w:bottom w:val="single" w:sz="8" w:color="DADAE7"/>
            </w:tcBorders>
          </w:tcPr>
          <w:p>
            <w:pPr>
              <w:jc w:val="right"/>
              <w:ind w:right="125"/>
              <w:spacing w:after="0"/>
              <w:rPr>
                <w:sz w:val="20"/>
                <w:szCs w:val="20"/>
                <w:color w:val="auto"/>
              </w:rPr>
            </w:pPr>
            <w:r>
              <w:rPr>
                <w:rFonts w:ascii="Arial" w:cs="Arial" w:eastAsia="Arial" w:hAnsi="Arial"/>
                <w:sz w:val="15"/>
                <w:szCs w:val="15"/>
                <w:color w:val="auto"/>
              </w:rPr>
              <w:t>1.32</w:t>
            </w:r>
          </w:p>
        </w:tc>
      </w:tr>
      <w:tr>
        <w:trPr>
          <w:trHeight w:val="196"/>
        </w:trPr>
        <w:tc>
          <w:tcPr>
            <w:tcW w:w="5700" w:type="dxa"/>
            <w:vAlign w:val="bottom"/>
            <w:tcBorders>
              <w:bottom w:val="single" w:sz="8" w:color="DADAE7"/>
            </w:tcBorders>
          </w:tcPr>
          <w:p>
            <w:pPr>
              <w:spacing w:after="0"/>
              <w:rPr>
                <w:sz w:val="17"/>
                <w:szCs w:val="17"/>
                <w:color w:val="auto"/>
              </w:rPr>
            </w:pPr>
          </w:p>
        </w:tc>
        <w:tc>
          <w:tcPr>
            <w:tcW w:w="1280" w:type="dxa"/>
            <w:vAlign w:val="bottom"/>
            <w:tcBorders>
              <w:bottom w:val="single" w:sz="8" w:color="DADAE7"/>
            </w:tcBorders>
            <w:shd w:val="clear" w:color="auto" w:fill="F4EFF6"/>
          </w:tcPr>
          <w:p>
            <w:pPr>
              <w:spacing w:after="0"/>
              <w:rPr>
                <w:sz w:val="17"/>
                <w:szCs w:val="17"/>
                <w:color w:val="auto"/>
              </w:rPr>
            </w:pPr>
          </w:p>
        </w:tc>
        <w:tc>
          <w:tcPr>
            <w:tcW w:w="1560" w:type="dxa"/>
            <w:vAlign w:val="bottom"/>
            <w:tcBorders>
              <w:bottom w:val="single" w:sz="8" w:color="DADAE7"/>
            </w:tcBorders>
          </w:tcPr>
          <w:p>
            <w:pPr>
              <w:spacing w:after="0"/>
              <w:rPr>
                <w:sz w:val="17"/>
                <w:szCs w:val="17"/>
                <w:color w:val="auto"/>
              </w:rPr>
            </w:pPr>
          </w:p>
        </w:tc>
        <w:tc>
          <w:tcPr>
            <w:tcW w:w="1260" w:type="dxa"/>
            <w:vAlign w:val="bottom"/>
            <w:tcBorders>
              <w:bottom w:val="single" w:sz="8" w:color="DADAE7"/>
            </w:tcBorders>
            <w:shd w:val="clear" w:color="auto" w:fill="F4EFF6"/>
          </w:tcPr>
          <w:p>
            <w:pPr>
              <w:spacing w:after="0"/>
              <w:rPr>
                <w:sz w:val="17"/>
                <w:szCs w:val="17"/>
                <w:color w:val="auto"/>
              </w:rPr>
            </w:pPr>
          </w:p>
        </w:tc>
        <w:tc>
          <w:tcPr>
            <w:tcW w:w="1420" w:type="dxa"/>
            <w:vAlign w:val="bottom"/>
            <w:tcBorders>
              <w:bottom w:val="single" w:sz="8" w:color="DADAE7"/>
            </w:tcBorders>
          </w:tcPr>
          <w:p>
            <w:pPr>
              <w:spacing w:after="0"/>
              <w:rPr>
                <w:sz w:val="17"/>
                <w:szCs w:val="17"/>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5"/>
                <w:szCs w:val="15"/>
                <w:b w:val="1"/>
                <w:bCs w:val="1"/>
                <w:color w:val="auto"/>
              </w:rPr>
              <w:t>Adjusted Basic Earnings per Share($)</w:t>
            </w:r>
          </w:p>
        </w:tc>
        <w:tc>
          <w:tcPr>
            <w:tcW w:w="1280" w:type="dxa"/>
            <w:vAlign w:val="bottom"/>
            <w:tcBorders>
              <w:bottom w:val="single" w:sz="8" w:color="F4EFF6"/>
            </w:tcBorders>
            <w:shd w:val="clear" w:color="auto" w:fill="F4EFF6"/>
          </w:tcPr>
          <w:p>
            <w:pPr>
              <w:jc w:val="right"/>
              <w:ind w:right="85"/>
              <w:spacing w:after="0"/>
              <w:rPr>
                <w:sz w:val="20"/>
                <w:szCs w:val="20"/>
                <w:color w:val="auto"/>
              </w:rPr>
            </w:pPr>
            <w:r>
              <w:rPr>
                <w:rFonts w:ascii="Arial" w:cs="Arial" w:eastAsia="Arial" w:hAnsi="Arial"/>
                <w:sz w:val="15"/>
                <w:szCs w:val="15"/>
                <w:b w:val="1"/>
                <w:bCs w:val="1"/>
                <w:color w:val="auto"/>
              </w:rPr>
              <w:t>1.08</w:t>
            </w:r>
          </w:p>
        </w:tc>
        <w:tc>
          <w:tcPr>
            <w:tcW w:w="1560" w:type="dxa"/>
            <w:vAlign w:val="bottom"/>
          </w:tcPr>
          <w:p>
            <w:pPr>
              <w:jc w:val="right"/>
              <w:ind w:right="245"/>
              <w:spacing w:after="0"/>
              <w:rPr>
                <w:sz w:val="20"/>
                <w:szCs w:val="20"/>
                <w:color w:val="auto"/>
              </w:rPr>
            </w:pPr>
            <w:r>
              <w:rPr>
                <w:rFonts w:ascii="Arial" w:cs="Arial" w:eastAsia="Arial" w:hAnsi="Arial"/>
                <w:sz w:val="15"/>
                <w:szCs w:val="15"/>
                <w:color w:val="auto"/>
              </w:rPr>
              <w:t>0.96</w:t>
            </w:r>
          </w:p>
        </w:tc>
        <w:tc>
          <w:tcPr>
            <w:tcW w:w="1260" w:type="dxa"/>
            <w:vAlign w:val="bottom"/>
            <w:tcBorders>
              <w:bottom w:val="single" w:sz="8" w:color="F4EFF6"/>
            </w:tcBorders>
            <w:shd w:val="clear" w:color="auto" w:fill="F4EFF6"/>
          </w:tcPr>
          <w:p>
            <w:pPr>
              <w:jc w:val="right"/>
              <w:ind w:right="85"/>
              <w:spacing w:after="0"/>
              <w:rPr>
                <w:sz w:val="20"/>
                <w:szCs w:val="20"/>
                <w:color w:val="auto"/>
              </w:rPr>
            </w:pPr>
            <w:r>
              <w:rPr>
                <w:rFonts w:ascii="Arial" w:cs="Arial" w:eastAsia="Arial" w:hAnsi="Arial"/>
                <w:sz w:val="15"/>
                <w:szCs w:val="15"/>
                <w:b w:val="1"/>
                <w:bCs w:val="1"/>
                <w:color w:val="auto"/>
              </w:rPr>
              <w:t>2.05</w:t>
            </w:r>
          </w:p>
        </w:tc>
        <w:tc>
          <w:tcPr>
            <w:tcW w:w="1420" w:type="dxa"/>
            <w:vAlign w:val="bottom"/>
          </w:tcPr>
          <w:p>
            <w:pPr>
              <w:jc w:val="right"/>
              <w:ind w:right="85"/>
              <w:spacing w:after="0"/>
              <w:rPr>
                <w:sz w:val="20"/>
                <w:szCs w:val="20"/>
                <w:color w:val="auto"/>
              </w:rPr>
            </w:pPr>
            <w:r>
              <w:rPr>
                <w:rFonts w:ascii="Arial" w:cs="Arial" w:eastAsia="Arial" w:hAnsi="Arial"/>
                <w:sz w:val="15"/>
                <w:szCs w:val="15"/>
                <w:color w:val="auto"/>
              </w:rPr>
              <w:t>1.70</w:t>
            </w:r>
          </w:p>
        </w:tc>
      </w:tr>
      <w:tr>
        <w:trPr>
          <w:trHeight w:val="236"/>
        </w:trPr>
        <w:tc>
          <w:tcPr>
            <w:tcW w:w="5700" w:type="dxa"/>
            <w:vAlign w:val="bottom"/>
            <w:tcBorders>
              <w:top w:val="single" w:sz="8" w:color="DADAE7"/>
              <w:bottom w:val="single" w:sz="8" w:color="DADAE7"/>
            </w:tcBorders>
          </w:tcPr>
          <w:p>
            <w:pPr>
              <w:ind w:left="20"/>
              <w:spacing w:after="0"/>
              <w:rPr>
                <w:sz w:val="20"/>
                <w:szCs w:val="20"/>
                <w:color w:val="auto"/>
              </w:rPr>
            </w:pPr>
            <w:r>
              <w:rPr>
                <w:rFonts w:ascii="Arial" w:cs="Arial" w:eastAsia="Arial" w:hAnsi="Arial"/>
                <w:sz w:val="15"/>
                <w:szCs w:val="15"/>
                <w:b w:val="1"/>
                <w:bCs w:val="1"/>
                <w:color w:val="auto"/>
              </w:rPr>
              <w:t>Adjusted Diluted Earnings per Share ($)</w:t>
            </w:r>
            <w:r>
              <w:rPr>
                <w:rFonts w:ascii="Arial" w:cs="Arial" w:eastAsia="Arial" w:hAnsi="Arial"/>
                <w:sz w:val="19"/>
                <w:szCs w:val="19"/>
                <w:b w:val="1"/>
                <w:bCs w:val="1"/>
                <w:color w:val="auto"/>
                <w:vertAlign w:val="superscript"/>
              </w:rPr>
              <w:t>13</w:t>
            </w:r>
          </w:p>
        </w:tc>
        <w:tc>
          <w:tcPr>
            <w:tcW w:w="1280" w:type="dxa"/>
            <w:vAlign w:val="bottom"/>
            <w:tcBorders>
              <w:top w:val="single" w:sz="8" w:color="DADAE7"/>
              <w:bottom w:val="single" w:sz="8" w:color="DADAE7"/>
            </w:tcBorders>
            <w:shd w:val="clear" w:color="auto" w:fill="F4EFF6"/>
          </w:tcPr>
          <w:p>
            <w:pPr>
              <w:jc w:val="right"/>
              <w:ind w:right="85"/>
              <w:spacing w:after="0"/>
              <w:rPr>
                <w:sz w:val="20"/>
                <w:szCs w:val="20"/>
                <w:color w:val="auto"/>
              </w:rPr>
            </w:pPr>
            <w:r>
              <w:rPr>
                <w:rFonts w:ascii="Arial" w:cs="Arial" w:eastAsia="Arial" w:hAnsi="Arial"/>
                <w:sz w:val="15"/>
                <w:szCs w:val="15"/>
                <w:b w:val="1"/>
                <w:bCs w:val="1"/>
                <w:color w:val="auto"/>
              </w:rPr>
              <w:t>1.02</w:t>
            </w:r>
          </w:p>
        </w:tc>
        <w:tc>
          <w:tcPr>
            <w:tcW w:w="1560" w:type="dxa"/>
            <w:vAlign w:val="bottom"/>
            <w:tcBorders>
              <w:top w:val="single" w:sz="8" w:color="DADAE7"/>
              <w:bottom w:val="single" w:sz="8" w:color="DADAE7"/>
            </w:tcBorders>
          </w:tcPr>
          <w:p>
            <w:pPr>
              <w:jc w:val="right"/>
              <w:ind w:right="245"/>
              <w:spacing w:after="0"/>
              <w:rPr>
                <w:sz w:val="20"/>
                <w:szCs w:val="20"/>
                <w:color w:val="auto"/>
              </w:rPr>
            </w:pPr>
            <w:r>
              <w:rPr>
                <w:rFonts w:ascii="Arial" w:cs="Arial" w:eastAsia="Arial" w:hAnsi="Arial"/>
                <w:sz w:val="15"/>
                <w:szCs w:val="15"/>
                <w:color w:val="auto"/>
              </w:rPr>
              <w:t>0.90</w:t>
            </w:r>
          </w:p>
        </w:tc>
        <w:tc>
          <w:tcPr>
            <w:tcW w:w="1260" w:type="dxa"/>
            <w:vAlign w:val="bottom"/>
            <w:tcBorders>
              <w:top w:val="single" w:sz="8" w:color="DADAE7"/>
              <w:bottom w:val="single" w:sz="8" w:color="DADAE7"/>
            </w:tcBorders>
            <w:shd w:val="clear" w:color="auto" w:fill="F4EFF6"/>
          </w:tcPr>
          <w:p>
            <w:pPr>
              <w:jc w:val="right"/>
              <w:ind w:right="85"/>
              <w:spacing w:after="0"/>
              <w:rPr>
                <w:sz w:val="20"/>
                <w:szCs w:val="20"/>
                <w:color w:val="auto"/>
              </w:rPr>
            </w:pPr>
            <w:r>
              <w:rPr>
                <w:rFonts w:ascii="Arial" w:cs="Arial" w:eastAsia="Arial" w:hAnsi="Arial"/>
                <w:sz w:val="15"/>
                <w:szCs w:val="15"/>
                <w:b w:val="1"/>
                <w:bCs w:val="1"/>
                <w:color w:val="auto"/>
              </w:rPr>
              <w:t>1.95</w:t>
            </w:r>
          </w:p>
        </w:tc>
        <w:tc>
          <w:tcPr>
            <w:tcW w:w="1420" w:type="dxa"/>
            <w:vAlign w:val="bottom"/>
            <w:tcBorders>
              <w:top w:val="single" w:sz="8" w:color="DADAE7"/>
              <w:bottom w:val="single" w:sz="8" w:color="DADAE7"/>
            </w:tcBorders>
          </w:tcPr>
          <w:p>
            <w:pPr>
              <w:jc w:val="right"/>
              <w:ind w:right="85"/>
              <w:spacing w:after="0"/>
              <w:rPr>
                <w:sz w:val="20"/>
                <w:szCs w:val="20"/>
                <w:color w:val="auto"/>
              </w:rPr>
            </w:pPr>
            <w:r>
              <w:rPr>
                <w:rFonts w:ascii="Arial" w:cs="Arial" w:eastAsia="Arial" w:hAnsi="Arial"/>
                <w:sz w:val="15"/>
                <w:szCs w:val="15"/>
                <w:color w:val="auto"/>
              </w:rPr>
              <w:t>1.59</w:t>
            </w:r>
          </w:p>
        </w:tc>
      </w:tr>
      <w:tr>
        <w:trPr>
          <w:trHeight w:val="196"/>
        </w:trPr>
        <w:tc>
          <w:tcPr>
            <w:tcW w:w="5700" w:type="dxa"/>
            <w:vAlign w:val="bottom"/>
            <w:tcBorders>
              <w:bottom w:val="single" w:sz="8" w:color="DADAE7"/>
            </w:tcBorders>
          </w:tcPr>
          <w:p>
            <w:pPr>
              <w:spacing w:after="0"/>
              <w:rPr>
                <w:sz w:val="17"/>
                <w:szCs w:val="17"/>
                <w:color w:val="auto"/>
              </w:rPr>
            </w:pPr>
          </w:p>
        </w:tc>
        <w:tc>
          <w:tcPr>
            <w:tcW w:w="1280" w:type="dxa"/>
            <w:vAlign w:val="bottom"/>
            <w:tcBorders>
              <w:bottom w:val="single" w:sz="8" w:color="DADAE7"/>
            </w:tcBorders>
            <w:shd w:val="clear" w:color="auto" w:fill="F4EFF6"/>
          </w:tcPr>
          <w:p>
            <w:pPr>
              <w:spacing w:after="0"/>
              <w:rPr>
                <w:sz w:val="17"/>
                <w:szCs w:val="17"/>
                <w:color w:val="auto"/>
              </w:rPr>
            </w:pPr>
          </w:p>
        </w:tc>
        <w:tc>
          <w:tcPr>
            <w:tcW w:w="1560" w:type="dxa"/>
            <w:vAlign w:val="bottom"/>
            <w:tcBorders>
              <w:bottom w:val="single" w:sz="8" w:color="DADAE7"/>
            </w:tcBorders>
          </w:tcPr>
          <w:p>
            <w:pPr>
              <w:spacing w:after="0"/>
              <w:rPr>
                <w:sz w:val="17"/>
                <w:szCs w:val="17"/>
                <w:color w:val="auto"/>
              </w:rPr>
            </w:pPr>
          </w:p>
        </w:tc>
        <w:tc>
          <w:tcPr>
            <w:tcW w:w="1260" w:type="dxa"/>
            <w:vAlign w:val="bottom"/>
            <w:tcBorders>
              <w:bottom w:val="single" w:sz="8" w:color="DADAE7"/>
            </w:tcBorders>
            <w:shd w:val="clear" w:color="auto" w:fill="F4EFF6"/>
          </w:tcPr>
          <w:p>
            <w:pPr>
              <w:spacing w:after="0"/>
              <w:rPr>
                <w:sz w:val="17"/>
                <w:szCs w:val="17"/>
                <w:color w:val="auto"/>
              </w:rPr>
            </w:pPr>
          </w:p>
        </w:tc>
        <w:tc>
          <w:tcPr>
            <w:tcW w:w="1420" w:type="dxa"/>
            <w:vAlign w:val="bottom"/>
            <w:tcBorders>
              <w:bottom w:val="single" w:sz="8" w:color="DADAE7"/>
            </w:tcBorders>
          </w:tcPr>
          <w:p>
            <w:pPr>
              <w:spacing w:after="0"/>
              <w:rPr>
                <w:sz w:val="17"/>
                <w:szCs w:val="17"/>
                <w:color w:val="auto"/>
              </w:rPr>
            </w:pPr>
          </w:p>
        </w:tc>
      </w:tr>
      <w:tr>
        <w:trPr>
          <w:trHeight w:val="236"/>
        </w:trPr>
        <w:tc>
          <w:tcPr>
            <w:tcW w:w="5700" w:type="dxa"/>
            <w:vAlign w:val="bottom"/>
          </w:tcPr>
          <w:p>
            <w:pPr>
              <w:ind w:left="20"/>
              <w:spacing w:after="0"/>
              <w:rPr>
                <w:sz w:val="20"/>
                <w:szCs w:val="20"/>
                <w:color w:val="auto"/>
              </w:rPr>
            </w:pPr>
            <w:r>
              <w:rPr>
                <w:rFonts w:ascii="Arial" w:cs="Arial" w:eastAsia="Arial" w:hAnsi="Arial"/>
                <w:sz w:val="15"/>
                <w:szCs w:val="15"/>
                <w:b w:val="1"/>
                <w:bCs w:val="1"/>
                <w:color w:val="auto"/>
              </w:rPr>
              <w:t>Weighted average number of shares</w:t>
            </w:r>
          </w:p>
        </w:tc>
        <w:tc>
          <w:tcPr>
            <w:tcW w:w="128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71,450,299</w:t>
            </w:r>
          </w:p>
        </w:tc>
        <w:tc>
          <w:tcPr>
            <w:tcW w:w="1560" w:type="dxa"/>
            <w:vAlign w:val="bottom"/>
          </w:tcPr>
          <w:p>
            <w:pPr>
              <w:jc w:val="right"/>
              <w:ind w:right="85"/>
              <w:spacing w:after="0"/>
              <w:rPr>
                <w:sz w:val="20"/>
                <w:szCs w:val="20"/>
                <w:color w:val="auto"/>
              </w:rPr>
            </w:pPr>
            <w:r>
              <w:rPr>
                <w:rFonts w:ascii="Arial" w:cs="Arial" w:eastAsia="Arial" w:hAnsi="Arial"/>
                <w:sz w:val="15"/>
                <w:szCs w:val="15"/>
                <w:color w:val="auto"/>
              </w:rPr>
              <w:t>69,349,518</w:t>
            </w:r>
          </w:p>
        </w:tc>
        <w:tc>
          <w:tcPr>
            <w:tcW w:w="126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70,998,545</w:t>
            </w:r>
          </w:p>
        </w:tc>
        <w:tc>
          <w:tcPr>
            <w:tcW w:w="1420" w:type="dxa"/>
            <w:vAlign w:val="bottom"/>
          </w:tcPr>
          <w:p>
            <w:pPr>
              <w:jc w:val="right"/>
              <w:spacing w:after="0"/>
              <w:rPr>
                <w:sz w:val="20"/>
                <w:szCs w:val="20"/>
                <w:color w:val="auto"/>
              </w:rPr>
            </w:pPr>
            <w:r>
              <w:rPr>
                <w:rFonts w:ascii="Arial" w:cs="Arial" w:eastAsia="Arial" w:hAnsi="Arial"/>
                <w:sz w:val="15"/>
                <w:szCs w:val="15"/>
                <w:color w:val="auto"/>
              </w:rPr>
              <w:t>68,160,724</w:t>
            </w:r>
          </w:p>
        </w:tc>
      </w:tr>
      <w:tr>
        <w:trPr>
          <w:trHeight w:val="237"/>
        </w:trPr>
        <w:tc>
          <w:tcPr>
            <w:tcW w:w="5700" w:type="dxa"/>
            <w:vAlign w:val="bottom"/>
            <w:tcBorders>
              <w:top w:val="single" w:sz="8" w:color="DADAE7"/>
            </w:tcBorders>
          </w:tcPr>
          <w:p>
            <w:pPr>
              <w:ind w:left="20"/>
              <w:spacing w:after="0"/>
              <w:rPr>
                <w:sz w:val="20"/>
                <w:szCs w:val="20"/>
                <w:color w:val="auto"/>
              </w:rPr>
            </w:pPr>
            <w:r>
              <w:rPr>
                <w:rFonts w:ascii="Arial" w:cs="Arial" w:eastAsia="Arial" w:hAnsi="Arial"/>
                <w:sz w:val="15"/>
                <w:szCs w:val="15"/>
                <w:b w:val="1"/>
                <w:bCs w:val="1"/>
                <w:color w:val="auto"/>
              </w:rPr>
              <w:t>Period end number of shares</w:t>
            </w:r>
          </w:p>
        </w:tc>
        <w:tc>
          <w:tcPr>
            <w:tcW w:w="12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71,699,922</w:t>
            </w:r>
          </w:p>
        </w:tc>
        <w:tc>
          <w:tcPr>
            <w:tcW w:w="1560" w:type="dxa"/>
            <w:vAlign w:val="bottom"/>
            <w:tcBorders>
              <w:top w:val="single" w:sz="8" w:color="DADAE7"/>
            </w:tcBorders>
          </w:tcPr>
          <w:p>
            <w:pPr>
              <w:jc w:val="right"/>
              <w:ind w:right="85"/>
              <w:spacing w:after="0"/>
              <w:rPr>
                <w:sz w:val="20"/>
                <w:szCs w:val="20"/>
                <w:color w:val="auto"/>
              </w:rPr>
            </w:pPr>
            <w:r>
              <w:rPr>
                <w:rFonts w:ascii="Arial" w:cs="Arial" w:eastAsia="Arial" w:hAnsi="Arial"/>
                <w:sz w:val="15"/>
                <w:szCs w:val="15"/>
                <w:color w:val="auto"/>
              </w:rPr>
              <w:t>70,290,886</w:t>
            </w:r>
          </w:p>
        </w:tc>
        <w:tc>
          <w:tcPr>
            <w:tcW w:w="12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71,699,922</w:t>
            </w:r>
          </w:p>
        </w:tc>
        <w:tc>
          <w:tcPr>
            <w:tcW w:w="142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70,290,886</w:t>
            </w:r>
          </w:p>
        </w:tc>
      </w:tr>
      <w:tr>
        <w:trPr>
          <w:trHeight w:val="196"/>
        </w:trPr>
        <w:tc>
          <w:tcPr>
            <w:tcW w:w="5700" w:type="dxa"/>
            <w:vAlign w:val="bottom"/>
            <w:tcBorders>
              <w:top w:val="single" w:sz="8" w:color="DADAE7"/>
              <w:bottom w:val="single" w:sz="8" w:color="DADAE7"/>
            </w:tcBorders>
          </w:tcPr>
          <w:p>
            <w:pPr>
              <w:spacing w:after="0"/>
              <w:rPr>
                <w:sz w:val="17"/>
                <w:szCs w:val="17"/>
                <w:color w:val="auto"/>
              </w:rPr>
            </w:pPr>
          </w:p>
        </w:tc>
        <w:tc>
          <w:tcPr>
            <w:tcW w:w="1280" w:type="dxa"/>
            <w:vAlign w:val="bottom"/>
            <w:tcBorders>
              <w:top w:val="single" w:sz="8" w:color="DADAE7"/>
              <w:bottom w:val="single" w:sz="8" w:color="DADAE7"/>
            </w:tcBorders>
            <w:shd w:val="clear" w:color="auto" w:fill="F4EFF6"/>
          </w:tcPr>
          <w:p>
            <w:pPr>
              <w:spacing w:after="0"/>
              <w:rPr>
                <w:sz w:val="17"/>
                <w:szCs w:val="17"/>
                <w:color w:val="auto"/>
              </w:rPr>
            </w:pPr>
          </w:p>
        </w:tc>
        <w:tc>
          <w:tcPr>
            <w:tcW w:w="1560" w:type="dxa"/>
            <w:vAlign w:val="bottom"/>
            <w:tcBorders>
              <w:top w:val="single" w:sz="8" w:color="DADAE7"/>
              <w:bottom w:val="single" w:sz="8" w:color="DADAE7"/>
            </w:tcBorders>
          </w:tcPr>
          <w:p>
            <w:pPr>
              <w:spacing w:after="0"/>
              <w:rPr>
                <w:sz w:val="17"/>
                <w:szCs w:val="17"/>
                <w:color w:val="auto"/>
              </w:rPr>
            </w:pPr>
          </w:p>
        </w:tc>
        <w:tc>
          <w:tcPr>
            <w:tcW w:w="1260" w:type="dxa"/>
            <w:vAlign w:val="bottom"/>
            <w:tcBorders>
              <w:top w:val="single" w:sz="8" w:color="DADAE7"/>
              <w:bottom w:val="single" w:sz="8" w:color="DADAE7"/>
            </w:tcBorders>
            <w:shd w:val="clear" w:color="auto" w:fill="F4EFF6"/>
          </w:tcPr>
          <w:p>
            <w:pPr>
              <w:spacing w:after="0"/>
              <w:rPr>
                <w:sz w:val="17"/>
                <w:szCs w:val="17"/>
                <w:color w:val="auto"/>
              </w:rPr>
            </w:pPr>
          </w:p>
        </w:tc>
        <w:tc>
          <w:tcPr>
            <w:tcW w:w="1420" w:type="dxa"/>
            <w:vAlign w:val="bottom"/>
            <w:tcBorders>
              <w:top w:val="single" w:sz="8" w:color="DADAE7"/>
              <w:bottom w:val="single" w:sz="8" w:color="DADAE7"/>
            </w:tcBorders>
          </w:tcPr>
          <w:p>
            <w:pPr>
              <w:spacing w:after="0"/>
              <w:rPr>
                <w:sz w:val="17"/>
                <w:szCs w:val="17"/>
                <w:color w:val="auto"/>
              </w:rPr>
            </w:pPr>
          </w:p>
        </w:tc>
      </w:tr>
      <w:tr>
        <w:trPr>
          <w:trHeight w:val="237"/>
        </w:trPr>
        <w:tc>
          <w:tcPr>
            <w:tcW w:w="5700" w:type="dxa"/>
            <w:vAlign w:val="bottom"/>
            <w:tcBorders>
              <w:bottom w:val="single" w:sz="8" w:color="DADAE7"/>
            </w:tcBorders>
          </w:tcPr>
          <w:p>
            <w:pPr>
              <w:ind w:left="20"/>
              <w:spacing w:after="0"/>
              <w:rPr>
                <w:sz w:val="20"/>
                <w:szCs w:val="20"/>
                <w:color w:val="auto"/>
              </w:rPr>
            </w:pPr>
            <w:r>
              <w:rPr>
                <w:rFonts w:ascii="Arial" w:cs="Arial" w:eastAsia="Arial" w:hAnsi="Arial"/>
                <w:sz w:val="15"/>
                <w:szCs w:val="15"/>
                <w:b w:val="1"/>
                <w:bCs w:val="1"/>
                <w:color w:val="auto"/>
              </w:rPr>
              <w:t>Common Equity</w:t>
            </w:r>
            <w:r>
              <w:rPr>
                <w:rFonts w:ascii="Arial" w:cs="Arial" w:eastAsia="Arial" w:hAnsi="Arial"/>
                <w:sz w:val="19"/>
                <w:szCs w:val="19"/>
                <w:b w:val="1"/>
                <w:bCs w:val="1"/>
                <w:color w:val="auto"/>
                <w:vertAlign w:val="superscript"/>
              </w:rPr>
              <w:t>14</w:t>
            </w:r>
          </w:p>
        </w:tc>
        <w:tc>
          <w:tcPr>
            <w:tcW w:w="1280" w:type="dxa"/>
            <w:vAlign w:val="bottom"/>
            <w:tcBorders>
              <w:bottom w:val="single" w:sz="8" w:color="DADAE7"/>
            </w:tcBorders>
            <w:shd w:val="clear" w:color="auto" w:fill="F4EFF6"/>
          </w:tcPr>
          <w:p>
            <w:pPr>
              <w:jc w:val="right"/>
              <w:ind w:right="85"/>
              <w:spacing w:after="0"/>
              <w:rPr>
                <w:sz w:val="20"/>
                <w:szCs w:val="20"/>
                <w:color w:val="auto"/>
              </w:rPr>
            </w:pPr>
            <w:r>
              <w:rPr>
                <w:rFonts w:ascii="Arial" w:cs="Arial" w:eastAsia="Arial" w:hAnsi="Arial"/>
                <w:sz w:val="15"/>
                <w:szCs w:val="15"/>
                <w:b w:val="1"/>
                <w:bCs w:val="1"/>
                <w:color w:val="auto"/>
              </w:rPr>
              <w:t>981.1</w:t>
            </w:r>
          </w:p>
        </w:tc>
        <w:tc>
          <w:tcPr>
            <w:tcW w:w="1560" w:type="dxa"/>
            <w:vAlign w:val="bottom"/>
            <w:tcBorders>
              <w:bottom w:val="single" w:sz="8" w:color="DADAE7"/>
            </w:tcBorders>
          </w:tcPr>
          <w:p>
            <w:pPr>
              <w:jc w:val="right"/>
              <w:ind w:right="245"/>
              <w:spacing w:after="0"/>
              <w:rPr>
                <w:sz w:val="20"/>
                <w:szCs w:val="20"/>
                <w:color w:val="auto"/>
              </w:rPr>
            </w:pPr>
            <w:r>
              <w:rPr>
                <w:rFonts w:ascii="Arial" w:cs="Arial" w:eastAsia="Arial" w:hAnsi="Arial"/>
                <w:sz w:val="15"/>
                <w:szCs w:val="15"/>
                <w:color w:val="auto"/>
              </w:rPr>
              <w:t>729.2</w:t>
            </w:r>
          </w:p>
        </w:tc>
        <w:tc>
          <w:tcPr>
            <w:tcW w:w="1260" w:type="dxa"/>
            <w:vAlign w:val="bottom"/>
            <w:tcBorders>
              <w:bottom w:val="single" w:sz="8" w:color="DADAE7"/>
            </w:tcBorders>
            <w:shd w:val="clear" w:color="auto" w:fill="F4EFF6"/>
          </w:tcPr>
          <w:p>
            <w:pPr>
              <w:jc w:val="right"/>
              <w:ind w:right="85"/>
              <w:spacing w:after="0"/>
              <w:rPr>
                <w:sz w:val="20"/>
                <w:szCs w:val="20"/>
                <w:color w:val="auto"/>
              </w:rPr>
            </w:pPr>
            <w:r>
              <w:rPr>
                <w:rFonts w:ascii="Arial" w:cs="Arial" w:eastAsia="Arial" w:hAnsi="Arial"/>
                <w:sz w:val="15"/>
                <w:szCs w:val="15"/>
                <w:b w:val="1"/>
                <w:bCs w:val="1"/>
                <w:color w:val="auto"/>
              </w:rPr>
              <w:t>946.4</w:t>
            </w:r>
          </w:p>
        </w:tc>
        <w:tc>
          <w:tcPr>
            <w:tcW w:w="1420" w:type="dxa"/>
            <w:vAlign w:val="bottom"/>
            <w:tcBorders>
              <w:bottom w:val="single" w:sz="8" w:color="DADAE7"/>
            </w:tcBorders>
          </w:tcPr>
          <w:p>
            <w:pPr>
              <w:jc w:val="right"/>
              <w:ind w:right="85"/>
              <w:spacing w:after="0"/>
              <w:rPr>
                <w:sz w:val="20"/>
                <w:szCs w:val="20"/>
                <w:color w:val="auto"/>
              </w:rPr>
            </w:pPr>
            <w:r>
              <w:rPr>
                <w:rFonts w:ascii="Arial" w:cs="Arial" w:eastAsia="Arial" w:hAnsi="Arial"/>
                <w:sz w:val="15"/>
                <w:szCs w:val="15"/>
                <w:color w:val="auto"/>
              </w:rPr>
              <w:t>731.5</w:t>
            </w:r>
          </w:p>
        </w:tc>
      </w:tr>
      <w:tr>
        <w:trPr>
          <w:trHeight w:val="211"/>
        </w:trPr>
        <w:tc>
          <w:tcPr>
            <w:tcW w:w="5700" w:type="dxa"/>
            <w:vAlign w:val="bottom"/>
          </w:tcPr>
          <w:p>
            <w:pPr>
              <w:ind w:left="20"/>
              <w:spacing w:after="0"/>
              <w:rPr>
                <w:sz w:val="20"/>
                <w:szCs w:val="20"/>
                <w:color w:val="auto"/>
              </w:rPr>
            </w:pPr>
            <w:r>
              <w:rPr>
                <w:rFonts w:ascii="Arial" w:cs="Arial" w:eastAsia="Arial" w:hAnsi="Arial"/>
                <w:sz w:val="15"/>
                <w:szCs w:val="15"/>
                <w:b w:val="1"/>
                <w:bCs w:val="1"/>
                <w:color w:val="auto"/>
              </w:rPr>
              <w:t>Adjusted Return on Equity (%)</w:t>
            </w: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31.4%</w:t>
            </w:r>
          </w:p>
        </w:tc>
        <w:tc>
          <w:tcPr>
            <w:tcW w:w="1560" w:type="dxa"/>
            <w:vAlign w:val="bottom"/>
          </w:tcPr>
          <w:p>
            <w:pPr>
              <w:jc w:val="right"/>
              <w:ind w:right="105"/>
              <w:spacing w:after="0"/>
              <w:rPr>
                <w:sz w:val="20"/>
                <w:szCs w:val="20"/>
                <w:color w:val="auto"/>
              </w:rPr>
            </w:pPr>
            <w:r>
              <w:rPr>
                <w:rFonts w:ascii="Arial" w:cs="Arial" w:eastAsia="Arial" w:hAnsi="Arial"/>
                <w:sz w:val="15"/>
                <w:szCs w:val="15"/>
                <w:color w:val="auto"/>
              </w:rPr>
              <w:t>36.6%</w:t>
            </w: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30.7%</w:t>
            </w:r>
          </w:p>
        </w:tc>
        <w:tc>
          <w:tcPr>
            <w:tcW w:w="1420" w:type="dxa"/>
            <w:vAlign w:val="bottom"/>
          </w:tcPr>
          <w:p>
            <w:pPr>
              <w:jc w:val="right"/>
              <w:spacing w:after="0"/>
              <w:rPr>
                <w:sz w:val="20"/>
                <w:szCs w:val="20"/>
                <w:color w:val="auto"/>
              </w:rPr>
            </w:pPr>
            <w:r>
              <w:rPr>
                <w:rFonts w:ascii="Arial" w:cs="Arial" w:eastAsia="Arial" w:hAnsi="Arial"/>
                <w:sz w:val="15"/>
                <w:szCs w:val="15"/>
                <w:color w:val="auto"/>
              </w:rPr>
              <w:t>31.6%</w:t>
            </w:r>
          </w:p>
        </w:tc>
      </w:tr>
      <w:tr>
        <w:trPr>
          <w:trHeight w:val="25"/>
        </w:trPr>
        <w:tc>
          <w:tcPr>
            <w:tcW w:w="5700" w:type="dxa"/>
            <w:vAlign w:val="bottom"/>
            <w:tcBorders>
              <w:bottom w:val="single" w:sz="8" w:color="793690"/>
            </w:tcBorders>
          </w:tcPr>
          <w:p>
            <w:pPr>
              <w:spacing w:after="0"/>
              <w:rPr>
                <w:sz w:val="2"/>
                <w:szCs w:val="2"/>
                <w:color w:val="auto"/>
              </w:rPr>
            </w:pPr>
          </w:p>
        </w:tc>
        <w:tc>
          <w:tcPr>
            <w:tcW w:w="1280" w:type="dxa"/>
            <w:vAlign w:val="bottom"/>
            <w:tcBorders>
              <w:bottom w:val="single" w:sz="8" w:color="793690"/>
            </w:tcBorders>
          </w:tcPr>
          <w:p>
            <w:pPr>
              <w:spacing w:after="0"/>
              <w:rPr>
                <w:sz w:val="2"/>
                <w:szCs w:val="2"/>
                <w:color w:val="auto"/>
              </w:rPr>
            </w:pPr>
          </w:p>
        </w:tc>
        <w:tc>
          <w:tcPr>
            <w:tcW w:w="1560" w:type="dxa"/>
            <w:vAlign w:val="bottom"/>
            <w:tcBorders>
              <w:bottom w:val="single" w:sz="8" w:color="793690"/>
            </w:tcBorders>
          </w:tcPr>
          <w:p>
            <w:pPr>
              <w:spacing w:after="0"/>
              <w:rPr>
                <w:sz w:val="2"/>
                <w:szCs w:val="2"/>
                <w:color w:val="auto"/>
              </w:rPr>
            </w:pPr>
          </w:p>
        </w:tc>
        <w:tc>
          <w:tcPr>
            <w:tcW w:w="1260" w:type="dxa"/>
            <w:vAlign w:val="bottom"/>
            <w:tcBorders>
              <w:bottom w:val="single" w:sz="8" w:color="793690"/>
            </w:tcBorders>
          </w:tcPr>
          <w:p>
            <w:pPr>
              <w:spacing w:after="0"/>
              <w:rPr>
                <w:sz w:val="2"/>
                <w:szCs w:val="2"/>
                <w:color w:val="auto"/>
              </w:rPr>
            </w:pPr>
          </w:p>
        </w:tc>
        <w:tc>
          <w:tcPr>
            <w:tcW w:w="1420" w:type="dxa"/>
            <w:vAlign w:val="bottom"/>
            <w:tcBorders>
              <w:bottom w:val="single" w:sz="8" w:color="793690"/>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-2185670</wp:posOffset>
            </wp:positionV>
            <wp:extent cx="702945" cy="325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945" cy="3257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-2185670</wp:posOffset>
            </wp:positionV>
            <wp:extent cx="702945" cy="325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945" cy="3257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-334010</wp:posOffset>
            </wp:positionV>
            <wp:extent cx="702945"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2945" cy="3257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-334010</wp:posOffset>
            </wp:positionV>
            <wp:extent cx="702945" cy="325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945" cy="325755"/>
                    </a:xfrm>
                    <a:prstGeom prst="rect">
                      <a:avLst/>
                    </a:prstGeom>
                    <a:noFill/>
                  </pic:spPr>
                </pic:pic>
              </a:graphicData>
            </a:graphic>
          </wp:anchor>
        </w:drawing>
      </w:r>
    </w:p>
    <w:p>
      <w:pPr>
        <w:spacing w:after="0" w:line="277"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1"/>
          <w:szCs w:val="11"/>
          <w:color w:val="auto"/>
        </w:rPr>
      </w:pPr>
      <w:r>
        <w:rPr>
          <w:rFonts w:ascii="Arial" w:cs="Arial" w:eastAsia="Arial" w:hAnsi="Arial"/>
          <w:sz w:val="11"/>
          <w:szCs w:val="11"/>
          <w:color w:val="auto"/>
        </w:rPr>
        <w:t>A bargain purchase gain was recognised as a result of the Group's acquisition of Darton Group Limited (“Darton”).</w:t>
      </w:r>
    </w:p>
    <w:p>
      <w:pPr>
        <w:spacing w:after="0" w:line="49" w:lineRule="exact"/>
        <w:rPr>
          <w:rFonts w:ascii="Arial" w:cs="Arial" w:eastAsia="Arial" w:hAnsi="Arial"/>
          <w:sz w:val="11"/>
          <w:szCs w:val="11"/>
          <w:color w:val="auto"/>
        </w:rPr>
      </w:pPr>
    </w:p>
    <w:p>
      <w:pPr>
        <w:ind w:left="220" w:hanging="212"/>
        <w:spacing w:after="0"/>
        <w:tabs>
          <w:tab w:leader="none" w:pos="220" w:val="left"/>
        </w:tabs>
        <w:numPr>
          <w:ilvl w:val="0"/>
          <w:numId w:val="20"/>
        </w:numPr>
        <w:rPr>
          <w:rFonts w:ascii="Arial" w:cs="Arial" w:eastAsia="Arial" w:hAnsi="Arial"/>
          <w:sz w:val="11"/>
          <w:szCs w:val="11"/>
          <w:color w:val="auto"/>
        </w:rPr>
      </w:pPr>
      <w:r>
        <w:rPr>
          <w:rFonts w:ascii="Arial" w:cs="Arial" w:eastAsia="Arial" w:hAnsi="Arial"/>
          <w:sz w:val="11"/>
          <w:szCs w:val="11"/>
          <w:color w:val="auto"/>
        </w:rPr>
        <w:t>Acquisition costs are costs, such as legal fees incurred in relation to the business acquisitions of ED&amp;F Man Capital Markets business, the OTCex group and Cowen's Prime Services and Outsourced Trading business.</w:t>
      </w:r>
    </w:p>
    <w:p>
      <w:pPr>
        <w:spacing w:after="0" w:line="62" w:lineRule="exact"/>
        <w:rPr>
          <w:rFonts w:ascii="Arial" w:cs="Arial" w:eastAsia="Arial" w:hAnsi="Arial"/>
          <w:sz w:val="11"/>
          <w:szCs w:val="11"/>
          <w:color w:val="auto"/>
        </w:rPr>
      </w:pPr>
    </w:p>
    <w:p>
      <w:pPr>
        <w:ind w:left="220" w:hanging="212"/>
        <w:spacing w:after="0"/>
        <w:tabs>
          <w:tab w:leader="none" w:pos="220" w:val="left"/>
        </w:tabs>
        <w:numPr>
          <w:ilvl w:val="0"/>
          <w:numId w:val="20"/>
        </w:numPr>
        <w:rPr>
          <w:rFonts w:ascii="Arial" w:cs="Arial" w:eastAsia="Arial" w:hAnsi="Arial"/>
          <w:sz w:val="11"/>
          <w:szCs w:val="11"/>
          <w:color w:val="auto"/>
        </w:rPr>
      </w:pPr>
      <w:r>
        <w:rPr>
          <w:rFonts w:ascii="Arial" w:cs="Arial" w:eastAsia="Arial" w:hAnsi="Arial"/>
          <w:sz w:val="11"/>
          <w:szCs w:val="11"/>
          <w:color w:val="auto"/>
        </w:rPr>
        <w:t>This represents the amortisation charge for the year/period of acquired brands and customers lists.</w:t>
      </w:r>
    </w:p>
    <w:p>
      <w:pPr>
        <w:spacing w:after="0" w:line="49" w:lineRule="exact"/>
        <w:rPr>
          <w:rFonts w:ascii="Arial" w:cs="Arial" w:eastAsia="Arial" w:hAnsi="Arial"/>
          <w:sz w:val="11"/>
          <w:szCs w:val="11"/>
          <w:color w:val="auto"/>
        </w:rPr>
      </w:pPr>
    </w:p>
    <w:p>
      <w:pPr>
        <w:ind w:left="160" w:right="280" w:hanging="152"/>
        <w:spacing w:after="0" w:line="285" w:lineRule="auto"/>
        <w:tabs>
          <w:tab w:leader="none" w:pos="222" w:val="left"/>
        </w:tabs>
        <w:numPr>
          <w:ilvl w:val="0"/>
          <w:numId w:val="20"/>
        </w:numPr>
        <w:rPr>
          <w:rFonts w:ascii="Arial" w:cs="Arial" w:eastAsia="Arial" w:hAnsi="Arial"/>
          <w:sz w:val="11"/>
          <w:szCs w:val="11"/>
          <w:color w:val="auto"/>
        </w:rPr>
      </w:pPr>
      <w:r>
        <w:rPr>
          <w:rFonts w:ascii="Arial" w:cs="Arial" w:eastAsia="Arial" w:hAnsi="Arial"/>
          <w:sz w:val="11"/>
          <w:szCs w:val="11"/>
          <w:color w:val="auto"/>
        </w:rPr>
        <w:t>Activities in relation to shareholders primarily consist of dividend-like contributions made to participants within certain of our share-based payments schemes. In prior years, this balance was presented as part of amortisation of acquired brands and customer lists.</w:t>
      </w:r>
    </w:p>
    <w:p>
      <w:pPr>
        <w:spacing w:after="0" w:line="23" w:lineRule="exact"/>
        <w:rPr>
          <w:rFonts w:ascii="Arial" w:cs="Arial" w:eastAsia="Arial" w:hAnsi="Arial"/>
          <w:sz w:val="11"/>
          <w:szCs w:val="11"/>
          <w:color w:val="auto"/>
        </w:rPr>
      </w:pPr>
    </w:p>
    <w:p>
      <w:pPr>
        <w:ind w:left="220" w:hanging="212"/>
        <w:spacing w:after="0"/>
        <w:tabs>
          <w:tab w:leader="none" w:pos="220" w:val="left"/>
        </w:tabs>
        <w:numPr>
          <w:ilvl w:val="0"/>
          <w:numId w:val="20"/>
        </w:numPr>
        <w:rPr>
          <w:rFonts w:ascii="Arial" w:cs="Arial" w:eastAsia="Arial" w:hAnsi="Arial"/>
          <w:sz w:val="11"/>
          <w:szCs w:val="11"/>
          <w:color w:val="auto"/>
        </w:rPr>
      </w:pPr>
      <w:r>
        <w:rPr>
          <w:rFonts w:ascii="Arial" w:cs="Arial" w:eastAsia="Arial" w:hAnsi="Arial"/>
          <w:sz w:val="11"/>
          <w:szCs w:val="11"/>
          <w:color w:val="auto"/>
        </w:rPr>
        <w:t>Employer tax on vesting of the growth shares represents the Group's tax charge arising from the vesting of the growth shares.</w:t>
      </w:r>
    </w:p>
    <w:p>
      <w:pPr>
        <w:spacing w:after="0" w:line="49" w:lineRule="exact"/>
        <w:rPr>
          <w:rFonts w:ascii="Arial" w:cs="Arial" w:eastAsia="Arial" w:hAnsi="Arial"/>
          <w:sz w:val="11"/>
          <w:szCs w:val="11"/>
          <w:color w:val="auto"/>
        </w:rPr>
      </w:pPr>
    </w:p>
    <w:p>
      <w:pPr>
        <w:ind w:left="160" w:right="160" w:hanging="152"/>
        <w:spacing w:after="0" w:line="285" w:lineRule="auto"/>
        <w:tabs>
          <w:tab w:leader="none" w:pos="228" w:val="left"/>
        </w:tabs>
        <w:numPr>
          <w:ilvl w:val="0"/>
          <w:numId w:val="20"/>
        </w:numPr>
        <w:rPr>
          <w:rFonts w:ascii="Arial" w:cs="Arial" w:eastAsia="Arial" w:hAnsi="Arial"/>
          <w:sz w:val="11"/>
          <w:szCs w:val="11"/>
          <w:color w:val="auto"/>
        </w:rPr>
      </w:pPr>
      <w:r>
        <w:rPr>
          <w:rFonts w:ascii="Arial" w:cs="Arial" w:eastAsia="Arial" w:hAnsi="Arial"/>
          <w:sz w:val="11"/>
          <w:szCs w:val="11"/>
          <w:color w:val="auto"/>
        </w:rPr>
        <w:t>Owner fees relate to management services to parties associated with the former ultimate controlling party based on a percentage of the Group’s profitability. Owner fees are excluded from operating expenses as they do not form part of the operation of the business and ceased to be incurred after the completion of our offering.</w:t>
      </w:r>
    </w:p>
    <w:p>
      <w:pPr>
        <w:spacing w:after="0" w:line="10" w:lineRule="exact"/>
        <w:rPr>
          <w:rFonts w:ascii="Arial" w:cs="Arial" w:eastAsia="Arial" w:hAnsi="Arial"/>
          <w:sz w:val="11"/>
          <w:szCs w:val="11"/>
          <w:color w:val="auto"/>
        </w:rPr>
      </w:pPr>
    </w:p>
    <w:p>
      <w:pPr>
        <w:ind w:left="220" w:hanging="212"/>
        <w:spacing w:after="0"/>
        <w:tabs>
          <w:tab w:leader="none" w:pos="220" w:val="left"/>
        </w:tabs>
        <w:numPr>
          <w:ilvl w:val="0"/>
          <w:numId w:val="20"/>
        </w:numPr>
        <w:rPr>
          <w:rFonts w:ascii="Arial" w:cs="Arial" w:eastAsia="Arial" w:hAnsi="Arial"/>
          <w:sz w:val="11"/>
          <w:szCs w:val="11"/>
          <w:color w:val="auto"/>
        </w:rPr>
      </w:pPr>
      <w:r>
        <w:rPr>
          <w:rFonts w:ascii="Arial" w:cs="Arial" w:eastAsia="Arial" w:hAnsi="Arial"/>
          <w:sz w:val="11"/>
          <w:szCs w:val="11"/>
          <w:color w:val="auto"/>
        </w:rPr>
        <w:t>IPO preparation costs related to consulting, legal and audit fees, presented in the income statement within other expenses.</w:t>
      </w:r>
    </w:p>
    <w:p>
      <w:pPr>
        <w:spacing w:after="0" w:line="62" w:lineRule="exact"/>
        <w:rPr>
          <w:rFonts w:ascii="Arial" w:cs="Arial" w:eastAsia="Arial" w:hAnsi="Arial"/>
          <w:sz w:val="11"/>
          <w:szCs w:val="11"/>
          <w:color w:val="auto"/>
        </w:rPr>
      </w:pPr>
    </w:p>
    <w:p>
      <w:pPr>
        <w:ind w:left="160" w:right="40" w:hanging="152"/>
        <w:spacing w:after="0" w:line="285" w:lineRule="auto"/>
        <w:tabs>
          <w:tab w:leader="none" w:pos="228" w:val="left"/>
        </w:tabs>
        <w:numPr>
          <w:ilvl w:val="0"/>
          <w:numId w:val="20"/>
        </w:numPr>
        <w:rPr>
          <w:rFonts w:ascii="Arial" w:cs="Arial" w:eastAsia="Arial" w:hAnsi="Arial"/>
          <w:sz w:val="11"/>
          <w:szCs w:val="11"/>
          <w:color w:val="auto"/>
        </w:rPr>
      </w:pPr>
      <w:r>
        <w:rPr>
          <w:rFonts w:ascii="Arial" w:cs="Arial" w:eastAsia="Arial" w:hAnsi="Arial"/>
          <w:sz w:val="11"/>
          <w:szCs w:val="11"/>
          <w:color w:val="auto"/>
        </w:rPr>
        <w:t>Fair value of the cash settlement option on the growth shares represents the fair value liability of the growth shares at $2.3m. Subsequent to the initial public offering when the holders of the growth shares elected to take equity, the liability was derecognised.</w:t>
      </w:r>
    </w:p>
    <w:p>
      <w:pPr>
        <w:spacing w:after="0" w:line="10" w:lineRule="exact"/>
        <w:rPr>
          <w:rFonts w:ascii="Arial" w:cs="Arial" w:eastAsia="Arial" w:hAnsi="Arial"/>
          <w:sz w:val="11"/>
          <w:szCs w:val="11"/>
          <w:color w:val="auto"/>
        </w:rPr>
      </w:pPr>
    </w:p>
    <w:p>
      <w:pPr>
        <w:ind w:left="220" w:hanging="212"/>
        <w:spacing w:after="0"/>
        <w:tabs>
          <w:tab w:leader="none" w:pos="220" w:val="left"/>
        </w:tabs>
        <w:numPr>
          <w:ilvl w:val="0"/>
          <w:numId w:val="20"/>
        </w:numPr>
        <w:rPr>
          <w:rFonts w:ascii="Arial" w:cs="Arial" w:eastAsia="Arial" w:hAnsi="Arial"/>
          <w:sz w:val="11"/>
          <w:szCs w:val="11"/>
          <w:color w:val="auto"/>
        </w:rPr>
      </w:pPr>
      <w:r>
        <w:rPr>
          <w:rFonts w:ascii="Arial" w:cs="Arial" w:eastAsia="Arial" w:hAnsi="Arial"/>
          <w:sz w:val="11"/>
          <w:szCs w:val="11"/>
          <w:color w:val="auto"/>
        </w:rPr>
        <w:t>Costs relating to the public offerings of ordinary shares by certain selling shareholders.</w:t>
      </w:r>
    </w:p>
    <w:p>
      <w:pPr>
        <w:spacing w:after="0" w:line="63" w:lineRule="exact"/>
        <w:rPr>
          <w:sz w:val="20"/>
          <w:szCs w:val="20"/>
          <w:color w:val="auto"/>
        </w:rPr>
      </w:pPr>
    </w:p>
    <w:p>
      <w:pPr>
        <w:spacing w:after="0"/>
        <w:rPr>
          <w:sz w:val="20"/>
          <w:szCs w:val="20"/>
          <w:color w:val="auto"/>
        </w:rPr>
      </w:pPr>
      <w:r>
        <w:rPr>
          <w:rFonts w:ascii="Arial" w:cs="Arial" w:eastAsia="Arial" w:hAnsi="Arial"/>
          <w:sz w:val="11"/>
          <w:szCs w:val="11"/>
          <w:color w:val="auto"/>
        </w:rPr>
        <w:t>10.Adjusting Operating Tax represents the tax effect on the Group's non-operating adjusting items and the tax benefit of the coupons..</w:t>
      </w:r>
    </w:p>
    <w:p>
      <w:pPr>
        <w:spacing w:after="0" w:line="49" w:lineRule="exact"/>
        <w:rPr>
          <w:sz w:val="20"/>
          <w:szCs w:val="20"/>
          <w:color w:val="auto"/>
        </w:rPr>
      </w:pPr>
    </w:p>
    <w:p>
      <w:pPr>
        <w:spacing w:after="0"/>
        <w:rPr>
          <w:sz w:val="20"/>
          <w:szCs w:val="20"/>
          <w:color w:val="auto"/>
        </w:rPr>
      </w:pPr>
      <w:r>
        <w:rPr>
          <w:rFonts w:ascii="Arial" w:cs="Arial" w:eastAsia="Arial" w:hAnsi="Arial"/>
          <w:sz w:val="11"/>
          <w:szCs w:val="11"/>
          <w:color w:val="auto"/>
        </w:rPr>
        <w:t>11.Profit attributable to Additional Tier 1 (AT1) note holders includes the coupons on the AT1 which are accounted for as dividends.</w:t>
      </w:r>
    </w:p>
    <w:p>
      <w:pPr>
        <w:spacing w:after="0" w:line="63" w:lineRule="exact"/>
        <w:rPr>
          <w:sz w:val="20"/>
          <w:szCs w:val="20"/>
          <w:color w:val="auto"/>
        </w:rPr>
      </w:pPr>
    </w:p>
    <w:p>
      <w:pPr>
        <w:spacing w:after="0"/>
        <w:rPr>
          <w:sz w:val="20"/>
          <w:szCs w:val="20"/>
          <w:color w:val="auto"/>
        </w:rPr>
      </w:pPr>
      <w:r>
        <w:rPr>
          <w:rFonts w:ascii="Arial" w:cs="Arial" w:eastAsia="Arial" w:hAnsi="Arial"/>
          <w:sz w:val="11"/>
          <w:szCs w:val="11"/>
          <w:color w:val="auto"/>
        </w:rPr>
        <w:t>12.Adjusted Profit Before Tax Margin is calculated by dividing Adjusted Profit Before Tax (as defined above) by revenue for the period.</w:t>
      </w:r>
    </w:p>
    <w:p>
      <w:pPr>
        <w:spacing w:after="0" w:line="63" w:lineRule="exact"/>
        <w:rPr>
          <w:sz w:val="20"/>
          <w:szCs w:val="20"/>
          <w:color w:val="auto"/>
        </w:rPr>
      </w:pPr>
    </w:p>
    <w:p>
      <w:pPr>
        <w:spacing w:after="0"/>
        <w:rPr>
          <w:sz w:val="20"/>
          <w:szCs w:val="20"/>
          <w:color w:val="auto"/>
        </w:rPr>
      </w:pPr>
      <w:r>
        <w:rPr>
          <w:rFonts w:ascii="Arial" w:cs="Arial" w:eastAsia="Arial" w:hAnsi="Arial"/>
          <w:sz w:val="10"/>
          <w:szCs w:val="10"/>
          <w:color w:val="auto"/>
        </w:rPr>
        <w:t>13.The weighted average numbers of diluted shares used in the calculation of earnings per share are as follows: three months ended 30 June 2025 75,101,773; three months ended 30 June 2024 74,083,017; six months ended 30 June</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1"/>
          <w:szCs w:val="11"/>
          <w:color w:val="auto"/>
        </w:rPr>
        <w:t>2025 74,650,019; six months ended 30 June 2024 72,894,223.</w:t>
      </w:r>
    </w:p>
    <w:p>
      <w:pPr>
        <w:spacing w:after="0" w:line="53" w:lineRule="exact"/>
        <w:rPr>
          <w:sz w:val="20"/>
          <w:szCs w:val="20"/>
          <w:color w:val="auto"/>
        </w:rPr>
      </w:pPr>
    </w:p>
    <w:p>
      <w:pPr>
        <w:ind w:left="160" w:right="60" w:hanging="141"/>
        <w:spacing w:after="0" w:line="259" w:lineRule="auto"/>
        <w:rPr>
          <w:sz w:val="20"/>
          <w:szCs w:val="20"/>
          <w:color w:val="auto"/>
        </w:rPr>
      </w:pPr>
      <w:r>
        <w:rPr>
          <w:rFonts w:ascii="Arial" w:cs="Arial" w:eastAsia="Arial" w:hAnsi="Arial"/>
          <w:sz w:val="11"/>
          <w:szCs w:val="11"/>
          <w:color w:val="auto"/>
        </w:rPr>
        <w:t>14.Common Equity for each three-month period is calculated as the average balance of total equity minus additional Tier 1 capital as at 31 March and 30 June of the related year. Common Equity for each six-month period is calculated as the average balance of total equity minus additional Tier 1 capital as at 31 December of the prior year and 31 March and 30 June of the current year.</w:t>
      </w:r>
    </w:p>
    <w:p>
      <w:pPr>
        <w:sectPr>
          <w:pgSz w:w="11900" w:h="16838" w:orient="portrait"/>
          <w:cols w:equalWidth="0" w:num="1">
            <w:col w:w="11220"/>
          </w:cols>
          <w:pgMar w:left="320" w:top="135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16</w:t>
      </w:r>
    </w:p>
    <w:p>
      <w:pPr>
        <w:sectPr>
          <w:pgSz w:w="11900" w:h="16838" w:orient="portrait"/>
          <w:cols w:equalWidth="0" w:num="1">
            <w:col w:w="11220"/>
          </w:cols>
          <w:pgMar w:left="320" w:top="1353" w:right="35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22"/>
          <w:szCs w:val="22"/>
          <w:b w:val="1"/>
          <w:bCs w:val="1"/>
          <w:color w:val="793690"/>
        </w:rPr>
        <w:t>Appendix 2 – Supplementary Financial Information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tables present the Group's segmental revenue for the periods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80" w:type="dxa"/>
            <w:vAlign w:val="bottom"/>
          </w:tcPr>
          <w:p>
            <w:pPr>
              <w:spacing w:after="0"/>
              <w:rPr>
                <w:sz w:val="13"/>
                <w:szCs w:val="13"/>
                <w:color w:val="auto"/>
              </w:rPr>
            </w:pPr>
          </w:p>
        </w:tc>
        <w:tc>
          <w:tcPr>
            <w:tcW w:w="1160" w:type="dxa"/>
            <w:vAlign w:val="bottom"/>
            <w:shd w:val="clear" w:color="auto" w:fill="F4EFF6"/>
          </w:tcPr>
          <w:p>
            <w:pPr>
              <w:spacing w:after="0"/>
              <w:rPr>
                <w:sz w:val="13"/>
                <w:szCs w:val="13"/>
                <w:color w:val="auto"/>
              </w:rPr>
            </w:pPr>
          </w:p>
        </w:tc>
        <w:tc>
          <w:tcPr>
            <w:tcW w:w="1280" w:type="dxa"/>
            <w:vAlign w:val="bottom"/>
            <w:shd w:val="clear" w:color="auto" w:fill="F4EFF6"/>
          </w:tcPr>
          <w:p>
            <w:pPr>
              <w:spacing w:after="0"/>
              <w:rPr>
                <w:sz w:val="13"/>
                <w:szCs w:val="13"/>
                <w:color w:val="auto"/>
              </w:rPr>
            </w:pPr>
          </w:p>
        </w:tc>
        <w:tc>
          <w:tcPr>
            <w:tcW w:w="1560" w:type="dxa"/>
            <w:vAlign w:val="bottom"/>
            <w:shd w:val="clear" w:color="auto" w:fill="F4EFF6"/>
          </w:tcPr>
          <w:p>
            <w:pPr>
              <w:spacing w:after="0"/>
              <w:rPr>
                <w:sz w:val="13"/>
                <w:szCs w:val="13"/>
                <w:color w:val="auto"/>
              </w:rPr>
            </w:pPr>
          </w:p>
        </w:tc>
        <w:tc>
          <w:tcPr>
            <w:tcW w:w="1380" w:type="dxa"/>
            <w:vAlign w:val="bottom"/>
            <w:shd w:val="clear" w:color="auto" w:fill="F4EFF6"/>
          </w:tcPr>
          <w:p>
            <w:pPr>
              <w:jc w:val="right"/>
              <w:ind w:right="270"/>
              <w:spacing w:after="0"/>
              <w:rPr>
                <w:sz w:val="20"/>
                <w:szCs w:val="20"/>
                <w:color w:val="auto"/>
              </w:rPr>
            </w:pPr>
            <w:r>
              <w:rPr>
                <w:rFonts w:ascii="Arial" w:cs="Arial" w:eastAsia="Arial" w:hAnsi="Arial"/>
                <w:sz w:val="13"/>
                <w:szCs w:val="13"/>
                <w:b w:val="1"/>
                <w:bCs w:val="1"/>
                <w:color w:val="auto"/>
              </w:rPr>
              <w:t>Hedging and</w:t>
            </w:r>
          </w:p>
        </w:tc>
        <w:tc>
          <w:tcPr>
            <w:tcW w:w="1380" w:type="dxa"/>
            <w:vAlign w:val="bottom"/>
            <w:shd w:val="clear" w:color="auto" w:fill="F4EFF6"/>
          </w:tcPr>
          <w:p>
            <w:pPr>
              <w:spacing w:after="0"/>
              <w:rPr>
                <w:sz w:val="13"/>
                <w:szCs w:val="13"/>
                <w:color w:val="auto"/>
              </w:rPr>
            </w:pPr>
          </w:p>
        </w:tc>
        <w:tc>
          <w:tcPr>
            <w:tcW w:w="880" w:type="dxa"/>
            <w:vAlign w:val="bottom"/>
            <w:shd w:val="clear" w:color="auto" w:fill="F4EFF6"/>
          </w:tcPr>
          <w:p>
            <w:pPr>
              <w:spacing w:after="0"/>
              <w:rPr>
                <w:sz w:val="13"/>
                <w:szCs w:val="13"/>
                <w:color w:val="auto"/>
              </w:rPr>
            </w:pPr>
          </w:p>
        </w:tc>
      </w:tr>
      <w:tr>
        <w:trPr>
          <w:trHeight w:val="162"/>
        </w:trPr>
        <w:tc>
          <w:tcPr>
            <w:tcW w:w="3580" w:type="dxa"/>
            <w:vAlign w:val="bottom"/>
          </w:tcPr>
          <w:p>
            <w:pPr>
              <w:spacing w:after="0"/>
              <w:rPr>
                <w:sz w:val="14"/>
                <w:szCs w:val="14"/>
                <w:color w:val="auto"/>
              </w:rPr>
            </w:pPr>
          </w:p>
        </w:tc>
        <w:tc>
          <w:tcPr>
            <w:tcW w:w="1160" w:type="dxa"/>
            <w:vAlign w:val="bottom"/>
            <w:shd w:val="clear" w:color="auto" w:fill="F4EFF6"/>
          </w:tcPr>
          <w:p>
            <w:pPr>
              <w:spacing w:after="0"/>
              <w:rPr>
                <w:sz w:val="14"/>
                <w:szCs w:val="14"/>
                <w:color w:val="auto"/>
              </w:rPr>
            </w:pPr>
          </w:p>
        </w:tc>
        <w:tc>
          <w:tcPr>
            <w:tcW w:w="128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Agency and</w:t>
            </w:r>
          </w:p>
        </w:tc>
        <w:tc>
          <w:tcPr>
            <w:tcW w:w="1560" w:type="dxa"/>
            <w:vAlign w:val="bottom"/>
            <w:shd w:val="clear" w:color="auto" w:fill="F4EFF6"/>
          </w:tcPr>
          <w:p>
            <w:pPr>
              <w:spacing w:after="0"/>
              <w:rPr>
                <w:sz w:val="14"/>
                <w:szCs w:val="14"/>
                <w:color w:val="auto"/>
              </w:rPr>
            </w:pPr>
          </w:p>
        </w:tc>
        <w:tc>
          <w:tcPr>
            <w:tcW w:w="1380" w:type="dxa"/>
            <w:vAlign w:val="bottom"/>
            <w:shd w:val="clear" w:color="auto" w:fill="F4EFF6"/>
          </w:tcPr>
          <w:p>
            <w:pPr>
              <w:jc w:val="right"/>
              <w:ind w:right="270"/>
              <w:spacing w:after="0"/>
              <w:rPr>
                <w:sz w:val="20"/>
                <w:szCs w:val="20"/>
                <w:color w:val="auto"/>
              </w:rPr>
            </w:pPr>
            <w:r>
              <w:rPr>
                <w:rFonts w:ascii="Arial" w:cs="Arial" w:eastAsia="Arial" w:hAnsi="Arial"/>
                <w:sz w:val="13"/>
                <w:szCs w:val="13"/>
                <w:b w:val="1"/>
                <w:bCs w:val="1"/>
                <w:color w:val="auto"/>
              </w:rPr>
              <w:t>Investment</w:t>
            </w:r>
          </w:p>
        </w:tc>
        <w:tc>
          <w:tcPr>
            <w:tcW w:w="1380" w:type="dxa"/>
            <w:vAlign w:val="bottom"/>
            <w:shd w:val="clear" w:color="auto" w:fill="F4EFF6"/>
          </w:tcPr>
          <w:p>
            <w:pPr>
              <w:spacing w:after="0"/>
              <w:rPr>
                <w:sz w:val="14"/>
                <w:szCs w:val="14"/>
                <w:color w:val="auto"/>
              </w:rPr>
            </w:pPr>
          </w:p>
        </w:tc>
        <w:tc>
          <w:tcPr>
            <w:tcW w:w="880" w:type="dxa"/>
            <w:vAlign w:val="bottom"/>
            <w:shd w:val="clear" w:color="auto" w:fill="F4EFF6"/>
          </w:tcPr>
          <w:p>
            <w:pPr>
              <w:spacing w:after="0"/>
              <w:rPr>
                <w:sz w:val="14"/>
                <w:szCs w:val="14"/>
                <w:color w:val="auto"/>
              </w:rPr>
            </w:pPr>
          </w:p>
        </w:tc>
      </w:tr>
      <w:tr>
        <w:trPr>
          <w:trHeight w:val="172"/>
        </w:trPr>
        <w:tc>
          <w:tcPr>
            <w:tcW w:w="3580" w:type="dxa"/>
            <w:vAlign w:val="bottom"/>
          </w:tcPr>
          <w:p>
            <w:pPr>
              <w:spacing w:after="0"/>
              <w:rPr>
                <w:sz w:val="14"/>
                <w:szCs w:val="14"/>
                <w:color w:val="auto"/>
              </w:rPr>
            </w:pPr>
          </w:p>
        </w:tc>
        <w:tc>
          <w:tcPr>
            <w:tcW w:w="116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Clearing</w:t>
            </w:r>
          </w:p>
        </w:tc>
        <w:tc>
          <w:tcPr>
            <w:tcW w:w="128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Execution</w:t>
            </w:r>
          </w:p>
        </w:tc>
        <w:tc>
          <w:tcPr>
            <w:tcW w:w="1560" w:type="dxa"/>
            <w:vAlign w:val="bottom"/>
            <w:shd w:val="clear" w:color="auto" w:fill="F4EFF6"/>
          </w:tcPr>
          <w:p>
            <w:pPr>
              <w:jc w:val="right"/>
              <w:ind w:right="207"/>
              <w:spacing w:after="0"/>
              <w:rPr>
                <w:sz w:val="20"/>
                <w:szCs w:val="20"/>
                <w:color w:val="auto"/>
              </w:rPr>
            </w:pPr>
            <w:r>
              <w:rPr>
                <w:rFonts w:ascii="Arial" w:cs="Arial" w:eastAsia="Arial" w:hAnsi="Arial"/>
                <w:sz w:val="13"/>
                <w:szCs w:val="13"/>
                <w:b w:val="1"/>
                <w:bCs w:val="1"/>
                <w:color w:val="auto"/>
              </w:rPr>
              <w:t>Market Making</w:t>
            </w:r>
          </w:p>
        </w:tc>
        <w:tc>
          <w:tcPr>
            <w:tcW w:w="1380" w:type="dxa"/>
            <w:vAlign w:val="bottom"/>
            <w:shd w:val="clear" w:color="auto" w:fill="F4EFF6"/>
          </w:tcPr>
          <w:p>
            <w:pPr>
              <w:jc w:val="right"/>
              <w:ind w:right="270"/>
              <w:spacing w:after="0"/>
              <w:rPr>
                <w:sz w:val="20"/>
                <w:szCs w:val="20"/>
                <w:color w:val="auto"/>
              </w:rPr>
            </w:pPr>
            <w:r>
              <w:rPr>
                <w:rFonts w:ascii="Arial" w:cs="Arial" w:eastAsia="Arial" w:hAnsi="Arial"/>
                <w:sz w:val="13"/>
                <w:szCs w:val="13"/>
                <w:b w:val="1"/>
                <w:bCs w:val="1"/>
                <w:color w:val="auto"/>
              </w:rPr>
              <w:t>Solutions</w:t>
            </w:r>
          </w:p>
        </w:tc>
        <w:tc>
          <w:tcPr>
            <w:tcW w:w="1380" w:type="dxa"/>
            <w:vAlign w:val="bottom"/>
            <w:shd w:val="clear" w:color="auto" w:fill="F4EFF6"/>
          </w:tcPr>
          <w:p>
            <w:pPr>
              <w:jc w:val="right"/>
              <w:ind w:right="347"/>
              <w:spacing w:after="0"/>
              <w:rPr>
                <w:sz w:val="20"/>
                <w:szCs w:val="20"/>
                <w:color w:val="auto"/>
              </w:rPr>
            </w:pPr>
            <w:r>
              <w:rPr>
                <w:rFonts w:ascii="Arial" w:cs="Arial" w:eastAsia="Arial" w:hAnsi="Arial"/>
                <w:sz w:val="13"/>
                <w:szCs w:val="13"/>
                <w:b w:val="1"/>
                <w:bCs w:val="1"/>
                <w:color w:val="auto"/>
              </w:rPr>
              <w:t>Corporate</w:t>
            </w:r>
          </w:p>
        </w:tc>
        <w:tc>
          <w:tcPr>
            <w:tcW w:w="88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Total</w:t>
            </w:r>
          </w:p>
        </w:tc>
      </w:tr>
      <w:tr>
        <w:trPr>
          <w:trHeight w:val="224"/>
        </w:trPr>
        <w:tc>
          <w:tcPr>
            <w:tcW w:w="3580" w:type="dxa"/>
            <w:vAlign w:val="bottom"/>
          </w:tcPr>
          <w:p>
            <w:pPr>
              <w:ind w:left="20"/>
              <w:spacing w:after="0"/>
              <w:rPr>
                <w:sz w:val="20"/>
                <w:szCs w:val="20"/>
                <w:color w:val="auto"/>
              </w:rPr>
            </w:pPr>
            <w:r>
              <w:rPr>
                <w:rFonts w:ascii="Arial" w:cs="Arial" w:eastAsia="Arial" w:hAnsi="Arial"/>
                <w:sz w:val="13"/>
                <w:szCs w:val="13"/>
                <w:b w:val="1"/>
                <w:bCs w:val="1"/>
                <w:color w:val="auto"/>
              </w:rPr>
              <w:t>3 months ended 30 June 2025</w:t>
            </w:r>
          </w:p>
        </w:tc>
        <w:tc>
          <w:tcPr>
            <w:tcW w:w="116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28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560" w:type="dxa"/>
            <w:vAlign w:val="bottom"/>
            <w:tcBorders>
              <w:bottom w:val="single" w:sz="8" w:color="F4EFF6"/>
            </w:tcBorders>
            <w:shd w:val="clear" w:color="auto" w:fill="F4EFF6"/>
          </w:tcPr>
          <w:p>
            <w:pPr>
              <w:jc w:val="right"/>
              <w:ind w:right="207"/>
              <w:spacing w:after="0"/>
              <w:rPr>
                <w:sz w:val="20"/>
                <w:szCs w:val="20"/>
                <w:color w:val="auto"/>
              </w:rPr>
            </w:pPr>
            <w:r>
              <w:rPr>
                <w:rFonts w:ascii="Arial" w:cs="Arial" w:eastAsia="Arial" w:hAnsi="Arial"/>
                <w:sz w:val="13"/>
                <w:szCs w:val="13"/>
                <w:b w:val="1"/>
                <w:bCs w:val="1"/>
                <w:color w:val="auto"/>
              </w:rPr>
              <w:t>$m</w:t>
            </w:r>
          </w:p>
        </w:tc>
        <w:tc>
          <w:tcPr>
            <w:tcW w:w="1380" w:type="dxa"/>
            <w:vAlign w:val="bottom"/>
            <w:tcBorders>
              <w:bottom w:val="single" w:sz="8" w:color="F4EFF6"/>
            </w:tcBorders>
            <w:shd w:val="clear" w:color="auto" w:fill="F4EFF6"/>
          </w:tcPr>
          <w:p>
            <w:pPr>
              <w:jc w:val="right"/>
              <w:ind w:right="270"/>
              <w:spacing w:after="0"/>
              <w:rPr>
                <w:sz w:val="20"/>
                <w:szCs w:val="20"/>
                <w:color w:val="auto"/>
              </w:rPr>
            </w:pPr>
            <w:r>
              <w:rPr>
                <w:rFonts w:ascii="Arial" w:cs="Arial" w:eastAsia="Arial" w:hAnsi="Arial"/>
                <w:sz w:val="13"/>
                <w:szCs w:val="13"/>
                <w:b w:val="1"/>
                <w:bCs w:val="1"/>
                <w:color w:val="auto"/>
              </w:rPr>
              <w:t>$m</w:t>
            </w:r>
          </w:p>
        </w:tc>
        <w:tc>
          <w:tcPr>
            <w:tcW w:w="1380" w:type="dxa"/>
            <w:vAlign w:val="bottom"/>
            <w:tcBorders>
              <w:bottom w:val="single" w:sz="8" w:color="F4EFF6"/>
            </w:tcBorders>
            <w:shd w:val="clear" w:color="auto" w:fill="F4EFF6"/>
          </w:tcPr>
          <w:p>
            <w:pPr>
              <w:jc w:val="right"/>
              <w:ind w:right="347"/>
              <w:spacing w:after="0"/>
              <w:rPr>
                <w:sz w:val="20"/>
                <w:szCs w:val="20"/>
                <w:color w:val="auto"/>
              </w:rPr>
            </w:pPr>
            <w:r>
              <w:rPr>
                <w:rFonts w:ascii="Arial" w:cs="Arial" w:eastAsia="Arial" w:hAnsi="Arial"/>
                <w:sz w:val="13"/>
                <w:szCs w:val="13"/>
                <w:b w:val="1"/>
                <w:bCs w:val="1"/>
                <w:color w:val="auto"/>
              </w:rPr>
              <w:t>$m</w:t>
            </w:r>
          </w:p>
        </w:tc>
        <w:tc>
          <w:tcPr>
            <w:tcW w:w="88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r>
      <w:tr>
        <w:trPr>
          <w:trHeight w:val="237"/>
        </w:trPr>
        <w:tc>
          <w:tcPr>
            <w:tcW w:w="358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Net commission income/(expense)</w:t>
            </w:r>
          </w:p>
        </w:tc>
        <w:tc>
          <w:tcPr>
            <w:tcW w:w="1160" w:type="dxa"/>
            <w:vAlign w:val="bottom"/>
            <w:tcBorders>
              <w:top w:val="single" w:sz="8" w:color="793690"/>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71.5</w:t>
            </w:r>
          </w:p>
        </w:tc>
        <w:tc>
          <w:tcPr>
            <w:tcW w:w="128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187.2</w:t>
            </w:r>
          </w:p>
        </w:tc>
        <w:tc>
          <w:tcPr>
            <w:tcW w:w="1560" w:type="dxa"/>
            <w:vAlign w:val="bottom"/>
            <w:tcBorders>
              <w:top w:val="single" w:sz="8" w:color="793690"/>
              <w:bottom w:val="single" w:sz="8" w:color="F4EFF6"/>
            </w:tcBorders>
            <w:shd w:val="clear" w:color="auto" w:fill="F4EFF6"/>
          </w:tcPr>
          <w:p>
            <w:pPr>
              <w:jc w:val="right"/>
              <w:ind w:right="207"/>
              <w:spacing w:after="0"/>
              <w:rPr>
                <w:sz w:val="20"/>
                <w:szCs w:val="20"/>
                <w:color w:val="auto"/>
              </w:rPr>
            </w:pPr>
            <w:r>
              <w:rPr>
                <w:rFonts w:ascii="Arial" w:cs="Arial" w:eastAsia="Arial" w:hAnsi="Arial"/>
                <w:sz w:val="15"/>
                <w:szCs w:val="15"/>
                <w:b w:val="1"/>
                <w:bCs w:val="1"/>
                <w:color w:val="auto"/>
              </w:rPr>
              <w:t>(1.6)</w:t>
            </w:r>
          </w:p>
        </w:tc>
        <w:tc>
          <w:tcPr>
            <w:tcW w:w="1380" w:type="dxa"/>
            <w:vAlign w:val="bottom"/>
            <w:tcBorders>
              <w:top w:val="single" w:sz="8" w:color="793690"/>
              <w:bottom w:val="single" w:sz="8" w:color="F4EFF6"/>
            </w:tcBorders>
            <w:shd w:val="clear" w:color="auto" w:fill="F4EFF6"/>
          </w:tcPr>
          <w:p>
            <w:pPr>
              <w:jc w:val="right"/>
              <w:ind w:right="330"/>
              <w:spacing w:after="0"/>
              <w:rPr>
                <w:sz w:val="20"/>
                <w:szCs w:val="20"/>
                <w:color w:val="auto"/>
              </w:rPr>
            </w:pPr>
            <w:r>
              <w:rPr>
                <w:rFonts w:ascii="Arial" w:cs="Arial" w:eastAsia="Arial" w:hAnsi="Arial"/>
                <w:sz w:val="15"/>
                <w:szCs w:val="15"/>
                <w:b w:val="1"/>
                <w:bCs w:val="1"/>
                <w:color w:val="auto"/>
              </w:rPr>
              <w:t>—</w:t>
            </w:r>
          </w:p>
        </w:tc>
        <w:tc>
          <w:tcPr>
            <w:tcW w:w="1380" w:type="dxa"/>
            <w:vAlign w:val="bottom"/>
            <w:tcBorders>
              <w:top w:val="single" w:sz="8" w:color="793690"/>
              <w:bottom w:val="single" w:sz="8" w:color="F4EFF6"/>
            </w:tcBorders>
            <w:shd w:val="clear" w:color="auto" w:fill="F4EFF6"/>
          </w:tcPr>
          <w:p>
            <w:pPr>
              <w:jc w:val="right"/>
              <w:ind w:right="407"/>
              <w:spacing w:after="0"/>
              <w:rPr>
                <w:sz w:val="20"/>
                <w:szCs w:val="20"/>
                <w:color w:val="auto"/>
              </w:rPr>
            </w:pPr>
            <w:r>
              <w:rPr>
                <w:rFonts w:ascii="Arial" w:cs="Arial" w:eastAsia="Arial" w:hAnsi="Arial"/>
                <w:sz w:val="15"/>
                <w:szCs w:val="15"/>
                <w:b w:val="1"/>
                <w:bCs w:val="1"/>
                <w:color w:val="auto"/>
              </w:rPr>
              <w:t>—</w:t>
            </w:r>
          </w:p>
        </w:tc>
        <w:tc>
          <w:tcPr>
            <w:tcW w:w="88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257.1</w:t>
            </w:r>
          </w:p>
        </w:tc>
      </w:tr>
      <w:tr>
        <w:trPr>
          <w:trHeight w:val="237"/>
        </w:trPr>
        <w:tc>
          <w:tcPr>
            <w:tcW w:w="3580" w:type="dxa"/>
            <w:vAlign w:val="bottom"/>
            <w:tcBorders>
              <w:top w:val="single" w:sz="8" w:color="DADAE7"/>
            </w:tcBorders>
          </w:tcPr>
          <w:p>
            <w:pPr>
              <w:ind w:left="20"/>
              <w:spacing w:after="0"/>
              <w:rPr>
                <w:sz w:val="20"/>
                <w:szCs w:val="20"/>
                <w:color w:val="auto"/>
              </w:rPr>
            </w:pPr>
            <w:r>
              <w:rPr>
                <w:rFonts w:ascii="Arial" w:cs="Arial" w:eastAsia="Arial" w:hAnsi="Arial"/>
                <w:sz w:val="15"/>
                <w:szCs w:val="15"/>
                <w:b w:val="1"/>
                <w:bCs w:val="1"/>
                <w:color w:val="auto"/>
              </w:rPr>
              <w:t>Net trading income</w:t>
            </w:r>
          </w:p>
        </w:tc>
        <w:tc>
          <w:tcPr>
            <w:tcW w:w="1160" w:type="dxa"/>
            <w:vAlign w:val="bottom"/>
            <w:tcBorders>
              <w:top w:val="single" w:sz="8" w:color="DADAE7"/>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8.2</w:t>
            </w:r>
          </w:p>
        </w:tc>
        <w:tc>
          <w:tcPr>
            <w:tcW w:w="12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76.2</w:t>
            </w:r>
          </w:p>
        </w:tc>
        <w:tc>
          <w:tcPr>
            <w:tcW w:w="1560" w:type="dxa"/>
            <w:vAlign w:val="bottom"/>
            <w:tcBorders>
              <w:top w:val="single" w:sz="8" w:color="DADAE7"/>
              <w:bottom w:val="single" w:sz="8" w:color="F4EFF6"/>
            </w:tcBorders>
            <w:shd w:val="clear" w:color="auto" w:fill="F4EFF6"/>
          </w:tcPr>
          <w:p>
            <w:pPr>
              <w:jc w:val="right"/>
              <w:ind w:right="247"/>
              <w:spacing w:after="0"/>
              <w:rPr>
                <w:sz w:val="20"/>
                <w:szCs w:val="20"/>
                <w:color w:val="auto"/>
              </w:rPr>
            </w:pPr>
            <w:r>
              <w:rPr>
                <w:rFonts w:ascii="Arial" w:cs="Arial" w:eastAsia="Arial" w:hAnsi="Arial"/>
                <w:sz w:val="15"/>
                <w:szCs w:val="15"/>
                <w:b w:val="1"/>
                <w:bCs w:val="1"/>
                <w:color w:val="auto"/>
              </w:rPr>
              <w:t>59.2</w:t>
            </w:r>
          </w:p>
        </w:tc>
        <w:tc>
          <w:tcPr>
            <w:tcW w:w="1380" w:type="dxa"/>
            <w:vAlign w:val="bottom"/>
            <w:tcBorders>
              <w:top w:val="single" w:sz="8" w:color="DADAE7"/>
              <w:bottom w:val="single" w:sz="8" w:color="F4EFF6"/>
            </w:tcBorders>
            <w:shd w:val="clear" w:color="auto" w:fill="F4EFF6"/>
          </w:tcPr>
          <w:p>
            <w:pPr>
              <w:jc w:val="right"/>
              <w:ind w:right="330"/>
              <w:spacing w:after="0"/>
              <w:rPr>
                <w:sz w:val="20"/>
                <w:szCs w:val="20"/>
                <w:color w:val="auto"/>
              </w:rPr>
            </w:pPr>
            <w:r>
              <w:rPr>
                <w:rFonts w:ascii="Arial" w:cs="Arial" w:eastAsia="Arial" w:hAnsi="Arial"/>
                <w:sz w:val="15"/>
                <w:szCs w:val="15"/>
                <w:b w:val="1"/>
                <w:bCs w:val="1"/>
                <w:color w:val="auto"/>
              </w:rPr>
              <w:t>59.7</w:t>
            </w:r>
          </w:p>
        </w:tc>
        <w:tc>
          <w:tcPr>
            <w:tcW w:w="1380" w:type="dxa"/>
            <w:vAlign w:val="bottom"/>
            <w:tcBorders>
              <w:top w:val="single" w:sz="8" w:color="DADAE7"/>
              <w:bottom w:val="single" w:sz="8" w:color="F4EFF6"/>
            </w:tcBorders>
            <w:shd w:val="clear" w:color="auto" w:fill="F4EFF6"/>
          </w:tcPr>
          <w:p>
            <w:pPr>
              <w:jc w:val="right"/>
              <w:ind w:right="407"/>
              <w:spacing w:after="0"/>
              <w:rPr>
                <w:sz w:val="20"/>
                <w:szCs w:val="20"/>
                <w:color w:val="auto"/>
              </w:rPr>
            </w:pPr>
            <w:r>
              <w:rPr>
                <w:rFonts w:ascii="Arial" w:cs="Arial" w:eastAsia="Arial" w:hAnsi="Arial"/>
                <w:sz w:val="15"/>
                <w:szCs w:val="15"/>
                <w:b w:val="1"/>
                <w:bCs w:val="1"/>
                <w:color w:val="auto"/>
              </w:rPr>
              <w:t>—</w:t>
            </w:r>
          </w:p>
        </w:tc>
        <w:tc>
          <w:tcPr>
            <w:tcW w:w="8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203.3</w:t>
            </w:r>
          </w:p>
        </w:tc>
      </w:tr>
      <w:tr>
        <w:trPr>
          <w:trHeight w:val="237"/>
        </w:trPr>
        <w:tc>
          <w:tcPr>
            <w:tcW w:w="3580" w:type="dxa"/>
            <w:vAlign w:val="bottom"/>
            <w:tcBorders>
              <w:top w:val="single" w:sz="8" w:color="DADAE7"/>
            </w:tcBorders>
          </w:tcPr>
          <w:p>
            <w:pPr>
              <w:ind w:left="20"/>
              <w:spacing w:after="0"/>
              <w:rPr>
                <w:sz w:val="20"/>
                <w:szCs w:val="20"/>
                <w:color w:val="auto"/>
              </w:rPr>
            </w:pPr>
            <w:r>
              <w:rPr>
                <w:rFonts w:ascii="Arial" w:cs="Arial" w:eastAsia="Arial" w:hAnsi="Arial"/>
                <w:sz w:val="15"/>
                <w:szCs w:val="15"/>
                <w:b w:val="1"/>
                <w:bCs w:val="1"/>
                <w:color w:val="auto"/>
              </w:rPr>
              <w:t>Net interest income/(expense)</w:t>
            </w:r>
          </w:p>
        </w:tc>
        <w:tc>
          <w:tcPr>
            <w:tcW w:w="1160" w:type="dxa"/>
            <w:vAlign w:val="bottom"/>
            <w:tcBorders>
              <w:top w:val="single" w:sz="8" w:color="DADAE7"/>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59.1</w:t>
            </w:r>
          </w:p>
        </w:tc>
        <w:tc>
          <w:tcPr>
            <w:tcW w:w="12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(3.2)</w:t>
            </w:r>
          </w:p>
        </w:tc>
        <w:tc>
          <w:tcPr>
            <w:tcW w:w="1560" w:type="dxa"/>
            <w:vAlign w:val="bottom"/>
            <w:tcBorders>
              <w:top w:val="single" w:sz="8" w:color="DADAE7"/>
              <w:bottom w:val="single" w:sz="8" w:color="F4EFF6"/>
            </w:tcBorders>
            <w:shd w:val="clear" w:color="auto" w:fill="F4EFF6"/>
          </w:tcPr>
          <w:p>
            <w:pPr>
              <w:jc w:val="right"/>
              <w:ind w:right="207"/>
              <w:spacing w:after="0"/>
              <w:rPr>
                <w:sz w:val="20"/>
                <w:szCs w:val="20"/>
                <w:color w:val="auto"/>
              </w:rPr>
            </w:pPr>
            <w:r>
              <w:rPr>
                <w:rFonts w:ascii="Arial" w:cs="Arial" w:eastAsia="Arial" w:hAnsi="Arial"/>
                <w:sz w:val="15"/>
                <w:szCs w:val="15"/>
                <w:b w:val="1"/>
                <w:bCs w:val="1"/>
                <w:color w:val="auto"/>
              </w:rPr>
              <w:t>(4.7)</w:t>
            </w:r>
          </w:p>
        </w:tc>
        <w:tc>
          <w:tcPr>
            <w:tcW w:w="1380" w:type="dxa"/>
            <w:vAlign w:val="bottom"/>
            <w:tcBorders>
              <w:top w:val="single" w:sz="8" w:color="DADAE7"/>
              <w:bottom w:val="single" w:sz="8" w:color="F4EFF6"/>
            </w:tcBorders>
            <w:shd w:val="clear" w:color="auto" w:fill="F4EFF6"/>
          </w:tcPr>
          <w:p>
            <w:pPr>
              <w:jc w:val="right"/>
              <w:ind w:right="290"/>
              <w:spacing w:after="0"/>
              <w:rPr>
                <w:sz w:val="20"/>
                <w:szCs w:val="20"/>
                <w:color w:val="auto"/>
              </w:rPr>
            </w:pPr>
            <w:r>
              <w:rPr>
                <w:rFonts w:ascii="Arial" w:cs="Arial" w:eastAsia="Arial" w:hAnsi="Arial"/>
                <w:sz w:val="15"/>
                <w:szCs w:val="15"/>
                <w:b w:val="1"/>
                <w:bCs w:val="1"/>
                <w:color w:val="auto"/>
              </w:rPr>
              <w:t>(19.0)</w:t>
            </w:r>
          </w:p>
        </w:tc>
        <w:tc>
          <w:tcPr>
            <w:tcW w:w="1380" w:type="dxa"/>
            <w:vAlign w:val="bottom"/>
            <w:tcBorders>
              <w:top w:val="single" w:sz="8" w:color="DADAE7"/>
              <w:bottom w:val="single" w:sz="8" w:color="F4EFF6"/>
            </w:tcBorders>
            <w:shd w:val="clear" w:color="auto" w:fill="F4EFF6"/>
          </w:tcPr>
          <w:p>
            <w:pPr>
              <w:jc w:val="right"/>
              <w:ind w:right="407"/>
              <w:spacing w:after="0"/>
              <w:rPr>
                <w:sz w:val="20"/>
                <w:szCs w:val="20"/>
                <w:color w:val="auto"/>
              </w:rPr>
            </w:pPr>
            <w:r>
              <w:rPr>
                <w:rFonts w:ascii="Arial" w:cs="Arial" w:eastAsia="Arial" w:hAnsi="Arial"/>
                <w:sz w:val="15"/>
                <w:szCs w:val="15"/>
                <w:b w:val="1"/>
                <w:bCs w:val="1"/>
                <w:color w:val="auto"/>
              </w:rPr>
              <w:t>2.4</w:t>
            </w:r>
          </w:p>
        </w:tc>
        <w:tc>
          <w:tcPr>
            <w:tcW w:w="8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34.6</w:t>
            </w:r>
          </w:p>
        </w:tc>
      </w:tr>
      <w:tr>
        <w:trPr>
          <w:trHeight w:val="237"/>
        </w:trPr>
        <w:tc>
          <w:tcPr>
            <w:tcW w:w="3580" w:type="dxa"/>
            <w:vAlign w:val="bottom"/>
            <w:tcBorders>
              <w:top w:val="single" w:sz="8" w:color="DADAE7"/>
            </w:tcBorders>
          </w:tcPr>
          <w:p>
            <w:pPr>
              <w:ind w:left="20"/>
              <w:spacing w:after="0"/>
              <w:rPr>
                <w:sz w:val="20"/>
                <w:szCs w:val="20"/>
                <w:color w:val="auto"/>
              </w:rPr>
            </w:pPr>
            <w:r>
              <w:rPr>
                <w:rFonts w:ascii="Arial" w:cs="Arial" w:eastAsia="Arial" w:hAnsi="Arial"/>
                <w:sz w:val="15"/>
                <w:szCs w:val="15"/>
                <w:b w:val="1"/>
                <w:bCs w:val="1"/>
                <w:color w:val="auto"/>
              </w:rPr>
              <w:t>Net physical commodities income</w:t>
            </w:r>
          </w:p>
        </w:tc>
        <w:tc>
          <w:tcPr>
            <w:tcW w:w="1160" w:type="dxa"/>
            <w:vAlign w:val="bottom"/>
            <w:tcBorders>
              <w:top w:val="single" w:sz="8" w:color="DADAE7"/>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w:t>
            </w:r>
          </w:p>
        </w:tc>
        <w:tc>
          <w:tcPr>
            <w:tcW w:w="12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0.6</w:t>
            </w:r>
          </w:p>
        </w:tc>
        <w:tc>
          <w:tcPr>
            <w:tcW w:w="1560" w:type="dxa"/>
            <w:vAlign w:val="bottom"/>
            <w:tcBorders>
              <w:top w:val="single" w:sz="8" w:color="DADAE7"/>
              <w:bottom w:val="single" w:sz="8" w:color="F4EFF6"/>
            </w:tcBorders>
            <w:shd w:val="clear" w:color="auto" w:fill="F4EFF6"/>
          </w:tcPr>
          <w:p>
            <w:pPr>
              <w:jc w:val="right"/>
              <w:ind w:right="247"/>
              <w:spacing w:after="0"/>
              <w:rPr>
                <w:sz w:val="20"/>
                <w:szCs w:val="20"/>
                <w:color w:val="auto"/>
              </w:rPr>
            </w:pPr>
            <w:r>
              <w:rPr>
                <w:rFonts w:ascii="Arial" w:cs="Arial" w:eastAsia="Arial" w:hAnsi="Arial"/>
                <w:sz w:val="15"/>
                <w:szCs w:val="15"/>
                <w:b w:val="1"/>
                <w:bCs w:val="1"/>
                <w:color w:val="auto"/>
              </w:rPr>
              <w:t>4.5</w:t>
            </w:r>
          </w:p>
        </w:tc>
        <w:tc>
          <w:tcPr>
            <w:tcW w:w="1380" w:type="dxa"/>
            <w:vAlign w:val="bottom"/>
            <w:tcBorders>
              <w:top w:val="single" w:sz="8" w:color="DADAE7"/>
              <w:bottom w:val="single" w:sz="8" w:color="F4EFF6"/>
            </w:tcBorders>
            <w:shd w:val="clear" w:color="auto" w:fill="F4EFF6"/>
          </w:tcPr>
          <w:p>
            <w:pPr>
              <w:jc w:val="right"/>
              <w:ind w:right="330"/>
              <w:spacing w:after="0"/>
              <w:rPr>
                <w:sz w:val="20"/>
                <w:szCs w:val="20"/>
                <w:color w:val="auto"/>
              </w:rPr>
            </w:pPr>
            <w:r>
              <w:rPr>
                <w:rFonts w:ascii="Arial" w:cs="Arial" w:eastAsia="Arial" w:hAnsi="Arial"/>
                <w:sz w:val="15"/>
                <w:szCs w:val="15"/>
                <w:b w:val="1"/>
                <w:bCs w:val="1"/>
                <w:color w:val="auto"/>
              </w:rPr>
              <w:t>—</w:t>
            </w:r>
          </w:p>
        </w:tc>
        <w:tc>
          <w:tcPr>
            <w:tcW w:w="1380" w:type="dxa"/>
            <w:vAlign w:val="bottom"/>
            <w:tcBorders>
              <w:top w:val="single" w:sz="8" w:color="DADAE7"/>
              <w:bottom w:val="single" w:sz="8" w:color="F4EFF6"/>
            </w:tcBorders>
            <w:shd w:val="clear" w:color="auto" w:fill="F4EFF6"/>
          </w:tcPr>
          <w:p>
            <w:pPr>
              <w:jc w:val="right"/>
              <w:ind w:right="407"/>
              <w:spacing w:after="0"/>
              <w:rPr>
                <w:sz w:val="20"/>
                <w:szCs w:val="20"/>
                <w:color w:val="auto"/>
              </w:rPr>
            </w:pPr>
            <w:r>
              <w:rPr>
                <w:rFonts w:ascii="Arial" w:cs="Arial" w:eastAsia="Arial" w:hAnsi="Arial"/>
                <w:sz w:val="15"/>
                <w:szCs w:val="15"/>
                <w:b w:val="1"/>
                <w:bCs w:val="1"/>
                <w:color w:val="auto"/>
              </w:rPr>
              <w:t>—</w:t>
            </w:r>
          </w:p>
        </w:tc>
        <w:tc>
          <w:tcPr>
            <w:tcW w:w="8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5.1</w:t>
            </w:r>
          </w:p>
        </w:tc>
      </w:tr>
      <w:tr>
        <w:trPr>
          <w:trHeight w:val="236"/>
        </w:trPr>
        <w:tc>
          <w:tcPr>
            <w:tcW w:w="358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Revenue</w:t>
            </w:r>
          </w:p>
        </w:tc>
        <w:tc>
          <w:tcPr>
            <w:tcW w:w="1160" w:type="dxa"/>
            <w:vAlign w:val="bottom"/>
            <w:tcBorders>
              <w:top w:val="single" w:sz="8" w:color="793690"/>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138.8</w:t>
            </w:r>
          </w:p>
        </w:tc>
        <w:tc>
          <w:tcPr>
            <w:tcW w:w="128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260.8</w:t>
            </w:r>
          </w:p>
        </w:tc>
        <w:tc>
          <w:tcPr>
            <w:tcW w:w="1560" w:type="dxa"/>
            <w:vAlign w:val="bottom"/>
            <w:tcBorders>
              <w:top w:val="single" w:sz="8" w:color="793690"/>
              <w:bottom w:val="single" w:sz="8" w:color="F4EFF6"/>
            </w:tcBorders>
            <w:shd w:val="clear" w:color="auto" w:fill="F4EFF6"/>
          </w:tcPr>
          <w:p>
            <w:pPr>
              <w:jc w:val="right"/>
              <w:ind w:right="247"/>
              <w:spacing w:after="0"/>
              <w:rPr>
                <w:sz w:val="20"/>
                <w:szCs w:val="20"/>
                <w:color w:val="auto"/>
              </w:rPr>
            </w:pPr>
            <w:r>
              <w:rPr>
                <w:rFonts w:ascii="Arial" w:cs="Arial" w:eastAsia="Arial" w:hAnsi="Arial"/>
                <w:sz w:val="15"/>
                <w:szCs w:val="15"/>
                <w:b w:val="1"/>
                <w:bCs w:val="1"/>
                <w:color w:val="auto"/>
              </w:rPr>
              <w:t>57.4</w:t>
            </w:r>
          </w:p>
        </w:tc>
        <w:tc>
          <w:tcPr>
            <w:tcW w:w="1380" w:type="dxa"/>
            <w:vAlign w:val="bottom"/>
            <w:tcBorders>
              <w:top w:val="single" w:sz="8" w:color="793690"/>
              <w:bottom w:val="single" w:sz="8" w:color="F4EFF6"/>
            </w:tcBorders>
            <w:shd w:val="clear" w:color="auto" w:fill="F4EFF6"/>
          </w:tcPr>
          <w:p>
            <w:pPr>
              <w:jc w:val="right"/>
              <w:ind w:right="330"/>
              <w:spacing w:after="0"/>
              <w:rPr>
                <w:sz w:val="20"/>
                <w:szCs w:val="20"/>
                <w:color w:val="auto"/>
              </w:rPr>
            </w:pPr>
            <w:r>
              <w:rPr>
                <w:rFonts w:ascii="Arial" w:cs="Arial" w:eastAsia="Arial" w:hAnsi="Arial"/>
                <w:sz w:val="15"/>
                <w:szCs w:val="15"/>
                <w:b w:val="1"/>
                <w:bCs w:val="1"/>
                <w:color w:val="auto"/>
              </w:rPr>
              <w:t>40.7</w:t>
            </w:r>
          </w:p>
        </w:tc>
        <w:tc>
          <w:tcPr>
            <w:tcW w:w="1380" w:type="dxa"/>
            <w:vAlign w:val="bottom"/>
            <w:tcBorders>
              <w:top w:val="single" w:sz="8" w:color="793690"/>
              <w:bottom w:val="single" w:sz="8" w:color="F4EFF6"/>
            </w:tcBorders>
            <w:shd w:val="clear" w:color="auto" w:fill="F4EFF6"/>
          </w:tcPr>
          <w:p>
            <w:pPr>
              <w:jc w:val="right"/>
              <w:ind w:right="407"/>
              <w:spacing w:after="0"/>
              <w:rPr>
                <w:sz w:val="20"/>
                <w:szCs w:val="20"/>
                <w:color w:val="auto"/>
              </w:rPr>
            </w:pPr>
            <w:r>
              <w:rPr>
                <w:rFonts w:ascii="Arial" w:cs="Arial" w:eastAsia="Arial" w:hAnsi="Arial"/>
                <w:sz w:val="15"/>
                <w:szCs w:val="15"/>
                <w:b w:val="1"/>
                <w:bCs w:val="1"/>
                <w:color w:val="auto"/>
              </w:rPr>
              <w:t>2.4</w:t>
            </w:r>
          </w:p>
        </w:tc>
        <w:tc>
          <w:tcPr>
            <w:tcW w:w="88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500.1</w:t>
            </w:r>
          </w:p>
        </w:tc>
      </w:tr>
      <w:tr>
        <w:trPr>
          <w:trHeight w:val="489"/>
        </w:trPr>
        <w:tc>
          <w:tcPr>
            <w:tcW w:w="3580" w:type="dxa"/>
            <w:vAlign w:val="bottom"/>
            <w:tcBorders>
              <w:top w:val="single" w:sz="8" w:color="793690"/>
            </w:tcBorders>
          </w:tcPr>
          <w:p>
            <w:pPr>
              <w:spacing w:after="0"/>
              <w:rPr>
                <w:sz w:val="24"/>
                <w:szCs w:val="24"/>
                <w:color w:val="auto"/>
              </w:rPr>
            </w:pPr>
          </w:p>
        </w:tc>
        <w:tc>
          <w:tcPr>
            <w:tcW w:w="1160" w:type="dxa"/>
            <w:vAlign w:val="bottom"/>
            <w:tcBorders>
              <w:top w:val="single" w:sz="8" w:color="793690"/>
            </w:tcBorders>
          </w:tcPr>
          <w:p>
            <w:pPr>
              <w:spacing w:after="0"/>
              <w:rPr>
                <w:sz w:val="24"/>
                <w:szCs w:val="24"/>
                <w:color w:val="auto"/>
              </w:rPr>
            </w:pPr>
          </w:p>
        </w:tc>
        <w:tc>
          <w:tcPr>
            <w:tcW w:w="1280" w:type="dxa"/>
            <w:vAlign w:val="bottom"/>
            <w:tcBorders>
              <w:top w:val="single" w:sz="8" w:color="793690"/>
            </w:tcBorders>
          </w:tcPr>
          <w:p>
            <w:pPr>
              <w:spacing w:after="0"/>
              <w:rPr>
                <w:sz w:val="24"/>
                <w:szCs w:val="24"/>
                <w:color w:val="auto"/>
              </w:rPr>
            </w:pPr>
          </w:p>
        </w:tc>
        <w:tc>
          <w:tcPr>
            <w:tcW w:w="1560" w:type="dxa"/>
            <w:vAlign w:val="bottom"/>
            <w:tcBorders>
              <w:top w:val="single" w:sz="8" w:color="793690"/>
            </w:tcBorders>
          </w:tcPr>
          <w:p>
            <w:pPr>
              <w:spacing w:after="0"/>
              <w:rPr>
                <w:sz w:val="24"/>
                <w:szCs w:val="24"/>
                <w:color w:val="auto"/>
              </w:rPr>
            </w:pPr>
          </w:p>
        </w:tc>
        <w:tc>
          <w:tcPr>
            <w:tcW w:w="1380" w:type="dxa"/>
            <w:vAlign w:val="bottom"/>
            <w:tcBorders>
              <w:top w:val="single" w:sz="8" w:color="793690"/>
            </w:tcBorders>
          </w:tcPr>
          <w:p>
            <w:pPr>
              <w:jc w:val="right"/>
              <w:ind w:right="270"/>
              <w:spacing w:after="0"/>
              <w:rPr>
                <w:sz w:val="20"/>
                <w:szCs w:val="20"/>
                <w:color w:val="auto"/>
              </w:rPr>
            </w:pPr>
            <w:r>
              <w:rPr>
                <w:rFonts w:ascii="Arial" w:cs="Arial" w:eastAsia="Arial" w:hAnsi="Arial"/>
                <w:sz w:val="13"/>
                <w:szCs w:val="13"/>
                <w:b w:val="1"/>
                <w:bCs w:val="1"/>
                <w:color w:val="auto"/>
              </w:rPr>
              <w:t>Hedging and</w:t>
            </w:r>
          </w:p>
        </w:tc>
        <w:tc>
          <w:tcPr>
            <w:tcW w:w="1380" w:type="dxa"/>
            <w:vAlign w:val="bottom"/>
            <w:tcBorders>
              <w:top w:val="single" w:sz="8" w:color="793690"/>
            </w:tcBorders>
          </w:tcPr>
          <w:p>
            <w:pPr>
              <w:spacing w:after="0"/>
              <w:rPr>
                <w:sz w:val="24"/>
                <w:szCs w:val="24"/>
                <w:color w:val="auto"/>
              </w:rPr>
            </w:pPr>
          </w:p>
        </w:tc>
        <w:tc>
          <w:tcPr>
            <w:tcW w:w="880" w:type="dxa"/>
            <w:vAlign w:val="bottom"/>
            <w:tcBorders>
              <w:top w:val="single" w:sz="8" w:color="793690"/>
            </w:tcBorders>
          </w:tcPr>
          <w:p>
            <w:pPr>
              <w:spacing w:after="0"/>
              <w:rPr>
                <w:sz w:val="24"/>
                <w:szCs w:val="24"/>
                <w:color w:val="auto"/>
              </w:rPr>
            </w:pPr>
          </w:p>
        </w:tc>
      </w:tr>
      <w:tr>
        <w:trPr>
          <w:trHeight w:val="148"/>
        </w:trPr>
        <w:tc>
          <w:tcPr>
            <w:tcW w:w="3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Agency and</w:t>
            </w:r>
          </w:p>
        </w:tc>
        <w:tc>
          <w:tcPr>
            <w:tcW w:w="1560" w:type="dxa"/>
            <w:vAlign w:val="bottom"/>
          </w:tcPr>
          <w:p>
            <w:pPr>
              <w:spacing w:after="0"/>
              <w:rPr>
                <w:sz w:val="12"/>
                <w:szCs w:val="12"/>
                <w:color w:val="auto"/>
              </w:rPr>
            </w:pPr>
          </w:p>
        </w:tc>
        <w:tc>
          <w:tcPr>
            <w:tcW w:w="1380" w:type="dxa"/>
            <w:vAlign w:val="bottom"/>
          </w:tcPr>
          <w:p>
            <w:pPr>
              <w:jc w:val="right"/>
              <w:ind w:right="270"/>
              <w:spacing w:after="0"/>
              <w:rPr>
                <w:sz w:val="20"/>
                <w:szCs w:val="20"/>
                <w:color w:val="auto"/>
              </w:rPr>
            </w:pPr>
            <w:r>
              <w:rPr>
                <w:rFonts w:ascii="Arial" w:cs="Arial" w:eastAsia="Arial" w:hAnsi="Arial"/>
                <w:sz w:val="13"/>
                <w:szCs w:val="13"/>
                <w:b w:val="1"/>
                <w:bCs w:val="1"/>
                <w:color w:val="auto"/>
              </w:rPr>
              <w:t>Investment</w:t>
            </w:r>
          </w:p>
        </w:tc>
        <w:tc>
          <w:tcPr>
            <w:tcW w:w="13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5"/>
        </w:trPr>
        <w:tc>
          <w:tcPr>
            <w:tcW w:w="35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Clearing</w:t>
            </w: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Execution</w:t>
            </w:r>
          </w:p>
        </w:tc>
        <w:tc>
          <w:tcPr>
            <w:tcW w:w="1560" w:type="dxa"/>
            <w:vAlign w:val="bottom"/>
          </w:tcPr>
          <w:p>
            <w:pPr>
              <w:jc w:val="right"/>
              <w:ind w:right="207"/>
              <w:spacing w:after="0"/>
              <w:rPr>
                <w:sz w:val="20"/>
                <w:szCs w:val="20"/>
                <w:color w:val="auto"/>
              </w:rPr>
            </w:pPr>
            <w:r>
              <w:rPr>
                <w:rFonts w:ascii="Arial" w:cs="Arial" w:eastAsia="Arial" w:hAnsi="Arial"/>
                <w:sz w:val="13"/>
                <w:szCs w:val="13"/>
                <w:b w:val="1"/>
                <w:bCs w:val="1"/>
                <w:color w:val="auto"/>
              </w:rPr>
              <w:t>Market Making</w:t>
            </w:r>
          </w:p>
        </w:tc>
        <w:tc>
          <w:tcPr>
            <w:tcW w:w="1380" w:type="dxa"/>
            <w:vAlign w:val="bottom"/>
          </w:tcPr>
          <w:p>
            <w:pPr>
              <w:jc w:val="right"/>
              <w:ind w:right="270"/>
              <w:spacing w:after="0"/>
              <w:rPr>
                <w:sz w:val="20"/>
                <w:szCs w:val="20"/>
                <w:color w:val="auto"/>
              </w:rPr>
            </w:pPr>
            <w:r>
              <w:rPr>
                <w:rFonts w:ascii="Arial" w:cs="Arial" w:eastAsia="Arial" w:hAnsi="Arial"/>
                <w:sz w:val="13"/>
                <w:szCs w:val="13"/>
                <w:b w:val="1"/>
                <w:bCs w:val="1"/>
                <w:color w:val="auto"/>
              </w:rPr>
              <w:t>Solutions</w:t>
            </w:r>
          </w:p>
        </w:tc>
        <w:tc>
          <w:tcPr>
            <w:tcW w:w="1380" w:type="dxa"/>
            <w:vAlign w:val="bottom"/>
          </w:tcPr>
          <w:p>
            <w:pPr>
              <w:jc w:val="right"/>
              <w:ind w:right="347"/>
              <w:spacing w:after="0"/>
              <w:rPr>
                <w:sz w:val="20"/>
                <w:szCs w:val="20"/>
                <w:color w:val="auto"/>
              </w:rPr>
            </w:pPr>
            <w:r>
              <w:rPr>
                <w:rFonts w:ascii="Arial" w:cs="Arial" w:eastAsia="Arial" w:hAnsi="Arial"/>
                <w:sz w:val="13"/>
                <w:szCs w:val="13"/>
                <w:b w:val="1"/>
                <w:bCs w:val="1"/>
                <w:color w:val="auto"/>
              </w:rPr>
              <w:t>Corporate</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r>
      <w:tr>
        <w:trPr>
          <w:trHeight w:val="203"/>
        </w:trPr>
        <w:tc>
          <w:tcPr>
            <w:tcW w:w="3580" w:type="dxa"/>
            <w:vAlign w:val="bottom"/>
          </w:tcPr>
          <w:p>
            <w:pPr>
              <w:ind w:left="20"/>
              <w:spacing w:after="0"/>
              <w:rPr>
                <w:sz w:val="20"/>
                <w:szCs w:val="20"/>
                <w:color w:val="auto"/>
              </w:rPr>
            </w:pPr>
            <w:r>
              <w:rPr>
                <w:rFonts w:ascii="Arial" w:cs="Arial" w:eastAsia="Arial" w:hAnsi="Arial"/>
                <w:sz w:val="13"/>
                <w:szCs w:val="13"/>
                <w:b w:val="1"/>
                <w:bCs w:val="1"/>
                <w:color w:val="auto"/>
              </w:rPr>
              <w:t>3 months ended 30 June 2024</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$m</w:t>
            </w: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$m</w:t>
            </w:r>
          </w:p>
        </w:tc>
        <w:tc>
          <w:tcPr>
            <w:tcW w:w="1560" w:type="dxa"/>
            <w:vAlign w:val="bottom"/>
          </w:tcPr>
          <w:p>
            <w:pPr>
              <w:jc w:val="right"/>
              <w:ind w:right="207"/>
              <w:spacing w:after="0"/>
              <w:rPr>
                <w:sz w:val="20"/>
                <w:szCs w:val="20"/>
                <w:color w:val="auto"/>
              </w:rPr>
            </w:pPr>
            <w:r>
              <w:rPr>
                <w:rFonts w:ascii="Arial" w:cs="Arial" w:eastAsia="Arial" w:hAnsi="Arial"/>
                <w:sz w:val="13"/>
                <w:szCs w:val="13"/>
                <w:b w:val="1"/>
                <w:bCs w:val="1"/>
                <w:color w:val="auto"/>
              </w:rPr>
              <w:t>$m</w:t>
            </w:r>
          </w:p>
        </w:tc>
        <w:tc>
          <w:tcPr>
            <w:tcW w:w="1380" w:type="dxa"/>
            <w:vAlign w:val="bottom"/>
          </w:tcPr>
          <w:p>
            <w:pPr>
              <w:jc w:val="right"/>
              <w:ind w:right="270"/>
              <w:spacing w:after="0"/>
              <w:rPr>
                <w:sz w:val="20"/>
                <w:szCs w:val="20"/>
                <w:color w:val="auto"/>
              </w:rPr>
            </w:pPr>
            <w:r>
              <w:rPr>
                <w:rFonts w:ascii="Arial" w:cs="Arial" w:eastAsia="Arial" w:hAnsi="Arial"/>
                <w:sz w:val="13"/>
                <w:szCs w:val="13"/>
                <w:b w:val="1"/>
                <w:bCs w:val="1"/>
                <w:color w:val="auto"/>
              </w:rPr>
              <w:t>$m</w:t>
            </w:r>
          </w:p>
        </w:tc>
        <w:tc>
          <w:tcPr>
            <w:tcW w:w="1380" w:type="dxa"/>
            <w:vAlign w:val="bottom"/>
          </w:tcPr>
          <w:p>
            <w:pPr>
              <w:jc w:val="right"/>
              <w:ind w:right="347"/>
              <w:spacing w:after="0"/>
              <w:rPr>
                <w:sz w:val="20"/>
                <w:szCs w:val="20"/>
                <w:color w:val="auto"/>
              </w:rPr>
            </w:pPr>
            <w:r>
              <w:rPr>
                <w:rFonts w:ascii="Arial" w:cs="Arial" w:eastAsia="Arial" w:hAnsi="Arial"/>
                <w:sz w:val="13"/>
                <w:szCs w:val="13"/>
                <w:b w:val="1"/>
                <w:bCs w:val="1"/>
                <w:color w:val="auto"/>
              </w:rPr>
              <w:t>$m</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$m</w:t>
            </w:r>
          </w:p>
        </w:tc>
      </w:tr>
      <w:tr>
        <w:trPr>
          <w:trHeight w:val="22"/>
        </w:trPr>
        <w:tc>
          <w:tcPr>
            <w:tcW w:w="3580" w:type="dxa"/>
            <w:vAlign w:val="bottom"/>
            <w:tcBorders>
              <w:bottom w:val="single" w:sz="8" w:color="793690"/>
            </w:tcBorders>
          </w:tcPr>
          <w:p>
            <w:pPr>
              <w:spacing w:after="0" w:line="20" w:lineRule="exact"/>
              <w:rPr>
                <w:sz w:val="1"/>
                <w:szCs w:val="1"/>
                <w:color w:val="auto"/>
              </w:rPr>
            </w:pPr>
          </w:p>
        </w:tc>
        <w:tc>
          <w:tcPr>
            <w:tcW w:w="1160" w:type="dxa"/>
            <w:vAlign w:val="bottom"/>
            <w:tcBorders>
              <w:bottom w:val="single" w:sz="8" w:color="793690"/>
            </w:tcBorders>
          </w:tcPr>
          <w:p>
            <w:pPr>
              <w:spacing w:after="0" w:line="20" w:lineRule="exact"/>
              <w:rPr>
                <w:sz w:val="1"/>
                <w:szCs w:val="1"/>
                <w:color w:val="auto"/>
              </w:rPr>
            </w:pPr>
          </w:p>
        </w:tc>
        <w:tc>
          <w:tcPr>
            <w:tcW w:w="1280" w:type="dxa"/>
            <w:vAlign w:val="bottom"/>
            <w:tcBorders>
              <w:bottom w:val="single" w:sz="8" w:color="793690"/>
            </w:tcBorders>
          </w:tcPr>
          <w:p>
            <w:pPr>
              <w:spacing w:after="0" w:line="20" w:lineRule="exact"/>
              <w:rPr>
                <w:sz w:val="1"/>
                <w:szCs w:val="1"/>
                <w:color w:val="auto"/>
              </w:rPr>
            </w:pPr>
          </w:p>
        </w:tc>
        <w:tc>
          <w:tcPr>
            <w:tcW w:w="1560" w:type="dxa"/>
            <w:vAlign w:val="bottom"/>
            <w:tcBorders>
              <w:bottom w:val="single" w:sz="8" w:color="793690"/>
            </w:tcBorders>
          </w:tcPr>
          <w:p>
            <w:pPr>
              <w:spacing w:after="0" w:line="20" w:lineRule="exact"/>
              <w:rPr>
                <w:sz w:val="1"/>
                <w:szCs w:val="1"/>
                <w:color w:val="auto"/>
              </w:rPr>
            </w:pPr>
          </w:p>
        </w:tc>
        <w:tc>
          <w:tcPr>
            <w:tcW w:w="1380" w:type="dxa"/>
            <w:vAlign w:val="bottom"/>
            <w:tcBorders>
              <w:bottom w:val="single" w:sz="8" w:color="793690"/>
            </w:tcBorders>
          </w:tcPr>
          <w:p>
            <w:pPr>
              <w:spacing w:after="0" w:line="20" w:lineRule="exact"/>
              <w:rPr>
                <w:sz w:val="1"/>
                <w:szCs w:val="1"/>
                <w:color w:val="auto"/>
              </w:rPr>
            </w:pPr>
          </w:p>
        </w:tc>
        <w:tc>
          <w:tcPr>
            <w:tcW w:w="1380" w:type="dxa"/>
            <w:vAlign w:val="bottom"/>
            <w:tcBorders>
              <w:bottom w:val="single" w:sz="8" w:color="793690"/>
            </w:tcBorders>
          </w:tcPr>
          <w:p>
            <w:pPr>
              <w:spacing w:after="0" w:line="20" w:lineRule="exact"/>
              <w:rPr>
                <w:sz w:val="1"/>
                <w:szCs w:val="1"/>
                <w:color w:val="auto"/>
              </w:rPr>
            </w:pPr>
          </w:p>
        </w:tc>
        <w:tc>
          <w:tcPr>
            <w:tcW w:w="880" w:type="dxa"/>
            <w:vAlign w:val="bottom"/>
            <w:tcBorders>
              <w:bottom w:val="single" w:sz="8" w:color="793690"/>
            </w:tcBorders>
          </w:tcPr>
          <w:p>
            <w:pPr>
              <w:spacing w:after="0" w:line="20" w:lineRule="exact"/>
              <w:rPr>
                <w:sz w:val="1"/>
                <w:szCs w:val="1"/>
                <w:color w:val="auto"/>
              </w:rPr>
            </w:pPr>
          </w:p>
        </w:tc>
      </w:tr>
      <w:tr>
        <w:trPr>
          <w:trHeight w:val="204"/>
        </w:trPr>
        <w:tc>
          <w:tcPr>
            <w:tcW w:w="3580" w:type="dxa"/>
            <w:vAlign w:val="bottom"/>
          </w:tcPr>
          <w:p>
            <w:pPr>
              <w:ind w:left="20"/>
              <w:spacing w:after="0"/>
              <w:rPr>
                <w:sz w:val="20"/>
                <w:szCs w:val="20"/>
                <w:color w:val="auto"/>
              </w:rPr>
            </w:pPr>
            <w:r>
              <w:rPr>
                <w:rFonts w:ascii="Arial" w:cs="Arial" w:eastAsia="Arial" w:hAnsi="Arial"/>
                <w:sz w:val="15"/>
                <w:szCs w:val="15"/>
                <w:color w:val="auto"/>
              </w:rPr>
              <w:t>Net commission income/(expense)</w:t>
            </w:r>
          </w:p>
        </w:tc>
        <w:tc>
          <w:tcPr>
            <w:tcW w:w="1160" w:type="dxa"/>
            <w:vAlign w:val="bottom"/>
          </w:tcPr>
          <w:p>
            <w:pPr>
              <w:jc w:val="right"/>
              <w:ind w:right="7"/>
              <w:spacing w:after="0"/>
              <w:rPr>
                <w:sz w:val="20"/>
                <w:szCs w:val="20"/>
                <w:color w:val="auto"/>
              </w:rPr>
            </w:pPr>
            <w:r>
              <w:rPr>
                <w:rFonts w:ascii="Arial" w:cs="Arial" w:eastAsia="Arial" w:hAnsi="Arial"/>
                <w:sz w:val="15"/>
                <w:szCs w:val="15"/>
                <w:color w:val="auto"/>
              </w:rPr>
              <w:t>66.1</w:t>
            </w:r>
          </w:p>
        </w:tc>
        <w:tc>
          <w:tcPr>
            <w:tcW w:w="1280" w:type="dxa"/>
            <w:vAlign w:val="bottom"/>
          </w:tcPr>
          <w:p>
            <w:pPr>
              <w:jc w:val="right"/>
              <w:spacing w:after="0"/>
              <w:rPr>
                <w:sz w:val="20"/>
                <w:szCs w:val="20"/>
                <w:color w:val="auto"/>
              </w:rPr>
            </w:pPr>
            <w:r>
              <w:rPr>
                <w:rFonts w:ascii="Arial" w:cs="Arial" w:eastAsia="Arial" w:hAnsi="Arial"/>
                <w:sz w:val="15"/>
                <w:szCs w:val="15"/>
                <w:color w:val="auto"/>
              </w:rPr>
              <w:t>144.0</w:t>
            </w:r>
          </w:p>
        </w:tc>
        <w:tc>
          <w:tcPr>
            <w:tcW w:w="1560" w:type="dxa"/>
            <w:vAlign w:val="bottom"/>
          </w:tcPr>
          <w:p>
            <w:pPr>
              <w:jc w:val="right"/>
              <w:ind w:right="207"/>
              <w:spacing w:after="0"/>
              <w:rPr>
                <w:sz w:val="20"/>
                <w:szCs w:val="20"/>
                <w:color w:val="auto"/>
              </w:rPr>
            </w:pPr>
            <w:r>
              <w:rPr>
                <w:rFonts w:ascii="Arial" w:cs="Arial" w:eastAsia="Arial" w:hAnsi="Arial"/>
                <w:sz w:val="15"/>
                <w:szCs w:val="15"/>
                <w:color w:val="auto"/>
              </w:rPr>
              <w:t>(1.7)</w:t>
            </w:r>
          </w:p>
        </w:tc>
        <w:tc>
          <w:tcPr>
            <w:tcW w:w="1380" w:type="dxa"/>
            <w:vAlign w:val="bottom"/>
          </w:tcPr>
          <w:p>
            <w:pPr>
              <w:jc w:val="right"/>
              <w:ind w:right="330"/>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407"/>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208.4</w:t>
            </w:r>
          </w:p>
        </w:tc>
      </w:tr>
      <w:tr>
        <w:trPr>
          <w:trHeight w:val="33"/>
        </w:trPr>
        <w:tc>
          <w:tcPr>
            <w:tcW w:w="358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tcPr>
          <w:p>
            <w:pPr>
              <w:spacing w:after="0"/>
              <w:rPr>
                <w:sz w:val="2"/>
                <w:szCs w:val="2"/>
                <w:color w:val="auto"/>
              </w:rPr>
            </w:pPr>
          </w:p>
        </w:tc>
        <w:tc>
          <w:tcPr>
            <w:tcW w:w="1280" w:type="dxa"/>
            <w:vAlign w:val="bottom"/>
            <w:tcBorders>
              <w:bottom w:val="single" w:sz="8" w:color="DADAE7"/>
            </w:tcBorders>
          </w:tcPr>
          <w:p>
            <w:pPr>
              <w:spacing w:after="0"/>
              <w:rPr>
                <w:sz w:val="2"/>
                <w:szCs w:val="2"/>
                <w:color w:val="auto"/>
              </w:rPr>
            </w:pPr>
          </w:p>
        </w:tc>
        <w:tc>
          <w:tcPr>
            <w:tcW w:w="1560" w:type="dxa"/>
            <w:vAlign w:val="bottom"/>
            <w:tcBorders>
              <w:bottom w:val="single" w:sz="8" w:color="DADAE7"/>
            </w:tcBorders>
          </w:tcPr>
          <w:p>
            <w:pPr>
              <w:spacing w:after="0"/>
              <w:rPr>
                <w:sz w:val="2"/>
                <w:szCs w:val="2"/>
                <w:color w:val="auto"/>
              </w:rPr>
            </w:pPr>
          </w:p>
        </w:tc>
        <w:tc>
          <w:tcPr>
            <w:tcW w:w="1380" w:type="dxa"/>
            <w:vAlign w:val="bottom"/>
            <w:tcBorders>
              <w:bottom w:val="single" w:sz="8" w:color="DADAE7"/>
            </w:tcBorders>
          </w:tcPr>
          <w:p>
            <w:pPr>
              <w:spacing w:after="0"/>
              <w:rPr>
                <w:sz w:val="2"/>
                <w:szCs w:val="2"/>
                <w:color w:val="auto"/>
              </w:rPr>
            </w:pPr>
          </w:p>
        </w:tc>
        <w:tc>
          <w:tcPr>
            <w:tcW w:w="1380" w:type="dxa"/>
            <w:vAlign w:val="bottom"/>
            <w:tcBorders>
              <w:bottom w:val="single" w:sz="8" w:color="DADAE7"/>
            </w:tcBorders>
          </w:tcPr>
          <w:p>
            <w:pPr>
              <w:spacing w:after="0"/>
              <w:rPr>
                <w:sz w:val="2"/>
                <w:szCs w:val="2"/>
                <w:color w:val="auto"/>
              </w:rPr>
            </w:pPr>
          </w:p>
        </w:tc>
        <w:tc>
          <w:tcPr>
            <w:tcW w:w="880" w:type="dxa"/>
            <w:vAlign w:val="bottom"/>
            <w:tcBorders>
              <w:bottom w:val="single" w:sz="8" w:color="DADAE7"/>
            </w:tcBorders>
          </w:tcPr>
          <w:p>
            <w:pPr>
              <w:spacing w:after="0"/>
              <w:rPr>
                <w:sz w:val="2"/>
                <w:szCs w:val="2"/>
                <w:color w:val="auto"/>
              </w:rPr>
            </w:pPr>
          </w:p>
        </w:tc>
      </w:tr>
      <w:tr>
        <w:trPr>
          <w:trHeight w:val="203"/>
        </w:trPr>
        <w:tc>
          <w:tcPr>
            <w:tcW w:w="3580" w:type="dxa"/>
            <w:vAlign w:val="bottom"/>
          </w:tcPr>
          <w:p>
            <w:pPr>
              <w:ind w:left="20"/>
              <w:spacing w:after="0"/>
              <w:rPr>
                <w:sz w:val="20"/>
                <w:szCs w:val="20"/>
                <w:color w:val="auto"/>
              </w:rPr>
            </w:pPr>
            <w:r>
              <w:rPr>
                <w:rFonts w:ascii="Arial" w:cs="Arial" w:eastAsia="Arial" w:hAnsi="Arial"/>
                <w:sz w:val="15"/>
                <w:szCs w:val="15"/>
                <w:color w:val="auto"/>
              </w:rPr>
              <w:t>Net trading income</w:t>
            </w:r>
          </w:p>
        </w:tc>
        <w:tc>
          <w:tcPr>
            <w:tcW w:w="1160" w:type="dxa"/>
            <w:vAlign w:val="bottom"/>
          </w:tcPr>
          <w:p>
            <w:pPr>
              <w:jc w:val="right"/>
              <w:ind w:right="7"/>
              <w:spacing w:after="0"/>
              <w:rPr>
                <w:sz w:val="20"/>
                <w:szCs w:val="20"/>
                <w:color w:val="auto"/>
              </w:rPr>
            </w:pPr>
            <w:r>
              <w:rPr>
                <w:rFonts w:ascii="Arial" w:cs="Arial" w:eastAsia="Arial" w:hAnsi="Arial"/>
                <w:sz w:val="15"/>
                <w:szCs w:val="15"/>
                <w:color w:val="auto"/>
              </w:rPr>
              <w:t>1.3</w:t>
            </w:r>
          </w:p>
        </w:tc>
        <w:tc>
          <w:tcPr>
            <w:tcW w:w="1280" w:type="dxa"/>
            <w:vAlign w:val="bottom"/>
          </w:tcPr>
          <w:p>
            <w:pPr>
              <w:jc w:val="right"/>
              <w:spacing w:after="0"/>
              <w:rPr>
                <w:sz w:val="20"/>
                <w:szCs w:val="20"/>
                <w:color w:val="auto"/>
              </w:rPr>
            </w:pPr>
            <w:r>
              <w:rPr>
                <w:rFonts w:ascii="Arial" w:cs="Arial" w:eastAsia="Arial" w:hAnsi="Arial"/>
                <w:sz w:val="15"/>
                <w:szCs w:val="15"/>
                <w:color w:val="auto"/>
              </w:rPr>
              <w:t>10.8</w:t>
            </w:r>
          </w:p>
        </w:tc>
        <w:tc>
          <w:tcPr>
            <w:tcW w:w="1560" w:type="dxa"/>
            <w:vAlign w:val="bottom"/>
          </w:tcPr>
          <w:p>
            <w:pPr>
              <w:jc w:val="right"/>
              <w:ind w:right="247"/>
              <w:spacing w:after="0"/>
              <w:rPr>
                <w:sz w:val="20"/>
                <w:szCs w:val="20"/>
                <w:color w:val="auto"/>
              </w:rPr>
            </w:pPr>
            <w:r>
              <w:rPr>
                <w:rFonts w:ascii="Arial" w:cs="Arial" w:eastAsia="Arial" w:hAnsi="Arial"/>
                <w:sz w:val="15"/>
                <w:szCs w:val="15"/>
                <w:color w:val="auto"/>
              </w:rPr>
              <w:t>64.3</w:t>
            </w:r>
          </w:p>
        </w:tc>
        <w:tc>
          <w:tcPr>
            <w:tcW w:w="1380" w:type="dxa"/>
            <w:vAlign w:val="bottom"/>
          </w:tcPr>
          <w:p>
            <w:pPr>
              <w:jc w:val="right"/>
              <w:ind w:right="330"/>
              <w:spacing w:after="0"/>
              <w:rPr>
                <w:sz w:val="20"/>
                <w:szCs w:val="20"/>
                <w:color w:val="auto"/>
              </w:rPr>
            </w:pPr>
            <w:r>
              <w:rPr>
                <w:rFonts w:ascii="Arial" w:cs="Arial" w:eastAsia="Arial" w:hAnsi="Arial"/>
                <w:sz w:val="15"/>
                <w:szCs w:val="15"/>
                <w:color w:val="auto"/>
              </w:rPr>
              <w:t>60.1</w:t>
            </w:r>
          </w:p>
        </w:tc>
        <w:tc>
          <w:tcPr>
            <w:tcW w:w="1380" w:type="dxa"/>
            <w:vAlign w:val="bottom"/>
          </w:tcPr>
          <w:p>
            <w:pPr>
              <w:jc w:val="right"/>
              <w:ind w:right="407"/>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136.5</w:t>
            </w:r>
          </w:p>
        </w:tc>
      </w:tr>
      <w:tr>
        <w:trPr>
          <w:trHeight w:val="33"/>
        </w:trPr>
        <w:tc>
          <w:tcPr>
            <w:tcW w:w="358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tcPr>
          <w:p>
            <w:pPr>
              <w:spacing w:after="0"/>
              <w:rPr>
                <w:sz w:val="2"/>
                <w:szCs w:val="2"/>
                <w:color w:val="auto"/>
              </w:rPr>
            </w:pPr>
          </w:p>
        </w:tc>
        <w:tc>
          <w:tcPr>
            <w:tcW w:w="1280" w:type="dxa"/>
            <w:vAlign w:val="bottom"/>
            <w:tcBorders>
              <w:bottom w:val="single" w:sz="8" w:color="DADAE7"/>
            </w:tcBorders>
          </w:tcPr>
          <w:p>
            <w:pPr>
              <w:spacing w:after="0"/>
              <w:rPr>
                <w:sz w:val="2"/>
                <w:szCs w:val="2"/>
                <w:color w:val="auto"/>
              </w:rPr>
            </w:pPr>
          </w:p>
        </w:tc>
        <w:tc>
          <w:tcPr>
            <w:tcW w:w="1560" w:type="dxa"/>
            <w:vAlign w:val="bottom"/>
            <w:tcBorders>
              <w:bottom w:val="single" w:sz="8" w:color="DADAE7"/>
            </w:tcBorders>
          </w:tcPr>
          <w:p>
            <w:pPr>
              <w:spacing w:after="0"/>
              <w:rPr>
                <w:sz w:val="2"/>
                <w:szCs w:val="2"/>
                <w:color w:val="auto"/>
              </w:rPr>
            </w:pPr>
          </w:p>
        </w:tc>
        <w:tc>
          <w:tcPr>
            <w:tcW w:w="1380" w:type="dxa"/>
            <w:vAlign w:val="bottom"/>
            <w:tcBorders>
              <w:bottom w:val="single" w:sz="8" w:color="DADAE7"/>
            </w:tcBorders>
          </w:tcPr>
          <w:p>
            <w:pPr>
              <w:spacing w:after="0"/>
              <w:rPr>
                <w:sz w:val="2"/>
                <w:szCs w:val="2"/>
                <w:color w:val="auto"/>
              </w:rPr>
            </w:pPr>
          </w:p>
        </w:tc>
        <w:tc>
          <w:tcPr>
            <w:tcW w:w="1380" w:type="dxa"/>
            <w:vAlign w:val="bottom"/>
            <w:tcBorders>
              <w:bottom w:val="single" w:sz="8" w:color="DADAE7"/>
            </w:tcBorders>
          </w:tcPr>
          <w:p>
            <w:pPr>
              <w:spacing w:after="0"/>
              <w:rPr>
                <w:sz w:val="2"/>
                <w:szCs w:val="2"/>
                <w:color w:val="auto"/>
              </w:rPr>
            </w:pPr>
          </w:p>
        </w:tc>
        <w:tc>
          <w:tcPr>
            <w:tcW w:w="880" w:type="dxa"/>
            <w:vAlign w:val="bottom"/>
            <w:tcBorders>
              <w:bottom w:val="single" w:sz="8" w:color="DADAE7"/>
            </w:tcBorders>
          </w:tcPr>
          <w:p>
            <w:pPr>
              <w:spacing w:after="0"/>
              <w:rPr>
                <w:sz w:val="2"/>
                <w:szCs w:val="2"/>
                <w:color w:val="auto"/>
              </w:rPr>
            </w:pPr>
          </w:p>
        </w:tc>
      </w:tr>
      <w:tr>
        <w:trPr>
          <w:trHeight w:val="203"/>
        </w:trPr>
        <w:tc>
          <w:tcPr>
            <w:tcW w:w="3580" w:type="dxa"/>
            <w:vAlign w:val="bottom"/>
          </w:tcPr>
          <w:p>
            <w:pPr>
              <w:ind w:left="20"/>
              <w:spacing w:after="0"/>
              <w:rPr>
                <w:sz w:val="20"/>
                <w:szCs w:val="20"/>
                <w:color w:val="auto"/>
              </w:rPr>
            </w:pPr>
            <w:r>
              <w:rPr>
                <w:rFonts w:ascii="Arial" w:cs="Arial" w:eastAsia="Arial" w:hAnsi="Arial"/>
                <w:sz w:val="15"/>
                <w:szCs w:val="15"/>
                <w:color w:val="auto"/>
              </w:rPr>
              <w:t>Net interest income/(expense)</w:t>
            </w:r>
          </w:p>
        </w:tc>
        <w:tc>
          <w:tcPr>
            <w:tcW w:w="1160" w:type="dxa"/>
            <w:vAlign w:val="bottom"/>
          </w:tcPr>
          <w:p>
            <w:pPr>
              <w:jc w:val="right"/>
              <w:ind w:right="7"/>
              <w:spacing w:after="0"/>
              <w:rPr>
                <w:sz w:val="20"/>
                <w:szCs w:val="20"/>
                <w:color w:val="auto"/>
              </w:rPr>
            </w:pPr>
            <w:r>
              <w:rPr>
                <w:rFonts w:ascii="Arial" w:cs="Arial" w:eastAsia="Arial" w:hAnsi="Arial"/>
                <w:sz w:val="15"/>
                <w:szCs w:val="15"/>
                <w:color w:val="auto"/>
              </w:rPr>
              <w:t>56.8</w:t>
            </w:r>
          </w:p>
        </w:tc>
        <w:tc>
          <w:tcPr>
            <w:tcW w:w="1280" w:type="dxa"/>
            <w:vAlign w:val="bottom"/>
          </w:tcPr>
          <w:p>
            <w:pPr>
              <w:jc w:val="right"/>
              <w:spacing w:after="0"/>
              <w:rPr>
                <w:sz w:val="20"/>
                <w:szCs w:val="20"/>
                <w:color w:val="auto"/>
              </w:rPr>
            </w:pPr>
            <w:r>
              <w:rPr>
                <w:rFonts w:ascii="Arial" w:cs="Arial" w:eastAsia="Arial" w:hAnsi="Arial"/>
                <w:sz w:val="15"/>
                <w:szCs w:val="15"/>
                <w:color w:val="auto"/>
              </w:rPr>
              <w:t>9.5</w:t>
            </w:r>
          </w:p>
        </w:tc>
        <w:tc>
          <w:tcPr>
            <w:tcW w:w="1560" w:type="dxa"/>
            <w:vAlign w:val="bottom"/>
          </w:tcPr>
          <w:p>
            <w:pPr>
              <w:jc w:val="right"/>
              <w:ind w:right="207"/>
              <w:spacing w:after="0"/>
              <w:rPr>
                <w:sz w:val="20"/>
                <w:szCs w:val="20"/>
                <w:color w:val="auto"/>
              </w:rPr>
            </w:pPr>
            <w:r>
              <w:rPr>
                <w:rFonts w:ascii="Arial" w:cs="Arial" w:eastAsia="Arial" w:hAnsi="Arial"/>
                <w:sz w:val="15"/>
                <w:szCs w:val="15"/>
                <w:color w:val="auto"/>
              </w:rPr>
              <w:t>(4.7)</w:t>
            </w:r>
          </w:p>
        </w:tc>
        <w:tc>
          <w:tcPr>
            <w:tcW w:w="1380" w:type="dxa"/>
            <w:vAlign w:val="bottom"/>
          </w:tcPr>
          <w:p>
            <w:pPr>
              <w:jc w:val="right"/>
              <w:ind w:right="290"/>
              <w:spacing w:after="0"/>
              <w:rPr>
                <w:sz w:val="20"/>
                <w:szCs w:val="20"/>
                <w:color w:val="auto"/>
              </w:rPr>
            </w:pPr>
            <w:r>
              <w:rPr>
                <w:rFonts w:ascii="Arial" w:cs="Arial" w:eastAsia="Arial" w:hAnsi="Arial"/>
                <w:sz w:val="15"/>
                <w:szCs w:val="15"/>
                <w:color w:val="auto"/>
              </w:rPr>
              <w:t>(15.4)</w:t>
            </w:r>
          </w:p>
        </w:tc>
        <w:tc>
          <w:tcPr>
            <w:tcW w:w="1380" w:type="dxa"/>
            <w:vAlign w:val="bottom"/>
          </w:tcPr>
          <w:p>
            <w:pPr>
              <w:jc w:val="right"/>
              <w:ind w:right="407"/>
              <w:spacing w:after="0"/>
              <w:rPr>
                <w:sz w:val="20"/>
                <w:szCs w:val="20"/>
                <w:color w:val="auto"/>
              </w:rPr>
            </w:pPr>
            <w:r>
              <w:rPr>
                <w:rFonts w:ascii="Arial" w:cs="Arial" w:eastAsia="Arial" w:hAnsi="Arial"/>
                <w:sz w:val="15"/>
                <w:szCs w:val="15"/>
                <w:color w:val="auto"/>
              </w:rPr>
              <w:t>19.2</w:t>
            </w:r>
          </w:p>
        </w:tc>
        <w:tc>
          <w:tcPr>
            <w:tcW w:w="880" w:type="dxa"/>
            <w:vAlign w:val="bottom"/>
          </w:tcPr>
          <w:p>
            <w:pPr>
              <w:jc w:val="right"/>
              <w:spacing w:after="0"/>
              <w:rPr>
                <w:sz w:val="20"/>
                <w:szCs w:val="20"/>
                <w:color w:val="auto"/>
              </w:rPr>
            </w:pPr>
            <w:r>
              <w:rPr>
                <w:rFonts w:ascii="Arial" w:cs="Arial" w:eastAsia="Arial" w:hAnsi="Arial"/>
                <w:sz w:val="15"/>
                <w:szCs w:val="15"/>
                <w:color w:val="auto"/>
              </w:rPr>
              <w:t>65.4</w:t>
            </w:r>
          </w:p>
        </w:tc>
      </w:tr>
      <w:tr>
        <w:trPr>
          <w:trHeight w:val="33"/>
        </w:trPr>
        <w:tc>
          <w:tcPr>
            <w:tcW w:w="358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tcPr>
          <w:p>
            <w:pPr>
              <w:spacing w:after="0"/>
              <w:rPr>
                <w:sz w:val="2"/>
                <w:szCs w:val="2"/>
                <w:color w:val="auto"/>
              </w:rPr>
            </w:pPr>
          </w:p>
        </w:tc>
        <w:tc>
          <w:tcPr>
            <w:tcW w:w="1280" w:type="dxa"/>
            <w:vAlign w:val="bottom"/>
            <w:tcBorders>
              <w:bottom w:val="single" w:sz="8" w:color="DADAE7"/>
            </w:tcBorders>
          </w:tcPr>
          <w:p>
            <w:pPr>
              <w:spacing w:after="0"/>
              <w:rPr>
                <w:sz w:val="2"/>
                <w:szCs w:val="2"/>
                <w:color w:val="auto"/>
              </w:rPr>
            </w:pPr>
          </w:p>
        </w:tc>
        <w:tc>
          <w:tcPr>
            <w:tcW w:w="1560" w:type="dxa"/>
            <w:vAlign w:val="bottom"/>
            <w:tcBorders>
              <w:bottom w:val="single" w:sz="8" w:color="DADAE7"/>
            </w:tcBorders>
          </w:tcPr>
          <w:p>
            <w:pPr>
              <w:spacing w:after="0"/>
              <w:rPr>
                <w:sz w:val="2"/>
                <w:szCs w:val="2"/>
                <w:color w:val="auto"/>
              </w:rPr>
            </w:pPr>
          </w:p>
        </w:tc>
        <w:tc>
          <w:tcPr>
            <w:tcW w:w="1380" w:type="dxa"/>
            <w:vAlign w:val="bottom"/>
            <w:tcBorders>
              <w:bottom w:val="single" w:sz="8" w:color="DADAE7"/>
            </w:tcBorders>
          </w:tcPr>
          <w:p>
            <w:pPr>
              <w:spacing w:after="0"/>
              <w:rPr>
                <w:sz w:val="2"/>
                <w:szCs w:val="2"/>
                <w:color w:val="auto"/>
              </w:rPr>
            </w:pPr>
          </w:p>
        </w:tc>
        <w:tc>
          <w:tcPr>
            <w:tcW w:w="1380" w:type="dxa"/>
            <w:vAlign w:val="bottom"/>
            <w:tcBorders>
              <w:bottom w:val="single" w:sz="8" w:color="DADAE7"/>
            </w:tcBorders>
          </w:tcPr>
          <w:p>
            <w:pPr>
              <w:spacing w:after="0"/>
              <w:rPr>
                <w:sz w:val="2"/>
                <w:szCs w:val="2"/>
                <w:color w:val="auto"/>
              </w:rPr>
            </w:pPr>
          </w:p>
        </w:tc>
        <w:tc>
          <w:tcPr>
            <w:tcW w:w="880" w:type="dxa"/>
            <w:vAlign w:val="bottom"/>
            <w:tcBorders>
              <w:bottom w:val="single" w:sz="8" w:color="DADAE7"/>
            </w:tcBorders>
          </w:tcPr>
          <w:p>
            <w:pPr>
              <w:spacing w:after="0"/>
              <w:rPr>
                <w:sz w:val="2"/>
                <w:szCs w:val="2"/>
                <w:color w:val="auto"/>
              </w:rPr>
            </w:pPr>
          </w:p>
        </w:tc>
      </w:tr>
      <w:tr>
        <w:trPr>
          <w:trHeight w:val="204"/>
        </w:trPr>
        <w:tc>
          <w:tcPr>
            <w:tcW w:w="3580" w:type="dxa"/>
            <w:vAlign w:val="bottom"/>
          </w:tcPr>
          <w:p>
            <w:pPr>
              <w:ind w:left="20"/>
              <w:spacing w:after="0"/>
              <w:rPr>
                <w:sz w:val="20"/>
                <w:szCs w:val="20"/>
                <w:color w:val="auto"/>
              </w:rPr>
            </w:pPr>
            <w:r>
              <w:rPr>
                <w:rFonts w:ascii="Arial" w:cs="Arial" w:eastAsia="Arial" w:hAnsi="Arial"/>
                <w:sz w:val="15"/>
                <w:szCs w:val="15"/>
                <w:color w:val="auto"/>
              </w:rPr>
              <w:t>Net physical commodities income</w:t>
            </w:r>
          </w:p>
        </w:tc>
        <w:tc>
          <w:tcPr>
            <w:tcW w:w="11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0.2</w:t>
            </w:r>
          </w:p>
        </w:tc>
        <w:tc>
          <w:tcPr>
            <w:tcW w:w="1560" w:type="dxa"/>
            <w:vAlign w:val="bottom"/>
          </w:tcPr>
          <w:p>
            <w:pPr>
              <w:jc w:val="right"/>
              <w:ind w:right="247"/>
              <w:spacing w:after="0"/>
              <w:rPr>
                <w:sz w:val="20"/>
                <w:szCs w:val="20"/>
                <w:color w:val="auto"/>
              </w:rPr>
            </w:pPr>
            <w:r>
              <w:rPr>
                <w:rFonts w:ascii="Arial" w:cs="Arial" w:eastAsia="Arial" w:hAnsi="Arial"/>
                <w:sz w:val="15"/>
                <w:szCs w:val="15"/>
                <w:color w:val="auto"/>
              </w:rPr>
              <w:t>11.6</w:t>
            </w:r>
          </w:p>
        </w:tc>
        <w:tc>
          <w:tcPr>
            <w:tcW w:w="1380" w:type="dxa"/>
            <w:vAlign w:val="bottom"/>
          </w:tcPr>
          <w:p>
            <w:pPr>
              <w:jc w:val="right"/>
              <w:ind w:right="330"/>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407"/>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11.8</w:t>
            </w:r>
          </w:p>
        </w:tc>
      </w:tr>
      <w:tr>
        <w:trPr>
          <w:trHeight w:val="33"/>
        </w:trPr>
        <w:tc>
          <w:tcPr>
            <w:tcW w:w="3580" w:type="dxa"/>
            <w:vAlign w:val="bottom"/>
            <w:tcBorders>
              <w:bottom w:val="single" w:sz="8" w:color="793690"/>
            </w:tcBorders>
          </w:tcPr>
          <w:p>
            <w:pPr>
              <w:spacing w:after="0"/>
              <w:rPr>
                <w:sz w:val="2"/>
                <w:szCs w:val="2"/>
                <w:color w:val="auto"/>
              </w:rPr>
            </w:pPr>
          </w:p>
        </w:tc>
        <w:tc>
          <w:tcPr>
            <w:tcW w:w="1160" w:type="dxa"/>
            <w:vAlign w:val="bottom"/>
            <w:tcBorders>
              <w:bottom w:val="single" w:sz="8" w:color="793690"/>
            </w:tcBorders>
          </w:tcPr>
          <w:p>
            <w:pPr>
              <w:spacing w:after="0"/>
              <w:rPr>
                <w:sz w:val="2"/>
                <w:szCs w:val="2"/>
                <w:color w:val="auto"/>
              </w:rPr>
            </w:pPr>
          </w:p>
        </w:tc>
        <w:tc>
          <w:tcPr>
            <w:tcW w:w="1280" w:type="dxa"/>
            <w:vAlign w:val="bottom"/>
            <w:tcBorders>
              <w:bottom w:val="single" w:sz="8" w:color="793690"/>
            </w:tcBorders>
          </w:tcPr>
          <w:p>
            <w:pPr>
              <w:spacing w:after="0"/>
              <w:rPr>
                <w:sz w:val="2"/>
                <w:szCs w:val="2"/>
                <w:color w:val="auto"/>
              </w:rPr>
            </w:pPr>
          </w:p>
        </w:tc>
        <w:tc>
          <w:tcPr>
            <w:tcW w:w="1560" w:type="dxa"/>
            <w:vAlign w:val="bottom"/>
            <w:tcBorders>
              <w:bottom w:val="single" w:sz="8" w:color="793690"/>
            </w:tcBorders>
          </w:tcPr>
          <w:p>
            <w:pPr>
              <w:spacing w:after="0"/>
              <w:rPr>
                <w:sz w:val="2"/>
                <w:szCs w:val="2"/>
                <w:color w:val="auto"/>
              </w:rPr>
            </w:pPr>
          </w:p>
        </w:tc>
        <w:tc>
          <w:tcPr>
            <w:tcW w:w="1380" w:type="dxa"/>
            <w:vAlign w:val="bottom"/>
            <w:tcBorders>
              <w:bottom w:val="single" w:sz="8" w:color="793690"/>
            </w:tcBorders>
          </w:tcPr>
          <w:p>
            <w:pPr>
              <w:spacing w:after="0"/>
              <w:rPr>
                <w:sz w:val="2"/>
                <w:szCs w:val="2"/>
                <w:color w:val="auto"/>
              </w:rPr>
            </w:pPr>
          </w:p>
        </w:tc>
        <w:tc>
          <w:tcPr>
            <w:tcW w:w="1380" w:type="dxa"/>
            <w:vAlign w:val="bottom"/>
            <w:tcBorders>
              <w:bottom w:val="single" w:sz="8" w:color="793690"/>
            </w:tcBorders>
          </w:tcPr>
          <w:p>
            <w:pPr>
              <w:spacing w:after="0"/>
              <w:rPr>
                <w:sz w:val="2"/>
                <w:szCs w:val="2"/>
                <w:color w:val="auto"/>
              </w:rPr>
            </w:pPr>
          </w:p>
        </w:tc>
        <w:tc>
          <w:tcPr>
            <w:tcW w:w="880" w:type="dxa"/>
            <w:vAlign w:val="bottom"/>
            <w:tcBorders>
              <w:bottom w:val="single" w:sz="8" w:color="793690"/>
            </w:tcBorders>
          </w:tcPr>
          <w:p>
            <w:pPr>
              <w:spacing w:after="0"/>
              <w:rPr>
                <w:sz w:val="2"/>
                <w:szCs w:val="2"/>
                <w:color w:val="auto"/>
              </w:rPr>
            </w:pPr>
          </w:p>
        </w:tc>
      </w:tr>
      <w:tr>
        <w:trPr>
          <w:trHeight w:val="204"/>
        </w:trPr>
        <w:tc>
          <w:tcPr>
            <w:tcW w:w="3580" w:type="dxa"/>
            <w:vAlign w:val="bottom"/>
          </w:tcPr>
          <w:p>
            <w:pPr>
              <w:ind w:left="20"/>
              <w:spacing w:after="0"/>
              <w:rPr>
                <w:sz w:val="20"/>
                <w:szCs w:val="20"/>
                <w:color w:val="auto"/>
              </w:rPr>
            </w:pPr>
            <w:r>
              <w:rPr>
                <w:rFonts w:ascii="Arial" w:cs="Arial" w:eastAsia="Arial" w:hAnsi="Arial"/>
                <w:sz w:val="15"/>
                <w:szCs w:val="15"/>
                <w:color w:val="auto"/>
              </w:rPr>
              <w:t>Revenue</w:t>
            </w:r>
          </w:p>
        </w:tc>
        <w:tc>
          <w:tcPr>
            <w:tcW w:w="1160" w:type="dxa"/>
            <w:vAlign w:val="bottom"/>
          </w:tcPr>
          <w:p>
            <w:pPr>
              <w:jc w:val="right"/>
              <w:ind w:right="7"/>
              <w:spacing w:after="0"/>
              <w:rPr>
                <w:sz w:val="20"/>
                <w:szCs w:val="20"/>
                <w:color w:val="auto"/>
              </w:rPr>
            </w:pPr>
            <w:r>
              <w:rPr>
                <w:rFonts w:ascii="Arial" w:cs="Arial" w:eastAsia="Arial" w:hAnsi="Arial"/>
                <w:sz w:val="15"/>
                <w:szCs w:val="15"/>
                <w:color w:val="auto"/>
              </w:rPr>
              <w:t>124.2</w:t>
            </w:r>
          </w:p>
        </w:tc>
        <w:tc>
          <w:tcPr>
            <w:tcW w:w="1280" w:type="dxa"/>
            <w:vAlign w:val="bottom"/>
          </w:tcPr>
          <w:p>
            <w:pPr>
              <w:jc w:val="right"/>
              <w:spacing w:after="0"/>
              <w:rPr>
                <w:sz w:val="20"/>
                <w:szCs w:val="20"/>
                <w:color w:val="auto"/>
              </w:rPr>
            </w:pPr>
            <w:r>
              <w:rPr>
                <w:rFonts w:ascii="Arial" w:cs="Arial" w:eastAsia="Arial" w:hAnsi="Arial"/>
                <w:sz w:val="15"/>
                <w:szCs w:val="15"/>
                <w:color w:val="auto"/>
              </w:rPr>
              <w:t>164.5</w:t>
            </w:r>
          </w:p>
        </w:tc>
        <w:tc>
          <w:tcPr>
            <w:tcW w:w="1560" w:type="dxa"/>
            <w:vAlign w:val="bottom"/>
          </w:tcPr>
          <w:p>
            <w:pPr>
              <w:jc w:val="right"/>
              <w:ind w:right="247"/>
              <w:spacing w:after="0"/>
              <w:rPr>
                <w:sz w:val="20"/>
                <w:szCs w:val="20"/>
                <w:color w:val="auto"/>
              </w:rPr>
            </w:pPr>
            <w:r>
              <w:rPr>
                <w:rFonts w:ascii="Arial" w:cs="Arial" w:eastAsia="Arial" w:hAnsi="Arial"/>
                <w:sz w:val="15"/>
                <w:szCs w:val="15"/>
                <w:color w:val="auto"/>
              </w:rPr>
              <w:t>69.5</w:t>
            </w:r>
          </w:p>
        </w:tc>
        <w:tc>
          <w:tcPr>
            <w:tcW w:w="1380" w:type="dxa"/>
            <w:vAlign w:val="bottom"/>
          </w:tcPr>
          <w:p>
            <w:pPr>
              <w:jc w:val="right"/>
              <w:ind w:right="330"/>
              <w:spacing w:after="0"/>
              <w:rPr>
                <w:sz w:val="20"/>
                <w:szCs w:val="20"/>
                <w:color w:val="auto"/>
              </w:rPr>
            </w:pPr>
            <w:r>
              <w:rPr>
                <w:rFonts w:ascii="Arial" w:cs="Arial" w:eastAsia="Arial" w:hAnsi="Arial"/>
                <w:sz w:val="15"/>
                <w:szCs w:val="15"/>
                <w:color w:val="auto"/>
              </w:rPr>
              <w:t>44.7</w:t>
            </w:r>
          </w:p>
        </w:tc>
        <w:tc>
          <w:tcPr>
            <w:tcW w:w="1380" w:type="dxa"/>
            <w:vAlign w:val="bottom"/>
          </w:tcPr>
          <w:p>
            <w:pPr>
              <w:jc w:val="right"/>
              <w:ind w:right="407"/>
              <w:spacing w:after="0"/>
              <w:rPr>
                <w:sz w:val="20"/>
                <w:szCs w:val="20"/>
                <w:color w:val="auto"/>
              </w:rPr>
            </w:pPr>
            <w:r>
              <w:rPr>
                <w:rFonts w:ascii="Arial" w:cs="Arial" w:eastAsia="Arial" w:hAnsi="Arial"/>
                <w:sz w:val="15"/>
                <w:szCs w:val="15"/>
                <w:color w:val="auto"/>
              </w:rPr>
              <w:t>19.2</w:t>
            </w:r>
          </w:p>
        </w:tc>
        <w:tc>
          <w:tcPr>
            <w:tcW w:w="880" w:type="dxa"/>
            <w:vAlign w:val="bottom"/>
          </w:tcPr>
          <w:p>
            <w:pPr>
              <w:jc w:val="right"/>
              <w:spacing w:after="0"/>
              <w:rPr>
                <w:sz w:val="20"/>
                <w:szCs w:val="20"/>
                <w:color w:val="auto"/>
              </w:rPr>
            </w:pPr>
            <w:r>
              <w:rPr>
                <w:rFonts w:ascii="Arial" w:cs="Arial" w:eastAsia="Arial" w:hAnsi="Arial"/>
                <w:sz w:val="15"/>
                <w:szCs w:val="15"/>
                <w:color w:val="auto"/>
              </w:rPr>
              <w:t>422.1</w:t>
            </w:r>
          </w:p>
        </w:tc>
      </w:tr>
      <w:tr>
        <w:trPr>
          <w:trHeight w:val="33"/>
        </w:trPr>
        <w:tc>
          <w:tcPr>
            <w:tcW w:w="3580" w:type="dxa"/>
            <w:vAlign w:val="bottom"/>
            <w:tcBorders>
              <w:bottom w:val="single" w:sz="8" w:color="793690"/>
            </w:tcBorders>
          </w:tcPr>
          <w:p>
            <w:pPr>
              <w:spacing w:after="0"/>
              <w:rPr>
                <w:sz w:val="2"/>
                <w:szCs w:val="2"/>
                <w:color w:val="auto"/>
              </w:rPr>
            </w:pPr>
          </w:p>
        </w:tc>
        <w:tc>
          <w:tcPr>
            <w:tcW w:w="1160" w:type="dxa"/>
            <w:vAlign w:val="bottom"/>
            <w:tcBorders>
              <w:bottom w:val="single" w:sz="8" w:color="793690"/>
            </w:tcBorders>
          </w:tcPr>
          <w:p>
            <w:pPr>
              <w:spacing w:after="0"/>
              <w:rPr>
                <w:sz w:val="2"/>
                <w:szCs w:val="2"/>
                <w:color w:val="auto"/>
              </w:rPr>
            </w:pPr>
          </w:p>
        </w:tc>
        <w:tc>
          <w:tcPr>
            <w:tcW w:w="1280" w:type="dxa"/>
            <w:vAlign w:val="bottom"/>
            <w:tcBorders>
              <w:bottom w:val="single" w:sz="8" w:color="793690"/>
            </w:tcBorders>
          </w:tcPr>
          <w:p>
            <w:pPr>
              <w:spacing w:after="0"/>
              <w:rPr>
                <w:sz w:val="2"/>
                <w:szCs w:val="2"/>
                <w:color w:val="auto"/>
              </w:rPr>
            </w:pPr>
          </w:p>
        </w:tc>
        <w:tc>
          <w:tcPr>
            <w:tcW w:w="1560" w:type="dxa"/>
            <w:vAlign w:val="bottom"/>
            <w:tcBorders>
              <w:bottom w:val="single" w:sz="8" w:color="793690"/>
            </w:tcBorders>
          </w:tcPr>
          <w:p>
            <w:pPr>
              <w:spacing w:after="0"/>
              <w:rPr>
                <w:sz w:val="2"/>
                <w:szCs w:val="2"/>
                <w:color w:val="auto"/>
              </w:rPr>
            </w:pPr>
          </w:p>
        </w:tc>
        <w:tc>
          <w:tcPr>
            <w:tcW w:w="1380" w:type="dxa"/>
            <w:vAlign w:val="bottom"/>
            <w:tcBorders>
              <w:bottom w:val="single" w:sz="8" w:color="793690"/>
            </w:tcBorders>
          </w:tcPr>
          <w:p>
            <w:pPr>
              <w:spacing w:after="0"/>
              <w:rPr>
                <w:sz w:val="2"/>
                <w:szCs w:val="2"/>
                <w:color w:val="auto"/>
              </w:rPr>
            </w:pPr>
          </w:p>
        </w:tc>
        <w:tc>
          <w:tcPr>
            <w:tcW w:w="1380" w:type="dxa"/>
            <w:vAlign w:val="bottom"/>
            <w:tcBorders>
              <w:bottom w:val="single" w:sz="8" w:color="793690"/>
            </w:tcBorders>
          </w:tcPr>
          <w:p>
            <w:pPr>
              <w:spacing w:after="0"/>
              <w:rPr>
                <w:sz w:val="2"/>
                <w:szCs w:val="2"/>
                <w:color w:val="auto"/>
              </w:rPr>
            </w:pPr>
          </w:p>
        </w:tc>
        <w:tc>
          <w:tcPr>
            <w:tcW w:w="880" w:type="dxa"/>
            <w:vAlign w:val="bottom"/>
            <w:tcBorders>
              <w:bottom w:val="single" w:sz="8" w:color="793690"/>
            </w:tcBorders>
          </w:tcPr>
          <w:p>
            <w:pPr>
              <w:spacing w:after="0"/>
              <w:rPr>
                <w:sz w:val="2"/>
                <w:szCs w:val="2"/>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tables present the Group's segmental revenue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80" w:type="dxa"/>
            <w:vAlign w:val="bottom"/>
          </w:tcPr>
          <w:p>
            <w:pPr>
              <w:spacing w:after="0"/>
              <w:rPr>
                <w:sz w:val="13"/>
                <w:szCs w:val="13"/>
                <w:color w:val="auto"/>
              </w:rPr>
            </w:pPr>
          </w:p>
        </w:tc>
        <w:tc>
          <w:tcPr>
            <w:tcW w:w="1160" w:type="dxa"/>
            <w:vAlign w:val="bottom"/>
            <w:shd w:val="clear" w:color="auto" w:fill="F4EFF6"/>
          </w:tcPr>
          <w:p>
            <w:pPr>
              <w:spacing w:after="0"/>
              <w:rPr>
                <w:sz w:val="13"/>
                <w:szCs w:val="13"/>
                <w:color w:val="auto"/>
              </w:rPr>
            </w:pPr>
          </w:p>
        </w:tc>
        <w:tc>
          <w:tcPr>
            <w:tcW w:w="1280" w:type="dxa"/>
            <w:vAlign w:val="bottom"/>
            <w:shd w:val="clear" w:color="auto" w:fill="F4EFF6"/>
          </w:tcPr>
          <w:p>
            <w:pPr>
              <w:spacing w:after="0"/>
              <w:rPr>
                <w:sz w:val="13"/>
                <w:szCs w:val="13"/>
                <w:color w:val="auto"/>
              </w:rPr>
            </w:pPr>
          </w:p>
        </w:tc>
        <w:tc>
          <w:tcPr>
            <w:tcW w:w="1560" w:type="dxa"/>
            <w:vAlign w:val="bottom"/>
            <w:shd w:val="clear" w:color="auto" w:fill="F4EFF6"/>
          </w:tcPr>
          <w:p>
            <w:pPr>
              <w:spacing w:after="0"/>
              <w:rPr>
                <w:sz w:val="13"/>
                <w:szCs w:val="13"/>
                <w:color w:val="auto"/>
              </w:rPr>
            </w:pPr>
          </w:p>
        </w:tc>
        <w:tc>
          <w:tcPr>
            <w:tcW w:w="1380" w:type="dxa"/>
            <w:vAlign w:val="bottom"/>
            <w:shd w:val="clear" w:color="auto" w:fill="F4EFF6"/>
          </w:tcPr>
          <w:p>
            <w:pPr>
              <w:jc w:val="right"/>
              <w:ind w:right="270"/>
              <w:spacing w:after="0"/>
              <w:rPr>
                <w:sz w:val="20"/>
                <w:szCs w:val="20"/>
                <w:color w:val="auto"/>
              </w:rPr>
            </w:pPr>
            <w:r>
              <w:rPr>
                <w:rFonts w:ascii="Arial" w:cs="Arial" w:eastAsia="Arial" w:hAnsi="Arial"/>
                <w:sz w:val="13"/>
                <w:szCs w:val="13"/>
                <w:b w:val="1"/>
                <w:bCs w:val="1"/>
                <w:color w:val="auto"/>
              </w:rPr>
              <w:t>Hedging and</w:t>
            </w:r>
          </w:p>
        </w:tc>
        <w:tc>
          <w:tcPr>
            <w:tcW w:w="1380" w:type="dxa"/>
            <w:vAlign w:val="bottom"/>
            <w:shd w:val="clear" w:color="auto" w:fill="F4EFF6"/>
          </w:tcPr>
          <w:p>
            <w:pPr>
              <w:spacing w:after="0"/>
              <w:rPr>
                <w:sz w:val="13"/>
                <w:szCs w:val="13"/>
                <w:color w:val="auto"/>
              </w:rPr>
            </w:pPr>
          </w:p>
        </w:tc>
        <w:tc>
          <w:tcPr>
            <w:tcW w:w="880" w:type="dxa"/>
            <w:vAlign w:val="bottom"/>
            <w:shd w:val="clear" w:color="auto" w:fill="F4EFF6"/>
          </w:tcPr>
          <w:p>
            <w:pPr>
              <w:spacing w:after="0"/>
              <w:rPr>
                <w:sz w:val="13"/>
                <w:szCs w:val="13"/>
                <w:color w:val="auto"/>
              </w:rPr>
            </w:pPr>
          </w:p>
        </w:tc>
      </w:tr>
      <w:tr>
        <w:trPr>
          <w:trHeight w:val="148"/>
        </w:trPr>
        <w:tc>
          <w:tcPr>
            <w:tcW w:w="3580" w:type="dxa"/>
            <w:vAlign w:val="bottom"/>
          </w:tcPr>
          <w:p>
            <w:pPr>
              <w:spacing w:after="0"/>
              <w:rPr>
                <w:sz w:val="12"/>
                <w:szCs w:val="12"/>
                <w:color w:val="auto"/>
              </w:rPr>
            </w:pPr>
          </w:p>
        </w:tc>
        <w:tc>
          <w:tcPr>
            <w:tcW w:w="1160" w:type="dxa"/>
            <w:vAlign w:val="bottom"/>
            <w:shd w:val="clear" w:color="auto" w:fill="F4EFF6"/>
          </w:tcPr>
          <w:p>
            <w:pPr>
              <w:spacing w:after="0"/>
              <w:rPr>
                <w:sz w:val="12"/>
                <w:szCs w:val="12"/>
                <w:color w:val="auto"/>
              </w:rPr>
            </w:pPr>
          </w:p>
        </w:tc>
        <w:tc>
          <w:tcPr>
            <w:tcW w:w="128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Agency and</w:t>
            </w:r>
          </w:p>
        </w:tc>
        <w:tc>
          <w:tcPr>
            <w:tcW w:w="1560" w:type="dxa"/>
            <w:vAlign w:val="bottom"/>
            <w:shd w:val="clear" w:color="auto" w:fill="F4EFF6"/>
          </w:tcPr>
          <w:p>
            <w:pPr>
              <w:spacing w:after="0"/>
              <w:rPr>
                <w:sz w:val="12"/>
                <w:szCs w:val="12"/>
                <w:color w:val="auto"/>
              </w:rPr>
            </w:pPr>
          </w:p>
        </w:tc>
        <w:tc>
          <w:tcPr>
            <w:tcW w:w="1380" w:type="dxa"/>
            <w:vAlign w:val="bottom"/>
            <w:shd w:val="clear" w:color="auto" w:fill="F4EFF6"/>
          </w:tcPr>
          <w:p>
            <w:pPr>
              <w:jc w:val="right"/>
              <w:ind w:right="270"/>
              <w:spacing w:after="0"/>
              <w:rPr>
                <w:sz w:val="20"/>
                <w:szCs w:val="20"/>
                <w:color w:val="auto"/>
              </w:rPr>
            </w:pPr>
            <w:r>
              <w:rPr>
                <w:rFonts w:ascii="Arial" w:cs="Arial" w:eastAsia="Arial" w:hAnsi="Arial"/>
                <w:sz w:val="13"/>
                <w:szCs w:val="13"/>
                <w:b w:val="1"/>
                <w:bCs w:val="1"/>
                <w:color w:val="auto"/>
              </w:rPr>
              <w:t>Investment</w:t>
            </w:r>
          </w:p>
        </w:tc>
        <w:tc>
          <w:tcPr>
            <w:tcW w:w="1380" w:type="dxa"/>
            <w:vAlign w:val="bottom"/>
            <w:shd w:val="clear" w:color="auto" w:fill="F4EFF6"/>
          </w:tcPr>
          <w:p>
            <w:pPr>
              <w:spacing w:after="0"/>
              <w:rPr>
                <w:sz w:val="12"/>
                <w:szCs w:val="12"/>
                <w:color w:val="auto"/>
              </w:rPr>
            </w:pPr>
          </w:p>
        </w:tc>
        <w:tc>
          <w:tcPr>
            <w:tcW w:w="880" w:type="dxa"/>
            <w:vAlign w:val="bottom"/>
            <w:shd w:val="clear" w:color="auto" w:fill="F4EFF6"/>
          </w:tcPr>
          <w:p>
            <w:pPr>
              <w:spacing w:after="0"/>
              <w:rPr>
                <w:sz w:val="12"/>
                <w:szCs w:val="12"/>
                <w:color w:val="auto"/>
              </w:rPr>
            </w:pPr>
          </w:p>
        </w:tc>
      </w:tr>
      <w:tr>
        <w:trPr>
          <w:trHeight w:val="185"/>
        </w:trPr>
        <w:tc>
          <w:tcPr>
            <w:tcW w:w="3580" w:type="dxa"/>
            <w:vAlign w:val="bottom"/>
          </w:tcPr>
          <w:p>
            <w:pPr>
              <w:spacing w:after="0"/>
              <w:rPr>
                <w:sz w:val="16"/>
                <w:szCs w:val="16"/>
                <w:color w:val="auto"/>
              </w:rPr>
            </w:pPr>
          </w:p>
        </w:tc>
        <w:tc>
          <w:tcPr>
            <w:tcW w:w="116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Clearing</w:t>
            </w:r>
          </w:p>
        </w:tc>
        <w:tc>
          <w:tcPr>
            <w:tcW w:w="128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Execution</w:t>
            </w:r>
          </w:p>
        </w:tc>
        <w:tc>
          <w:tcPr>
            <w:tcW w:w="1560" w:type="dxa"/>
            <w:vAlign w:val="bottom"/>
            <w:shd w:val="clear" w:color="auto" w:fill="F4EFF6"/>
          </w:tcPr>
          <w:p>
            <w:pPr>
              <w:jc w:val="right"/>
              <w:ind w:right="207"/>
              <w:spacing w:after="0"/>
              <w:rPr>
                <w:sz w:val="20"/>
                <w:szCs w:val="20"/>
                <w:color w:val="auto"/>
              </w:rPr>
            </w:pPr>
            <w:r>
              <w:rPr>
                <w:rFonts w:ascii="Arial" w:cs="Arial" w:eastAsia="Arial" w:hAnsi="Arial"/>
                <w:sz w:val="13"/>
                <w:szCs w:val="13"/>
                <w:b w:val="1"/>
                <w:bCs w:val="1"/>
                <w:color w:val="auto"/>
              </w:rPr>
              <w:t>Market Making</w:t>
            </w:r>
          </w:p>
        </w:tc>
        <w:tc>
          <w:tcPr>
            <w:tcW w:w="1380" w:type="dxa"/>
            <w:vAlign w:val="bottom"/>
            <w:shd w:val="clear" w:color="auto" w:fill="F4EFF6"/>
          </w:tcPr>
          <w:p>
            <w:pPr>
              <w:jc w:val="right"/>
              <w:ind w:right="270"/>
              <w:spacing w:after="0"/>
              <w:rPr>
                <w:sz w:val="20"/>
                <w:szCs w:val="20"/>
                <w:color w:val="auto"/>
              </w:rPr>
            </w:pPr>
            <w:r>
              <w:rPr>
                <w:rFonts w:ascii="Arial" w:cs="Arial" w:eastAsia="Arial" w:hAnsi="Arial"/>
                <w:sz w:val="13"/>
                <w:szCs w:val="13"/>
                <w:b w:val="1"/>
                <w:bCs w:val="1"/>
                <w:color w:val="auto"/>
              </w:rPr>
              <w:t>Solutions</w:t>
            </w:r>
          </w:p>
        </w:tc>
        <w:tc>
          <w:tcPr>
            <w:tcW w:w="1380" w:type="dxa"/>
            <w:vAlign w:val="bottom"/>
            <w:shd w:val="clear" w:color="auto" w:fill="F4EFF6"/>
          </w:tcPr>
          <w:p>
            <w:pPr>
              <w:jc w:val="right"/>
              <w:ind w:right="347"/>
              <w:spacing w:after="0"/>
              <w:rPr>
                <w:sz w:val="20"/>
                <w:szCs w:val="20"/>
                <w:color w:val="auto"/>
              </w:rPr>
            </w:pPr>
            <w:r>
              <w:rPr>
                <w:rFonts w:ascii="Arial" w:cs="Arial" w:eastAsia="Arial" w:hAnsi="Arial"/>
                <w:sz w:val="13"/>
                <w:szCs w:val="13"/>
                <w:b w:val="1"/>
                <w:bCs w:val="1"/>
                <w:color w:val="auto"/>
              </w:rPr>
              <w:t>Corporate</w:t>
            </w:r>
          </w:p>
        </w:tc>
        <w:tc>
          <w:tcPr>
            <w:tcW w:w="88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Total</w:t>
            </w:r>
          </w:p>
        </w:tc>
      </w:tr>
      <w:tr>
        <w:trPr>
          <w:trHeight w:val="224"/>
        </w:trPr>
        <w:tc>
          <w:tcPr>
            <w:tcW w:w="3580" w:type="dxa"/>
            <w:vAlign w:val="bottom"/>
          </w:tcPr>
          <w:p>
            <w:pPr>
              <w:ind w:left="20"/>
              <w:spacing w:after="0"/>
              <w:rPr>
                <w:sz w:val="20"/>
                <w:szCs w:val="20"/>
                <w:color w:val="auto"/>
              </w:rPr>
            </w:pPr>
            <w:r>
              <w:rPr>
                <w:rFonts w:ascii="Arial" w:cs="Arial" w:eastAsia="Arial" w:hAnsi="Arial"/>
                <w:sz w:val="13"/>
                <w:szCs w:val="13"/>
                <w:b w:val="1"/>
                <w:bCs w:val="1"/>
                <w:color w:val="auto"/>
              </w:rPr>
              <w:t>6 months ended 30 June 2025</w:t>
            </w:r>
          </w:p>
        </w:tc>
        <w:tc>
          <w:tcPr>
            <w:tcW w:w="116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28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560" w:type="dxa"/>
            <w:vAlign w:val="bottom"/>
            <w:tcBorders>
              <w:bottom w:val="single" w:sz="8" w:color="F4EFF6"/>
            </w:tcBorders>
            <w:shd w:val="clear" w:color="auto" w:fill="F4EFF6"/>
          </w:tcPr>
          <w:p>
            <w:pPr>
              <w:jc w:val="right"/>
              <w:ind w:right="207"/>
              <w:spacing w:after="0"/>
              <w:rPr>
                <w:sz w:val="20"/>
                <w:szCs w:val="20"/>
                <w:color w:val="auto"/>
              </w:rPr>
            </w:pPr>
            <w:r>
              <w:rPr>
                <w:rFonts w:ascii="Arial" w:cs="Arial" w:eastAsia="Arial" w:hAnsi="Arial"/>
                <w:sz w:val="13"/>
                <w:szCs w:val="13"/>
                <w:b w:val="1"/>
                <w:bCs w:val="1"/>
                <w:color w:val="auto"/>
              </w:rPr>
              <w:t>$m</w:t>
            </w:r>
          </w:p>
        </w:tc>
        <w:tc>
          <w:tcPr>
            <w:tcW w:w="1380" w:type="dxa"/>
            <w:vAlign w:val="bottom"/>
            <w:tcBorders>
              <w:bottom w:val="single" w:sz="8" w:color="F4EFF6"/>
            </w:tcBorders>
            <w:shd w:val="clear" w:color="auto" w:fill="F4EFF6"/>
          </w:tcPr>
          <w:p>
            <w:pPr>
              <w:jc w:val="right"/>
              <w:ind w:right="270"/>
              <w:spacing w:after="0"/>
              <w:rPr>
                <w:sz w:val="20"/>
                <w:szCs w:val="20"/>
                <w:color w:val="auto"/>
              </w:rPr>
            </w:pPr>
            <w:r>
              <w:rPr>
                <w:rFonts w:ascii="Arial" w:cs="Arial" w:eastAsia="Arial" w:hAnsi="Arial"/>
                <w:sz w:val="13"/>
                <w:szCs w:val="13"/>
                <w:b w:val="1"/>
                <w:bCs w:val="1"/>
                <w:color w:val="auto"/>
              </w:rPr>
              <w:t>$m</w:t>
            </w:r>
          </w:p>
        </w:tc>
        <w:tc>
          <w:tcPr>
            <w:tcW w:w="1380" w:type="dxa"/>
            <w:vAlign w:val="bottom"/>
            <w:tcBorders>
              <w:bottom w:val="single" w:sz="8" w:color="F4EFF6"/>
            </w:tcBorders>
            <w:shd w:val="clear" w:color="auto" w:fill="F4EFF6"/>
          </w:tcPr>
          <w:p>
            <w:pPr>
              <w:jc w:val="right"/>
              <w:ind w:right="347"/>
              <w:spacing w:after="0"/>
              <w:rPr>
                <w:sz w:val="20"/>
                <w:szCs w:val="20"/>
                <w:color w:val="auto"/>
              </w:rPr>
            </w:pPr>
            <w:r>
              <w:rPr>
                <w:rFonts w:ascii="Arial" w:cs="Arial" w:eastAsia="Arial" w:hAnsi="Arial"/>
                <w:sz w:val="13"/>
                <w:szCs w:val="13"/>
                <w:b w:val="1"/>
                <w:bCs w:val="1"/>
                <w:color w:val="auto"/>
              </w:rPr>
              <w:t>$m</w:t>
            </w:r>
          </w:p>
        </w:tc>
        <w:tc>
          <w:tcPr>
            <w:tcW w:w="88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r>
      <w:tr>
        <w:trPr>
          <w:trHeight w:val="277"/>
        </w:trPr>
        <w:tc>
          <w:tcPr>
            <w:tcW w:w="358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Net commission income/(expense)</w:t>
            </w:r>
          </w:p>
        </w:tc>
        <w:tc>
          <w:tcPr>
            <w:tcW w:w="1160" w:type="dxa"/>
            <w:vAlign w:val="bottom"/>
            <w:tcBorders>
              <w:top w:val="single" w:sz="8" w:color="793690"/>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139.3</w:t>
            </w:r>
          </w:p>
        </w:tc>
        <w:tc>
          <w:tcPr>
            <w:tcW w:w="128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370.1</w:t>
            </w:r>
          </w:p>
        </w:tc>
        <w:tc>
          <w:tcPr>
            <w:tcW w:w="1560" w:type="dxa"/>
            <w:vAlign w:val="bottom"/>
            <w:tcBorders>
              <w:top w:val="single" w:sz="8" w:color="793690"/>
              <w:bottom w:val="single" w:sz="8" w:color="F4EFF6"/>
            </w:tcBorders>
            <w:shd w:val="clear" w:color="auto" w:fill="F4EFF6"/>
          </w:tcPr>
          <w:p>
            <w:pPr>
              <w:jc w:val="right"/>
              <w:ind w:right="207"/>
              <w:spacing w:after="0"/>
              <w:rPr>
                <w:sz w:val="20"/>
                <w:szCs w:val="20"/>
                <w:color w:val="auto"/>
              </w:rPr>
            </w:pPr>
            <w:r>
              <w:rPr>
                <w:rFonts w:ascii="Arial" w:cs="Arial" w:eastAsia="Arial" w:hAnsi="Arial"/>
                <w:sz w:val="15"/>
                <w:szCs w:val="15"/>
                <w:b w:val="1"/>
                <w:bCs w:val="1"/>
                <w:color w:val="auto"/>
              </w:rPr>
              <w:t>(1.6)</w:t>
            </w:r>
          </w:p>
        </w:tc>
        <w:tc>
          <w:tcPr>
            <w:tcW w:w="1380" w:type="dxa"/>
            <w:vAlign w:val="bottom"/>
            <w:tcBorders>
              <w:top w:val="single" w:sz="8" w:color="793690"/>
              <w:bottom w:val="single" w:sz="8" w:color="F4EFF6"/>
            </w:tcBorders>
            <w:shd w:val="clear" w:color="auto" w:fill="F4EFF6"/>
          </w:tcPr>
          <w:p>
            <w:pPr>
              <w:jc w:val="right"/>
              <w:ind w:right="330"/>
              <w:spacing w:after="0"/>
              <w:rPr>
                <w:sz w:val="20"/>
                <w:szCs w:val="20"/>
                <w:color w:val="auto"/>
              </w:rPr>
            </w:pPr>
            <w:r>
              <w:rPr>
                <w:rFonts w:ascii="Arial" w:cs="Arial" w:eastAsia="Arial" w:hAnsi="Arial"/>
                <w:sz w:val="15"/>
                <w:szCs w:val="15"/>
                <w:b w:val="1"/>
                <w:bCs w:val="1"/>
                <w:color w:val="auto"/>
              </w:rPr>
              <w:t>—</w:t>
            </w:r>
          </w:p>
        </w:tc>
        <w:tc>
          <w:tcPr>
            <w:tcW w:w="1380" w:type="dxa"/>
            <w:vAlign w:val="bottom"/>
            <w:tcBorders>
              <w:top w:val="single" w:sz="8" w:color="793690"/>
              <w:bottom w:val="single" w:sz="8" w:color="F4EFF6"/>
            </w:tcBorders>
            <w:shd w:val="clear" w:color="auto" w:fill="F4EFF6"/>
          </w:tcPr>
          <w:p>
            <w:pPr>
              <w:jc w:val="right"/>
              <w:ind w:right="407"/>
              <w:spacing w:after="0"/>
              <w:rPr>
                <w:sz w:val="20"/>
                <w:szCs w:val="20"/>
                <w:color w:val="auto"/>
              </w:rPr>
            </w:pPr>
            <w:r>
              <w:rPr>
                <w:rFonts w:ascii="Arial" w:cs="Arial" w:eastAsia="Arial" w:hAnsi="Arial"/>
                <w:sz w:val="15"/>
                <w:szCs w:val="15"/>
                <w:b w:val="1"/>
                <w:bCs w:val="1"/>
                <w:color w:val="auto"/>
              </w:rPr>
              <w:t>—</w:t>
            </w:r>
          </w:p>
        </w:tc>
        <w:tc>
          <w:tcPr>
            <w:tcW w:w="88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507.8</w:t>
            </w:r>
          </w:p>
        </w:tc>
      </w:tr>
      <w:tr>
        <w:trPr>
          <w:trHeight w:val="237"/>
        </w:trPr>
        <w:tc>
          <w:tcPr>
            <w:tcW w:w="3580" w:type="dxa"/>
            <w:vAlign w:val="bottom"/>
            <w:tcBorders>
              <w:top w:val="single" w:sz="8" w:color="DADAE7"/>
            </w:tcBorders>
          </w:tcPr>
          <w:p>
            <w:pPr>
              <w:ind w:left="20"/>
              <w:spacing w:after="0"/>
              <w:rPr>
                <w:sz w:val="20"/>
                <w:szCs w:val="20"/>
                <w:color w:val="auto"/>
              </w:rPr>
            </w:pPr>
            <w:r>
              <w:rPr>
                <w:rFonts w:ascii="Arial" w:cs="Arial" w:eastAsia="Arial" w:hAnsi="Arial"/>
                <w:sz w:val="15"/>
                <w:szCs w:val="15"/>
                <w:b w:val="1"/>
                <w:bCs w:val="1"/>
                <w:color w:val="auto"/>
              </w:rPr>
              <w:t>Net trading income</w:t>
            </w:r>
          </w:p>
        </w:tc>
        <w:tc>
          <w:tcPr>
            <w:tcW w:w="1160" w:type="dxa"/>
            <w:vAlign w:val="bottom"/>
            <w:tcBorders>
              <w:top w:val="single" w:sz="8" w:color="DADAE7"/>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11.2</w:t>
            </w:r>
          </w:p>
        </w:tc>
        <w:tc>
          <w:tcPr>
            <w:tcW w:w="12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126.1</w:t>
            </w:r>
          </w:p>
        </w:tc>
        <w:tc>
          <w:tcPr>
            <w:tcW w:w="1560" w:type="dxa"/>
            <w:vAlign w:val="bottom"/>
            <w:tcBorders>
              <w:top w:val="single" w:sz="8" w:color="DADAE7"/>
              <w:bottom w:val="single" w:sz="8" w:color="F4EFF6"/>
            </w:tcBorders>
            <w:shd w:val="clear" w:color="auto" w:fill="F4EFF6"/>
          </w:tcPr>
          <w:p>
            <w:pPr>
              <w:jc w:val="right"/>
              <w:ind w:right="247"/>
              <w:spacing w:after="0"/>
              <w:rPr>
                <w:sz w:val="20"/>
                <w:szCs w:val="20"/>
                <w:color w:val="auto"/>
              </w:rPr>
            </w:pPr>
            <w:r>
              <w:rPr>
                <w:rFonts w:ascii="Arial" w:cs="Arial" w:eastAsia="Arial" w:hAnsi="Arial"/>
                <w:sz w:val="15"/>
                <w:szCs w:val="15"/>
                <w:b w:val="1"/>
                <w:bCs w:val="1"/>
                <w:color w:val="auto"/>
              </w:rPr>
              <w:t>114.1</w:t>
            </w:r>
          </w:p>
        </w:tc>
        <w:tc>
          <w:tcPr>
            <w:tcW w:w="1380" w:type="dxa"/>
            <w:vAlign w:val="bottom"/>
            <w:tcBorders>
              <w:top w:val="single" w:sz="8" w:color="DADAE7"/>
              <w:bottom w:val="single" w:sz="8" w:color="F4EFF6"/>
            </w:tcBorders>
            <w:shd w:val="clear" w:color="auto" w:fill="F4EFF6"/>
          </w:tcPr>
          <w:p>
            <w:pPr>
              <w:jc w:val="right"/>
              <w:ind w:right="330"/>
              <w:spacing w:after="0"/>
              <w:rPr>
                <w:sz w:val="20"/>
                <w:szCs w:val="20"/>
                <w:color w:val="auto"/>
              </w:rPr>
            </w:pPr>
            <w:r>
              <w:rPr>
                <w:rFonts w:ascii="Arial" w:cs="Arial" w:eastAsia="Arial" w:hAnsi="Arial"/>
                <w:sz w:val="15"/>
                <w:szCs w:val="15"/>
                <w:b w:val="1"/>
                <w:bCs w:val="1"/>
                <w:color w:val="auto"/>
              </w:rPr>
              <w:t>111.0</w:t>
            </w:r>
          </w:p>
        </w:tc>
        <w:tc>
          <w:tcPr>
            <w:tcW w:w="1380" w:type="dxa"/>
            <w:vAlign w:val="bottom"/>
            <w:tcBorders>
              <w:top w:val="single" w:sz="8" w:color="DADAE7"/>
              <w:bottom w:val="single" w:sz="8" w:color="F4EFF6"/>
            </w:tcBorders>
            <w:shd w:val="clear" w:color="auto" w:fill="F4EFF6"/>
          </w:tcPr>
          <w:p>
            <w:pPr>
              <w:jc w:val="right"/>
              <w:ind w:right="407"/>
              <w:spacing w:after="0"/>
              <w:rPr>
                <w:sz w:val="20"/>
                <w:szCs w:val="20"/>
                <w:color w:val="auto"/>
              </w:rPr>
            </w:pPr>
            <w:r>
              <w:rPr>
                <w:rFonts w:ascii="Arial" w:cs="Arial" w:eastAsia="Arial" w:hAnsi="Arial"/>
                <w:sz w:val="15"/>
                <w:szCs w:val="15"/>
                <w:b w:val="1"/>
                <w:bCs w:val="1"/>
                <w:color w:val="auto"/>
              </w:rPr>
              <w:t>—</w:t>
            </w:r>
          </w:p>
        </w:tc>
        <w:tc>
          <w:tcPr>
            <w:tcW w:w="8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362.4</w:t>
            </w:r>
          </w:p>
        </w:tc>
      </w:tr>
      <w:tr>
        <w:trPr>
          <w:trHeight w:val="236"/>
        </w:trPr>
        <w:tc>
          <w:tcPr>
            <w:tcW w:w="3580" w:type="dxa"/>
            <w:vAlign w:val="bottom"/>
            <w:tcBorders>
              <w:top w:val="single" w:sz="8" w:color="DADAE7"/>
            </w:tcBorders>
          </w:tcPr>
          <w:p>
            <w:pPr>
              <w:ind w:left="20"/>
              <w:spacing w:after="0"/>
              <w:rPr>
                <w:sz w:val="20"/>
                <w:szCs w:val="20"/>
                <w:color w:val="auto"/>
              </w:rPr>
            </w:pPr>
            <w:r>
              <w:rPr>
                <w:rFonts w:ascii="Arial" w:cs="Arial" w:eastAsia="Arial" w:hAnsi="Arial"/>
                <w:sz w:val="15"/>
                <w:szCs w:val="15"/>
                <w:b w:val="1"/>
                <w:bCs w:val="1"/>
                <w:color w:val="auto"/>
              </w:rPr>
              <w:t>Net interest income/(expense)</w:t>
            </w:r>
          </w:p>
        </w:tc>
        <w:tc>
          <w:tcPr>
            <w:tcW w:w="1160" w:type="dxa"/>
            <w:vAlign w:val="bottom"/>
            <w:tcBorders>
              <w:top w:val="single" w:sz="8" w:color="DADAE7"/>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107.5</w:t>
            </w:r>
          </w:p>
        </w:tc>
        <w:tc>
          <w:tcPr>
            <w:tcW w:w="12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2.4</w:t>
            </w:r>
          </w:p>
        </w:tc>
        <w:tc>
          <w:tcPr>
            <w:tcW w:w="1560" w:type="dxa"/>
            <w:vAlign w:val="bottom"/>
            <w:tcBorders>
              <w:top w:val="single" w:sz="8" w:color="DADAE7"/>
              <w:bottom w:val="single" w:sz="8" w:color="F4EFF6"/>
            </w:tcBorders>
            <w:shd w:val="clear" w:color="auto" w:fill="F4EFF6"/>
          </w:tcPr>
          <w:p>
            <w:pPr>
              <w:jc w:val="right"/>
              <w:ind w:right="207"/>
              <w:spacing w:after="0"/>
              <w:rPr>
                <w:sz w:val="20"/>
                <w:szCs w:val="20"/>
                <w:color w:val="auto"/>
              </w:rPr>
            </w:pPr>
            <w:r>
              <w:rPr>
                <w:rFonts w:ascii="Arial" w:cs="Arial" w:eastAsia="Arial" w:hAnsi="Arial"/>
                <w:sz w:val="15"/>
                <w:szCs w:val="15"/>
                <w:b w:val="1"/>
                <w:bCs w:val="1"/>
                <w:color w:val="auto"/>
              </w:rPr>
              <w:t>(9.7)</w:t>
            </w:r>
          </w:p>
        </w:tc>
        <w:tc>
          <w:tcPr>
            <w:tcW w:w="1380" w:type="dxa"/>
            <w:vAlign w:val="bottom"/>
            <w:tcBorders>
              <w:top w:val="single" w:sz="8" w:color="DADAE7"/>
              <w:bottom w:val="single" w:sz="8" w:color="F4EFF6"/>
            </w:tcBorders>
            <w:shd w:val="clear" w:color="auto" w:fill="F4EFF6"/>
          </w:tcPr>
          <w:p>
            <w:pPr>
              <w:jc w:val="right"/>
              <w:ind w:right="290"/>
              <w:spacing w:after="0"/>
              <w:rPr>
                <w:sz w:val="20"/>
                <w:szCs w:val="20"/>
                <w:color w:val="auto"/>
              </w:rPr>
            </w:pPr>
            <w:r>
              <w:rPr>
                <w:rFonts w:ascii="Arial" w:cs="Arial" w:eastAsia="Arial" w:hAnsi="Arial"/>
                <w:sz w:val="15"/>
                <w:szCs w:val="15"/>
                <w:b w:val="1"/>
                <w:bCs w:val="1"/>
                <w:color w:val="auto"/>
              </w:rPr>
              <w:t>(25.3)</w:t>
            </w:r>
          </w:p>
        </w:tc>
        <w:tc>
          <w:tcPr>
            <w:tcW w:w="1380" w:type="dxa"/>
            <w:vAlign w:val="bottom"/>
            <w:tcBorders>
              <w:top w:val="single" w:sz="8" w:color="DADAE7"/>
              <w:bottom w:val="single" w:sz="8" w:color="F4EFF6"/>
            </w:tcBorders>
            <w:shd w:val="clear" w:color="auto" w:fill="F4EFF6"/>
          </w:tcPr>
          <w:p>
            <w:pPr>
              <w:jc w:val="right"/>
              <w:ind w:right="407"/>
              <w:spacing w:after="0"/>
              <w:rPr>
                <w:sz w:val="20"/>
                <w:szCs w:val="20"/>
                <w:color w:val="auto"/>
              </w:rPr>
            </w:pPr>
            <w:r>
              <w:rPr>
                <w:rFonts w:ascii="Arial" w:cs="Arial" w:eastAsia="Arial" w:hAnsi="Arial"/>
                <w:sz w:val="15"/>
                <w:szCs w:val="15"/>
                <w:b w:val="1"/>
                <w:bCs w:val="1"/>
                <w:color w:val="auto"/>
              </w:rPr>
              <w:t>13.1</w:t>
            </w:r>
          </w:p>
        </w:tc>
        <w:tc>
          <w:tcPr>
            <w:tcW w:w="8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88.0</w:t>
            </w:r>
          </w:p>
        </w:tc>
      </w:tr>
      <w:tr>
        <w:trPr>
          <w:trHeight w:val="237"/>
        </w:trPr>
        <w:tc>
          <w:tcPr>
            <w:tcW w:w="3580" w:type="dxa"/>
            <w:vAlign w:val="bottom"/>
            <w:tcBorders>
              <w:top w:val="single" w:sz="8" w:color="DADAE7"/>
            </w:tcBorders>
          </w:tcPr>
          <w:p>
            <w:pPr>
              <w:ind w:left="20"/>
              <w:spacing w:after="0"/>
              <w:rPr>
                <w:sz w:val="20"/>
                <w:szCs w:val="20"/>
                <w:color w:val="auto"/>
              </w:rPr>
            </w:pPr>
            <w:r>
              <w:rPr>
                <w:rFonts w:ascii="Arial" w:cs="Arial" w:eastAsia="Arial" w:hAnsi="Arial"/>
                <w:sz w:val="15"/>
                <w:szCs w:val="15"/>
                <w:b w:val="1"/>
                <w:bCs w:val="1"/>
                <w:color w:val="auto"/>
              </w:rPr>
              <w:t>Net physical commodities income</w:t>
            </w:r>
          </w:p>
        </w:tc>
        <w:tc>
          <w:tcPr>
            <w:tcW w:w="1160" w:type="dxa"/>
            <w:vAlign w:val="bottom"/>
            <w:tcBorders>
              <w:top w:val="single" w:sz="8" w:color="DADAE7"/>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w:t>
            </w:r>
          </w:p>
        </w:tc>
        <w:tc>
          <w:tcPr>
            <w:tcW w:w="12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1.7</w:t>
            </w:r>
          </w:p>
        </w:tc>
        <w:tc>
          <w:tcPr>
            <w:tcW w:w="1560" w:type="dxa"/>
            <w:vAlign w:val="bottom"/>
            <w:tcBorders>
              <w:top w:val="single" w:sz="8" w:color="DADAE7"/>
              <w:bottom w:val="single" w:sz="8" w:color="F4EFF6"/>
            </w:tcBorders>
            <w:shd w:val="clear" w:color="auto" w:fill="F4EFF6"/>
          </w:tcPr>
          <w:p>
            <w:pPr>
              <w:jc w:val="right"/>
              <w:ind w:right="247"/>
              <w:spacing w:after="0"/>
              <w:rPr>
                <w:sz w:val="20"/>
                <w:szCs w:val="20"/>
                <w:color w:val="auto"/>
              </w:rPr>
            </w:pPr>
            <w:r>
              <w:rPr>
                <w:rFonts w:ascii="Arial" w:cs="Arial" w:eastAsia="Arial" w:hAnsi="Arial"/>
                <w:sz w:val="15"/>
                <w:szCs w:val="15"/>
                <w:b w:val="1"/>
                <w:bCs w:val="1"/>
                <w:color w:val="auto"/>
              </w:rPr>
              <w:t>7.5</w:t>
            </w:r>
          </w:p>
        </w:tc>
        <w:tc>
          <w:tcPr>
            <w:tcW w:w="1380" w:type="dxa"/>
            <w:vAlign w:val="bottom"/>
            <w:tcBorders>
              <w:top w:val="single" w:sz="8" w:color="DADAE7"/>
              <w:bottom w:val="single" w:sz="8" w:color="F4EFF6"/>
            </w:tcBorders>
            <w:shd w:val="clear" w:color="auto" w:fill="F4EFF6"/>
          </w:tcPr>
          <w:p>
            <w:pPr>
              <w:jc w:val="right"/>
              <w:ind w:right="330"/>
              <w:spacing w:after="0"/>
              <w:rPr>
                <w:sz w:val="20"/>
                <w:szCs w:val="20"/>
                <w:color w:val="auto"/>
              </w:rPr>
            </w:pPr>
            <w:r>
              <w:rPr>
                <w:rFonts w:ascii="Arial" w:cs="Arial" w:eastAsia="Arial" w:hAnsi="Arial"/>
                <w:sz w:val="15"/>
                <w:szCs w:val="15"/>
                <w:b w:val="1"/>
                <w:bCs w:val="1"/>
                <w:color w:val="auto"/>
              </w:rPr>
              <w:t>—</w:t>
            </w:r>
          </w:p>
        </w:tc>
        <w:tc>
          <w:tcPr>
            <w:tcW w:w="1380" w:type="dxa"/>
            <w:vAlign w:val="bottom"/>
            <w:tcBorders>
              <w:top w:val="single" w:sz="8" w:color="DADAE7"/>
              <w:bottom w:val="single" w:sz="8" w:color="F4EFF6"/>
            </w:tcBorders>
            <w:shd w:val="clear" w:color="auto" w:fill="F4EFF6"/>
          </w:tcPr>
          <w:p>
            <w:pPr>
              <w:jc w:val="right"/>
              <w:ind w:right="407"/>
              <w:spacing w:after="0"/>
              <w:rPr>
                <w:sz w:val="20"/>
                <w:szCs w:val="20"/>
                <w:color w:val="auto"/>
              </w:rPr>
            </w:pPr>
            <w:r>
              <w:rPr>
                <w:rFonts w:ascii="Arial" w:cs="Arial" w:eastAsia="Arial" w:hAnsi="Arial"/>
                <w:sz w:val="15"/>
                <w:szCs w:val="15"/>
                <w:b w:val="1"/>
                <w:bCs w:val="1"/>
                <w:color w:val="auto"/>
              </w:rPr>
              <w:t>—</w:t>
            </w:r>
          </w:p>
        </w:tc>
        <w:tc>
          <w:tcPr>
            <w:tcW w:w="8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9.2</w:t>
            </w:r>
          </w:p>
        </w:tc>
      </w:tr>
      <w:tr>
        <w:trPr>
          <w:trHeight w:val="237"/>
        </w:trPr>
        <w:tc>
          <w:tcPr>
            <w:tcW w:w="358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Revenue</w:t>
            </w:r>
          </w:p>
        </w:tc>
        <w:tc>
          <w:tcPr>
            <w:tcW w:w="1160" w:type="dxa"/>
            <w:vAlign w:val="bottom"/>
            <w:tcBorders>
              <w:top w:val="single" w:sz="8" w:color="793690"/>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258.0</w:t>
            </w:r>
          </w:p>
        </w:tc>
        <w:tc>
          <w:tcPr>
            <w:tcW w:w="128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500.3</w:t>
            </w:r>
          </w:p>
        </w:tc>
        <w:tc>
          <w:tcPr>
            <w:tcW w:w="1560" w:type="dxa"/>
            <w:vAlign w:val="bottom"/>
            <w:tcBorders>
              <w:top w:val="single" w:sz="8" w:color="793690"/>
              <w:bottom w:val="single" w:sz="8" w:color="F4EFF6"/>
            </w:tcBorders>
            <w:shd w:val="clear" w:color="auto" w:fill="F4EFF6"/>
          </w:tcPr>
          <w:p>
            <w:pPr>
              <w:jc w:val="right"/>
              <w:ind w:right="247"/>
              <w:spacing w:after="0"/>
              <w:rPr>
                <w:sz w:val="20"/>
                <w:szCs w:val="20"/>
                <w:color w:val="auto"/>
              </w:rPr>
            </w:pPr>
            <w:r>
              <w:rPr>
                <w:rFonts w:ascii="Arial" w:cs="Arial" w:eastAsia="Arial" w:hAnsi="Arial"/>
                <w:sz w:val="15"/>
                <w:szCs w:val="15"/>
                <w:b w:val="1"/>
                <w:bCs w:val="1"/>
                <w:color w:val="auto"/>
              </w:rPr>
              <w:t>110.3</w:t>
            </w:r>
          </w:p>
        </w:tc>
        <w:tc>
          <w:tcPr>
            <w:tcW w:w="1380" w:type="dxa"/>
            <w:vAlign w:val="bottom"/>
            <w:tcBorders>
              <w:top w:val="single" w:sz="8" w:color="793690"/>
              <w:bottom w:val="single" w:sz="8" w:color="F4EFF6"/>
            </w:tcBorders>
            <w:shd w:val="clear" w:color="auto" w:fill="F4EFF6"/>
          </w:tcPr>
          <w:p>
            <w:pPr>
              <w:jc w:val="right"/>
              <w:ind w:right="330"/>
              <w:spacing w:after="0"/>
              <w:rPr>
                <w:sz w:val="20"/>
                <w:szCs w:val="20"/>
                <w:color w:val="auto"/>
              </w:rPr>
            </w:pPr>
            <w:r>
              <w:rPr>
                <w:rFonts w:ascii="Arial" w:cs="Arial" w:eastAsia="Arial" w:hAnsi="Arial"/>
                <w:sz w:val="15"/>
                <w:szCs w:val="15"/>
                <w:b w:val="1"/>
                <w:bCs w:val="1"/>
                <w:color w:val="auto"/>
              </w:rPr>
              <w:t>85.7</w:t>
            </w:r>
          </w:p>
        </w:tc>
        <w:tc>
          <w:tcPr>
            <w:tcW w:w="1380" w:type="dxa"/>
            <w:vAlign w:val="bottom"/>
            <w:tcBorders>
              <w:top w:val="single" w:sz="8" w:color="793690"/>
              <w:bottom w:val="single" w:sz="8" w:color="F4EFF6"/>
            </w:tcBorders>
            <w:shd w:val="clear" w:color="auto" w:fill="F4EFF6"/>
          </w:tcPr>
          <w:p>
            <w:pPr>
              <w:jc w:val="right"/>
              <w:ind w:right="407"/>
              <w:spacing w:after="0"/>
              <w:rPr>
                <w:sz w:val="20"/>
                <w:szCs w:val="20"/>
                <w:color w:val="auto"/>
              </w:rPr>
            </w:pPr>
            <w:r>
              <w:rPr>
                <w:rFonts w:ascii="Arial" w:cs="Arial" w:eastAsia="Arial" w:hAnsi="Arial"/>
                <w:sz w:val="15"/>
                <w:szCs w:val="15"/>
                <w:b w:val="1"/>
                <w:bCs w:val="1"/>
                <w:color w:val="auto"/>
              </w:rPr>
              <w:t>13.1</w:t>
            </w:r>
          </w:p>
        </w:tc>
        <w:tc>
          <w:tcPr>
            <w:tcW w:w="88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967.4</w:t>
            </w:r>
          </w:p>
        </w:tc>
      </w:tr>
      <w:tr>
        <w:trPr>
          <w:trHeight w:val="489"/>
        </w:trPr>
        <w:tc>
          <w:tcPr>
            <w:tcW w:w="3580" w:type="dxa"/>
            <w:vAlign w:val="bottom"/>
            <w:tcBorders>
              <w:top w:val="single" w:sz="8" w:color="793690"/>
            </w:tcBorders>
          </w:tcPr>
          <w:p>
            <w:pPr>
              <w:spacing w:after="0"/>
              <w:rPr>
                <w:sz w:val="24"/>
                <w:szCs w:val="24"/>
                <w:color w:val="auto"/>
              </w:rPr>
            </w:pPr>
          </w:p>
        </w:tc>
        <w:tc>
          <w:tcPr>
            <w:tcW w:w="1160" w:type="dxa"/>
            <w:vAlign w:val="bottom"/>
            <w:tcBorders>
              <w:top w:val="single" w:sz="8" w:color="793690"/>
            </w:tcBorders>
          </w:tcPr>
          <w:p>
            <w:pPr>
              <w:spacing w:after="0"/>
              <w:rPr>
                <w:sz w:val="24"/>
                <w:szCs w:val="24"/>
                <w:color w:val="auto"/>
              </w:rPr>
            </w:pPr>
          </w:p>
        </w:tc>
        <w:tc>
          <w:tcPr>
            <w:tcW w:w="1280" w:type="dxa"/>
            <w:vAlign w:val="bottom"/>
            <w:tcBorders>
              <w:top w:val="single" w:sz="8" w:color="793690"/>
            </w:tcBorders>
          </w:tcPr>
          <w:p>
            <w:pPr>
              <w:spacing w:after="0"/>
              <w:rPr>
                <w:sz w:val="24"/>
                <w:szCs w:val="24"/>
                <w:color w:val="auto"/>
              </w:rPr>
            </w:pPr>
          </w:p>
        </w:tc>
        <w:tc>
          <w:tcPr>
            <w:tcW w:w="1560" w:type="dxa"/>
            <w:vAlign w:val="bottom"/>
            <w:tcBorders>
              <w:top w:val="single" w:sz="8" w:color="793690"/>
            </w:tcBorders>
          </w:tcPr>
          <w:p>
            <w:pPr>
              <w:spacing w:after="0"/>
              <w:rPr>
                <w:sz w:val="24"/>
                <w:szCs w:val="24"/>
                <w:color w:val="auto"/>
              </w:rPr>
            </w:pPr>
          </w:p>
        </w:tc>
        <w:tc>
          <w:tcPr>
            <w:tcW w:w="1380" w:type="dxa"/>
            <w:vAlign w:val="bottom"/>
            <w:tcBorders>
              <w:top w:val="single" w:sz="8" w:color="793690"/>
            </w:tcBorders>
          </w:tcPr>
          <w:p>
            <w:pPr>
              <w:jc w:val="right"/>
              <w:ind w:right="270"/>
              <w:spacing w:after="0"/>
              <w:rPr>
                <w:sz w:val="20"/>
                <w:szCs w:val="20"/>
                <w:color w:val="auto"/>
              </w:rPr>
            </w:pPr>
            <w:r>
              <w:rPr>
                <w:rFonts w:ascii="Arial" w:cs="Arial" w:eastAsia="Arial" w:hAnsi="Arial"/>
                <w:sz w:val="13"/>
                <w:szCs w:val="13"/>
                <w:b w:val="1"/>
                <w:bCs w:val="1"/>
                <w:color w:val="auto"/>
              </w:rPr>
              <w:t>Hedging and</w:t>
            </w:r>
          </w:p>
        </w:tc>
        <w:tc>
          <w:tcPr>
            <w:tcW w:w="1380" w:type="dxa"/>
            <w:vAlign w:val="bottom"/>
            <w:tcBorders>
              <w:top w:val="single" w:sz="8" w:color="793690"/>
            </w:tcBorders>
          </w:tcPr>
          <w:p>
            <w:pPr>
              <w:spacing w:after="0"/>
              <w:rPr>
                <w:sz w:val="24"/>
                <w:szCs w:val="24"/>
                <w:color w:val="auto"/>
              </w:rPr>
            </w:pPr>
          </w:p>
        </w:tc>
        <w:tc>
          <w:tcPr>
            <w:tcW w:w="880" w:type="dxa"/>
            <w:vAlign w:val="bottom"/>
            <w:tcBorders>
              <w:top w:val="single" w:sz="8" w:color="793690"/>
            </w:tcBorders>
          </w:tcPr>
          <w:p>
            <w:pPr>
              <w:spacing w:after="0"/>
              <w:rPr>
                <w:sz w:val="24"/>
                <w:szCs w:val="24"/>
                <w:color w:val="auto"/>
              </w:rPr>
            </w:pPr>
          </w:p>
        </w:tc>
      </w:tr>
      <w:tr>
        <w:trPr>
          <w:trHeight w:val="149"/>
        </w:trPr>
        <w:tc>
          <w:tcPr>
            <w:tcW w:w="3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Agency and</w:t>
            </w:r>
          </w:p>
        </w:tc>
        <w:tc>
          <w:tcPr>
            <w:tcW w:w="1560" w:type="dxa"/>
            <w:vAlign w:val="bottom"/>
          </w:tcPr>
          <w:p>
            <w:pPr>
              <w:spacing w:after="0"/>
              <w:rPr>
                <w:sz w:val="12"/>
                <w:szCs w:val="12"/>
                <w:color w:val="auto"/>
              </w:rPr>
            </w:pPr>
          </w:p>
        </w:tc>
        <w:tc>
          <w:tcPr>
            <w:tcW w:w="1380" w:type="dxa"/>
            <w:vAlign w:val="bottom"/>
          </w:tcPr>
          <w:p>
            <w:pPr>
              <w:jc w:val="right"/>
              <w:ind w:right="270"/>
              <w:spacing w:after="0"/>
              <w:rPr>
                <w:sz w:val="20"/>
                <w:szCs w:val="20"/>
                <w:color w:val="auto"/>
              </w:rPr>
            </w:pPr>
            <w:r>
              <w:rPr>
                <w:rFonts w:ascii="Arial" w:cs="Arial" w:eastAsia="Arial" w:hAnsi="Arial"/>
                <w:sz w:val="13"/>
                <w:szCs w:val="13"/>
                <w:b w:val="1"/>
                <w:bCs w:val="1"/>
                <w:color w:val="auto"/>
              </w:rPr>
              <w:t>Investment</w:t>
            </w:r>
          </w:p>
        </w:tc>
        <w:tc>
          <w:tcPr>
            <w:tcW w:w="13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5"/>
        </w:trPr>
        <w:tc>
          <w:tcPr>
            <w:tcW w:w="35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Clearing</w:t>
            </w: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Execution</w:t>
            </w:r>
          </w:p>
        </w:tc>
        <w:tc>
          <w:tcPr>
            <w:tcW w:w="1560" w:type="dxa"/>
            <w:vAlign w:val="bottom"/>
          </w:tcPr>
          <w:p>
            <w:pPr>
              <w:jc w:val="right"/>
              <w:ind w:right="207"/>
              <w:spacing w:after="0"/>
              <w:rPr>
                <w:sz w:val="20"/>
                <w:szCs w:val="20"/>
                <w:color w:val="auto"/>
              </w:rPr>
            </w:pPr>
            <w:r>
              <w:rPr>
                <w:rFonts w:ascii="Arial" w:cs="Arial" w:eastAsia="Arial" w:hAnsi="Arial"/>
                <w:sz w:val="13"/>
                <w:szCs w:val="13"/>
                <w:b w:val="1"/>
                <w:bCs w:val="1"/>
                <w:color w:val="auto"/>
              </w:rPr>
              <w:t>Market Making</w:t>
            </w:r>
          </w:p>
        </w:tc>
        <w:tc>
          <w:tcPr>
            <w:tcW w:w="1380" w:type="dxa"/>
            <w:vAlign w:val="bottom"/>
          </w:tcPr>
          <w:p>
            <w:pPr>
              <w:jc w:val="right"/>
              <w:ind w:right="270"/>
              <w:spacing w:after="0"/>
              <w:rPr>
                <w:sz w:val="20"/>
                <w:szCs w:val="20"/>
                <w:color w:val="auto"/>
              </w:rPr>
            </w:pPr>
            <w:r>
              <w:rPr>
                <w:rFonts w:ascii="Arial" w:cs="Arial" w:eastAsia="Arial" w:hAnsi="Arial"/>
                <w:sz w:val="13"/>
                <w:szCs w:val="13"/>
                <w:b w:val="1"/>
                <w:bCs w:val="1"/>
                <w:color w:val="auto"/>
              </w:rPr>
              <w:t>Solutions</w:t>
            </w:r>
          </w:p>
        </w:tc>
        <w:tc>
          <w:tcPr>
            <w:tcW w:w="1380" w:type="dxa"/>
            <w:vAlign w:val="bottom"/>
          </w:tcPr>
          <w:p>
            <w:pPr>
              <w:jc w:val="right"/>
              <w:ind w:right="347"/>
              <w:spacing w:after="0"/>
              <w:rPr>
                <w:sz w:val="20"/>
                <w:szCs w:val="20"/>
                <w:color w:val="auto"/>
              </w:rPr>
            </w:pPr>
            <w:r>
              <w:rPr>
                <w:rFonts w:ascii="Arial" w:cs="Arial" w:eastAsia="Arial" w:hAnsi="Arial"/>
                <w:sz w:val="13"/>
                <w:szCs w:val="13"/>
                <w:b w:val="1"/>
                <w:bCs w:val="1"/>
                <w:color w:val="auto"/>
              </w:rPr>
              <w:t>Corporate</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r>
      <w:tr>
        <w:trPr>
          <w:trHeight w:val="203"/>
        </w:trPr>
        <w:tc>
          <w:tcPr>
            <w:tcW w:w="3580" w:type="dxa"/>
            <w:vAlign w:val="bottom"/>
          </w:tcPr>
          <w:p>
            <w:pPr>
              <w:ind w:left="20"/>
              <w:spacing w:after="0"/>
              <w:rPr>
                <w:sz w:val="20"/>
                <w:szCs w:val="20"/>
                <w:color w:val="auto"/>
              </w:rPr>
            </w:pPr>
            <w:r>
              <w:rPr>
                <w:rFonts w:ascii="Arial" w:cs="Arial" w:eastAsia="Arial" w:hAnsi="Arial"/>
                <w:sz w:val="13"/>
                <w:szCs w:val="13"/>
                <w:b w:val="1"/>
                <w:bCs w:val="1"/>
                <w:color w:val="auto"/>
              </w:rPr>
              <w:t>6 months ended 30 June 2024</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$m</w:t>
            </w: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$m</w:t>
            </w:r>
          </w:p>
        </w:tc>
        <w:tc>
          <w:tcPr>
            <w:tcW w:w="1560" w:type="dxa"/>
            <w:vAlign w:val="bottom"/>
          </w:tcPr>
          <w:p>
            <w:pPr>
              <w:jc w:val="right"/>
              <w:ind w:right="207"/>
              <w:spacing w:after="0"/>
              <w:rPr>
                <w:sz w:val="20"/>
                <w:szCs w:val="20"/>
                <w:color w:val="auto"/>
              </w:rPr>
            </w:pPr>
            <w:r>
              <w:rPr>
                <w:rFonts w:ascii="Arial" w:cs="Arial" w:eastAsia="Arial" w:hAnsi="Arial"/>
                <w:sz w:val="13"/>
                <w:szCs w:val="13"/>
                <w:b w:val="1"/>
                <w:bCs w:val="1"/>
                <w:color w:val="auto"/>
              </w:rPr>
              <w:t>$m</w:t>
            </w:r>
          </w:p>
        </w:tc>
        <w:tc>
          <w:tcPr>
            <w:tcW w:w="1380" w:type="dxa"/>
            <w:vAlign w:val="bottom"/>
          </w:tcPr>
          <w:p>
            <w:pPr>
              <w:jc w:val="right"/>
              <w:ind w:right="270"/>
              <w:spacing w:after="0"/>
              <w:rPr>
                <w:sz w:val="20"/>
                <w:szCs w:val="20"/>
                <w:color w:val="auto"/>
              </w:rPr>
            </w:pPr>
            <w:r>
              <w:rPr>
                <w:rFonts w:ascii="Arial" w:cs="Arial" w:eastAsia="Arial" w:hAnsi="Arial"/>
                <w:sz w:val="13"/>
                <w:szCs w:val="13"/>
                <w:b w:val="1"/>
                <w:bCs w:val="1"/>
                <w:color w:val="auto"/>
              </w:rPr>
              <w:t>$m</w:t>
            </w:r>
          </w:p>
        </w:tc>
        <w:tc>
          <w:tcPr>
            <w:tcW w:w="1380" w:type="dxa"/>
            <w:vAlign w:val="bottom"/>
          </w:tcPr>
          <w:p>
            <w:pPr>
              <w:jc w:val="right"/>
              <w:ind w:right="347"/>
              <w:spacing w:after="0"/>
              <w:rPr>
                <w:sz w:val="20"/>
                <w:szCs w:val="20"/>
                <w:color w:val="auto"/>
              </w:rPr>
            </w:pPr>
            <w:r>
              <w:rPr>
                <w:rFonts w:ascii="Arial" w:cs="Arial" w:eastAsia="Arial" w:hAnsi="Arial"/>
                <w:sz w:val="13"/>
                <w:szCs w:val="13"/>
                <w:b w:val="1"/>
                <w:bCs w:val="1"/>
                <w:color w:val="auto"/>
              </w:rPr>
              <w:t>$m</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$m</w:t>
            </w:r>
          </w:p>
        </w:tc>
      </w:tr>
      <w:tr>
        <w:trPr>
          <w:trHeight w:val="22"/>
        </w:trPr>
        <w:tc>
          <w:tcPr>
            <w:tcW w:w="3580" w:type="dxa"/>
            <w:vAlign w:val="bottom"/>
            <w:tcBorders>
              <w:bottom w:val="single" w:sz="8" w:color="793690"/>
            </w:tcBorders>
          </w:tcPr>
          <w:p>
            <w:pPr>
              <w:spacing w:after="0" w:line="20" w:lineRule="exact"/>
              <w:rPr>
                <w:sz w:val="1"/>
                <w:szCs w:val="1"/>
                <w:color w:val="auto"/>
              </w:rPr>
            </w:pPr>
          </w:p>
        </w:tc>
        <w:tc>
          <w:tcPr>
            <w:tcW w:w="1160" w:type="dxa"/>
            <w:vAlign w:val="bottom"/>
            <w:tcBorders>
              <w:bottom w:val="single" w:sz="8" w:color="793690"/>
            </w:tcBorders>
          </w:tcPr>
          <w:p>
            <w:pPr>
              <w:spacing w:after="0" w:line="20" w:lineRule="exact"/>
              <w:rPr>
                <w:sz w:val="1"/>
                <w:szCs w:val="1"/>
                <w:color w:val="auto"/>
              </w:rPr>
            </w:pPr>
          </w:p>
        </w:tc>
        <w:tc>
          <w:tcPr>
            <w:tcW w:w="1280" w:type="dxa"/>
            <w:vAlign w:val="bottom"/>
            <w:tcBorders>
              <w:bottom w:val="single" w:sz="8" w:color="793690"/>
            </w:tcBorders>
          </w:tcPr>
          <w:p>
            <w:pPr>
              <w:spacing w:after="0" w:line="20" w:lineRule="exact"/>
              <w:rPr>
                <w:sz w:val="1"/>
                <w:szCs w:val="1"/>
                <w:color w:val="auto"/>
              </w:rPr>
            </w:pPr>
          </w:p>
        </w:tc>
        <w:tc>
          <w:tcPr>
            <w:tcW w:w="1560" w:type="dxa"/>
            <w:vAlign w:val="bottom"/>
            <w:tcBorders>
              <w:bottom w:val="single" w:sz="8" w:color="793690"/>
            </w:tcBorders>
          </w:tcPr>
          <w:p>
            <w:pPr>
              <w:spacing w:after="0" w:line="20" w:lineRule="exact"/>
              <w:rPr>
                <w:sz w:val="1"/>
                <w:szCs w:val="1"/>
                <w:color w:val="auto"/>
              </w:rPr>
            </w:pPr>
          </w:p>
        </w:tc>
        <w:tc>
          <w:tcPr>
            <w:tcW w:w="1380" w:type="dxa"/>
            <w:vAlign w:val="bottom"/>
            <w:tcBorders>
              <w:bottom w:val="single" w:sz="8" w:color="793690"/>
            </w:tcBorders>
          </w:tcPr>
          <w:p>
            <w:pPr>
              <w:spacing w:after="0" w:line="20" w:lineRule="exact"/>
              <w:rPr>
                <w:sz w:val="1"/>
                <w:szCs w:val="1"/>
                <w:color w:val="auto"/>
              </w:rPr>
            </w:pPr>
          </w:p>
        </w:tc>
        <w:tc>
          <w:tcPr>
            <w:tcW w:w="1380" w:type="dxa"/>
            <w:vAlign w:val="bottom"/>
            <w:tcBorders>
              <w:bottom w:val="single" w:sz="8" w:color="793690"/>
            </w:tcBorders>
          </w:tcPr>
          <w:p>
            <w:pPr>
              <w:spacing w:after="0" w:line="20" w:lineRule="exact"/>
              <w:rPr>
                <w:sz w:val="1"/>
                <w:szCs w:val="1"/>
                <w:color w:val="auto"/>
              </w:rPr>
            </w:pPr>
          </w:p>
        </w:tc>
        <w:tc>
          <w:tcPr>
            <w:tcW w:w="880" w:type="dxa"/>
            <w:vAlign w:val="bottom"/>
            <w:tcBorders>
              <w:bottom w:val="single" w:sz="8" w:color="793690"/>
            </w:tcBorders>
          </w:tcPr>
          <w:p>
            <w:pPr>
              <w:spacing w:after="0" w:line="20" w:lineRule="exact"/>
              <w:rPr>
                <w:sz w:val="1"/>
                <w:szCs w:val="1"/>
                <w:color w:val="auto"/>
              </w:rPr>
            </w:pPr>
          </w:p>
        </w:tc>
      </w:tr>
      <w:tr>
        <w:trPr>
          <w:trHeight w:val="244"/>
        </w:trPr>
        <w:tc>
          <w:tcPr>
            <w:tcW w:w="3580" w:type="dxa"/>
            <w:vAlign w:val="bottom"/>
          </w:tcPr>
          <w:p>
            <w:pPr>
              <w:ind w:left="20"/>
              <w:spacing w:after="0"/>
              <w:rPr>
                <w:sz w:val="20"/>
                <w:szCs w:val="20"/>
                <w:color w:val="auto"/>
              </w:rPr>
            </w:pPr>
            <w:r>
              <w:rPr>
                <w:rFonts w:ascii="Arial" w:cs="Arial" w:eastAsia="Arial" w:hAnsi="Arial"/>
                <w:sz w:val="15"/>
                <w:szCs w:val="15"/>
                <w:color w:val="auto"/>
              </w:rPr>
              <w:t>Net commission income/(expense)</w:t>
            </w:r>
          </w:p>
        </w:tc>
        <w:tc>
          <w:tcPr>
            <w:tcW w:w="1160" w:type="dxa"/>
            <w:vAlign w:val="bottom"/>
          </w:tcPr>
          <w:p>
            <w:pPr>
              <w:jc w:val="right"/>
              <w:ind w:right="7"/>
              <w:spacing w:after="0"/>
              <w:rPr>
                <w:sz w:val="20"/>
                <w:szCs w:val="20"/>
                <w:color w:val="auto"/>
              </w:rPr>
            </w:pPr>
            <w:r>
              <w:rPr>
                <w:rFonts w:ascii="Arial" w:cs="Arial" w:eastAsia="Arial" w:hAnsi="Arial"/>
                <w:sz w:val="15"/>
                <w:szCs w:val="15"/>
                <w:color w:val="auto"/>
              </w:rPr>
              <w:t>135.6</w:t>
            </w:r>
          </w:p>
        </w:tc>
        <w:tc>
          <w:tcPr>
            <w:tcW w:w="1280" w:type="dxa"/>
            <w:vAlign w:val="bottom"/>
          </w:tcPr>
          <w:p>
            <w:pPr>
              <w:jc w:val="right"/>
              <w:spacing w:after="0"/>
              <w:rPr>
                <w:sz w:val="20"/>
                <w:szCs w:val="20"/>
                <w:color w:val="auto"/>
              </w:rPr>
            </w:pPr>
            <w:r>
              <w:rPr>
                <w:rFonts w:ascii="Arial" w:cs="Arial" w:eastAsia="Arial" w:hAnsi="Arial"/>
                <w:sz w:val="15"/>
                <w:szCs w:val="15"/>
                <w:color w:val="auto"/>
              </w:rPr>
              <w:t>294.5</w:t>
            </w:r>
          </w:p>
        </w:tc>
        <w:tc>
          <w:tcPr>
            <w:tcW w:w="1560" w:type="dxa"/>
            <w:vAlign w:val="bottom"/>
          </w:tcPr>
          <w:p>
            <w:pPr>
              <w:jc w:val="right"/>
              <w:ind w:right="207"/>
              <w:spacing w:after="0"/>
              <w:rPr>
                <w:sz w:val="20"/>
                <w:szCs w:val="20"/>
                <w:color w:val="auto"/>
              </w:rPr>
            </w:pPr>
            <w:r>
              <w:rPr>
                <w:rFonts w:ascii="Arial" w:cs="Arial" w:eastAsia="Arial" w:hAnsi="Arial"/>
                <w:sz w:val="15"/>
                <w:szCs w:val="15"/>
                <w:color w:val="auto"/>
              </w:rPr>
              <w:t>(2.8)</w:t>
            </w:r>
          </w:p>
        </w:tc>
        <w:tc>
          <w:tcPr>
            <w:tcW w:w="1380" w:type="dxa"/>
            <w:vAlign w:val="bottom"/>
          </w:tcPr>
          <w:p>
            <w:pPr>
              <w:jc w:val="right"/>
              <w:ind w:right="330"/>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407"/>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427.3</w:t>
            </w:r>
          </w:p>
        </w:tc>
      </w:tr>
      <w:tr>
        <w:trPr>
          <w:trHeight w:val="33"/>
        </w:trPr>
        <w:tc>
          <w:tcPr>
            <w:tcW w:w="358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tcPr>
          <w:p>
            <w:pPr>
              <w:spacing w:after="0"/>
              <w:rPr>
                <w:sz w:val="2"/>
                <w:szCs w:val="2"/>
                <w:color w:val="auto"/>
              </w:rPr>
            </w:pPr>
          </w:p>
        </w:tc>
        <w:tc>
          <w:tcPr>
            <w:tcW w:w="1280" w:type="dxa"/>
            <w:vAlign w:val="bottom"/>
            <w:tcBorders>
              <w:bottom w:val="single" w:sz="8" w:color="DADAE7"/>
            </w:tcBorders>
          </w:tcPr>
          <w:p>
            <w:pPr>
              <w:spacing w:after="0"/>
              <w:rPr>
                <w:sz w:val="2"/>
                <w:szCs w:val="2"/>
                <w:color w:val="auto"/>
              </w:rPr>
            </w:pPr>
          </w:p>
        </w:tc>
        <w:tc>
          <w:tcPr>
            <w:tcW w:w="1560" w:type="dxa"/>
            <w:vAlign w:val="bottom"/>
            <w:tcBorders>
              <w:bottom w:val="single" w:sz="8" w:color="DADAE7"/>
            </w:tcBorders>
          </w:tcPr>
          <w:p>
            <w:pPr>
              <w:spacing w:after="0"/>
              <w:rPr>
                <w:sz w:val="2"/>
                <w:szCs w:val="2"/>
                <w:color w:val="auto"/>
              </w:rPr>
            </w:pPr>
          </w:p>
        </w:tc>
        <w:tc>
          <w:tcPr>
            <w:tcW w:w="1380" w:type="dxa"/>
            <w:vAlign w:val="bottom"/>
            <w:tcBorders>
              <w:bottom w:val="single" w:sz="8" w:color="DADAE7"/>
            </w:tcBorders>
          </w:tcPr>
          <w:p>
            <w:pPr>
              <w:spacing w:after="0"/>
              <w:rPr>
                <w:sz w:val="2"/>
                <w:szCs w:val="2"/>
                <w:color w:val="auto"/>
              </w:rPr>
            </w:pPr>
          </w:p>
        </w:tc>
        <w:tc>
          <w:tcPr>
            <w:tcW w:w="1380" w:type="dxa"/>
            <w:vAlign w:val="bottom"/>
            <w:tcBorders>
              <w:bottom w:val="single" w:sz="8" w:color="DADAE7"/>
            </w:tcBorders>
          </w:tcPr>
          <w:p>
            <w:pPr>
              <w:spacing w:after="0"/>
              <w:rPr>
                <w:sz w:val="2"/>
                <w:szCs w:val="2"/>
                <w:color w:val="auto"/>
              </w:rPr>
            </w:pPr>
          </w:p>
        </w:tc>
        <w:tc>
          <w:tcPr>
            <w:tcW w:w="880" w:type="dxa"/>
            <w:vAlign w:val="bottom"/>
            <w:tcBorders>
              <w:bottom w:val="single" w:sz="8" w:color="DADAE7"/>
            </w:tcBorders>
          </w:tcPr>
          <w:p>
            <w:pPr>
              <w:spacing w:after="0"/>
              <w:rPr>
                <w:sz w:val="2"/>
                <w:szCs w:val="2"/>
                <w:color w:val="auto"/>
              </w:rPr>
            </w:pPr>
          </w:p>
        </w:tc>
      </w:tr>
      <w:tr>
        <w:trPr>
          <w:trHeight w:val="203"/>
        </w:trPr>
        <w:tc>
          <w:tcPr>
            <w:tcW w:w="3580" w:type="dxa"/>
            <w:vAlign w:val="bottom"/>
          </w:tcPr>
          <w:p>
            <w:pPr>
              <w:ind w:left="20"/>
              <w:spacing w:after="0"/>
              <w:rPr>
                <w:sz w:val="20"/>
                <w:szCs w:val="20"/>
                <w:color w:val="auto"/>
              </w:rPr>
            </w:pPr>
            <w:r>
              <w:rPr>
                <w:rFonts w:ascii="Arial" w:cs="Arial" w:eastAsia="Arial" w:hAnsi="Arial"/>
                <w:sz w:val="15"/>
                <w:szCs w:val="15"/>
                <w:color w:val="auto"/>
              </w:rPr>
              <w:t>Net trading income</w:t>
            </w:r>
          </w:p>
        </w:tc>
        <w:tc>
          <w:tcPr>
            <w:tcW w:w="1160" w:type="dxa"/>
            <w:vAlign w:val="bottom"/>
          </w:tcPr>
          <w:p>
            <w:pPr>
              <w:jc w:val="right"/>
              <w:ind w:right="7"/>
              <w:spacing w:after="0"/>
              <w:rPr>
                <w:sz w:val="20"/>
                <w:szCs w:val="20"/>
                <w:color w:val="auto"/>
              </w:rPr>
            </w:pPr>
            <w:r>
              <w:rPr>
                <w:rFonts w:ascii="Arial" w:cs="Arial" w:eastAsia="Arial" w:hAnsi="Arial"/>
                <w:sz w:val="15"/>
                <w:szCs w:val="15"/>
                <w:color w:val="auto"/>
              </w:rPr>
              <w:t>2.3</w:t>
            </w:r>
          </w:p>
        </w:tc>
        <w:tc>
          <w:tcPr>
            <w:tcW w:w="1280" w:type="dxa"/>
            <w:vAlign w:val="bottom"/>
          </w:tcPr>
          <w:p>
            <w:pPr>
              <w:jc w:val="right"/>
              <w:spacing w:after="0"/>
              <w:rPr>
                <w:sz w:val="20"/>
                <w:szCs w:val="20"/>
                <w:color w:val="auto"/>
              </w:rPr>
            </w:pPr>
            <w:r>
              <w:rPr>
                <w:rFonts w:ascii="Arial" w:cs="Arial" w:eastAsia="Arial" w:hAnsi="Arial"/>
                <w:sz w:val="15"/>
                <w:szCs w:val="15"/>
                <w:color w:val="auto"/>
              </w:rPr>
              <w:t>19.9</w:t>
            </w:r>
          </w:p>
        </w:tc>
        <w:tc>
          <w:tcPr>
            <w:tcW w:w="1560" w:type="dxa"/>
            <w:vAlign w:val="bottom"/>
          </w:tcPr>
          <w:p>
            <w:pPr>
              <w:jc w:val="right"/>
              <w:ind w:right="247"/>
              <w:spacing w:after="0"/>
              <w:rPr>
                <w:sz w:val="20"/>
                <w:szCs w:val="20"/>
                <w:color w:val="auto"/>
              </w:rPr>
            </w:pPr>
            <w:r>
              <w:rPr>
                <w:rFonts w:ascii="Arial" w:cs="Arial" w:eastAsia="Arial" w:hAnsi="Arial"/>
                <w:sz w:val="15"/>
                <w:szCs w:val="15"/>
                <w:color w:val="auto"/>
              </w:rPr>
              <w:t>108.5</w:t>
            </w:r>
          </w:p>
        </w:tc>
        <w:tc>
          <w:tcPr>
            <w:tcW w:w="1380" w:type="dxa"/>
            <w:vAlign w:val="bottom"/>
          </w:tcPr>
          <w:p>
            <w:pPr>
              <w:jc w:val="right"/>
              <w:ind w:right="330"/>
              <w:spacing w:after="0"/>
              <w:rPr>
                <w:sz w:val="20"/>
                <w:szCs w:val="20"/>
                <w:color w:val="auto"/>
              </w:rPr>
            </w:pPr>
            <w:r>
              <w:rPr>
                <w:rFonts w:ascii="Arial" w:cs="Arial" w:eastAsia="Arial" w:hAnsi="Arial"/>
                <w:sz w:val="15"/>
                <w:szCs w:val="15"/>
                <w:color w:val="auto"/>
              </w:rPr>
              <w:t>112.0</w:t>
            </w:r>
          </w:p>
        </w:tc>
        <w:tc>
          <w:tcPr>
            <w:tcW w:w="1380" w:type="dxa"/>
            <w:vAlign w:val="bottom"/>
          </w:tcPr>
          <w:p>
            <w:pPr>
              <w:jc w:val="right"/>
              <w:ind w:right="407"/>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242.7</w:t>
            </w:r>
          </w:p>
        </w:tc>
      </w:tr>
      <w:tr>
        <w:trPr>
          <w:trHeight w:val="33"/>
        </w:trPr>
        <w:tc>
          <w:tcPr>
            <w:tcW w:w="358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tcPr>
          <w:p>
            <w:pPr>
              <w:spacing w:after="0"/>
              <w:rPr>
                <w:sz w:val="2"/>
                <w:szCs w:val="2"/>
                <w:color w:val="auto"/>
              </w:rPr>
            </w:pPr>
          </w:p>
        </w:tc>
        <w:tc>
          <w:tcPr>
            <w:tcW w:w="1280" w:type="dxa"/>
            <w:vAlign w:val="bottom"/>
            <w:tcBorders>
              <w:bottom w:val="single" w:sz="8" w:color="DADAE7"/>
            </w:tcBorders>
          </w:tcPr>
          <w:p>
            <w:pPr>
              <w:spacing w:after="0"/>
              <w:rPr>
                <w:sz w:val="2"/>
                <w:szCs w:val="2"/>
                <w:color w:val="auto"/>
              </w:rPr>
            </w:pPr>
          </w:p>
        </w:tc>
        <w:tc>
          <w:tcPr>
            <w:tcW w:w="1560" w:type="dxa"/>
            <w:vAlign w:val="bottom"/>
            <w:tcBorders>
              <w:bottom w:val="single" w:sz="8" w:color="DADAE7"/>
            </w:tcBorders>
          </w:tcPr>
          <w:p>
            <w:pPr>
              <w:spacing w:after="0"/>
              <w:rPr>
                <w:sz w:val="2"/>
                <w:szCs w:val="2"/>
                <w:color w:val="auto"/>
              </w:rPr>
            </w:pPr>
          </w:p>
        </w:tc>
        <w:tc>
          <w:tcPr>
            <w:tcW w:w="1380" w:type="dxa"/>
            <w:vAlign w:val="bottom"/>
            <w:tcBorders>
              <w:bottom w:val="single" w:sz="8" w:color="DADAE7"/>
            </w:tcBorders>
          </w:tcPr>
          <w:p>
            <w:pPr>
              <w:spacing w:after="0"/>
              <w:rPr>
                <w:sz w:val="2"/>
                <w:szCs w:val="2"/>
                <w:color w:val="auto"/>
              </w:rPr>
            </w:pPr>
          </w:p>
        </w:tc>
        <w:tc>
          <w:tcPr>
            <w:tcW w:w="1380" w:type="dxa"/>
            <w:vAlign w:val="bottom"/>
            <w:tcBorders>
              <w:bottom w:val="single" w:sz="8" w:color="DADAE7"/>
            </w:tcBorders>
          </w:tcPr>
          <w:p>
            <w:pPr>
              <w:spacing w:after="0"/>
              <w:rPr>
                <w:sz w:val="2"/>
                <w:szCs w:val="2"/>
                <w:color w:val="auto"/>
              </w:rPr>
            </w:pPr>
          </w:p>
        </w:tc>
        <w:tc>
          <w:tcPr>
            <w:tcW w:w="880" w:type="dxa"/>
            <w:vAlign w:val="bottom"/>
            <w:tcBorders>
              <w:bottom w:val="single" w:sz="8" w:color="DADAE7"/>
            </w:tcBorders>
          </w:tcPr>
          <w:p>
            <w:pPr>
              <w:spacing w:after="0"/>
              <w:rPr>
                <w:sz w:val="2"/>
                <w:szCs w:val="2"/>
                <w:color w:val="auto"/>
              </w:rPr>
            </w:pPr>
          </w:p>
        </w:tc>
      </w:tr>
      <w:tr>
        <w:trPr>
          <w:trHeight w:val="203"/>
        </w:trPr>
        <w:tc>
          <w:tcPr>
            <w:tcW w:w="3580" w:type="dxa"/>
            <w:vAlign w:val="bottom"/>
          </w:tcPr>
          <w:p>
            <w:pPr>
              <w:ind w:left="20"/>
              <w:spacing w:after="0"/>
              <w:rPr>
                <w:sz w:val="20"/>
                <w:szCs w:val="20"/>
                <w:color w:val="auto"/>
              </w:rPr>
            </w:pPr>
            <w:r>
              <w:rPr>
                <w:rFonts w:ascii="Arial" w:cs="Arial" w:eastAsia="Arial" w:hAnsi="Arial"/>
                <w:sz w:val="15"/>
                <w:szCs w:val="15"/>
                <w:color w:val="auto"/>
              </w:rPr>
              <w:t>Net interest income/(expense)</w:t>
            </w:r>
          </w:p>
        </w:tc>
        <w:tc>
          <w:tcPr>
            <w:tcW w:w="1160" w:type="dxa"/>
            <w:vAlign w:val="bottom"/>
          </w:tcPr>
          <w:p>
            <w:pPr>
              <w:jc w:val="right"/>
              <w:ind w:right="7"/>
              <w:spacing w:after="0"/>
              <w:rPr>
                <w:sz w:val="20"/>
                <w:szCs w:val="20"/>
                <w:color w:val="auto"/>
              </w:rPr>
            </w:pPr>
            <w:r>
              <w:rPr>
                <w:rFonts w:ascii="Arial" w:cs="Arial" w:eastAsia="Arial" w:hAnsi="Arial"/>
                <w:sz w:val="15"/>
                <w:szCs w:val="15"/>
                <w:color w:val="auto"/>
              </w:rPr>
              <w:t>87.0</w:t>
            </w:r>
          </w:p>
        </w:tc>
        <w:tc>
          <w:tcPr>
            <w:tcW w:w="1280" w:type="dxa"/>
            <w:vAlign w:val="bottom"/>
          </w:tcPr>
          <w:p>
            <w:pPr>
              <w:jc w:val="right"/>
              <w:spacing w:after="0"/>
              <w:rPr>
                <w:sz w:val="20"/>
                <w:szCs w:val="20"/>
                <w:color w:val="auto"/>
              </w:rPr>
            </w:pPr>
            <w:r>
              <w:rPr>
                <w:rFonts w:ascii="Arial" w:cs="Arial" w:eastAsia="Arial" w:hAnsi="Arial"/>
                <w:sz w:val="15"/>
                <w:szCs w:val="15"/>
                <w:color w:val="auto"/>
              </w:rPr>
              <w:t>17.5</w:t>
            </w:r>
          </w:p>
        </w:tc>
        <w:tc>
          <w:tcPr>
            <w:tcW w:w="1560" w:type="dxa"/>
            <w:vAlign w:val="bottom"/>
          </w:tcPr>
          <w:p>
            <w:pPr>
              <w:jc w:val="right"/>
              <w:ind w:right="207"/>
              <w:spacing w:after="0"/>
              <w:rPr>
                <w:sz w:val="20"/>
                <w:szCs w:val="20"/>
                <w:color w:val="auto"/>
              </w:rPr>
            </w:pPr>
            <w:r>
              <w:rPr>
                <w:rFonts w:ascii="Arial" w:cs="Arial" w:eastAsia="Arial" w:hAnsi="Arial"/>
                <w:sz w:val="15"/>
                <w:szCs w:val="15"/>
                <w:color w:val="auto"/>
              </w:rPr>
              <w:t>(10.6)</w:t>
            </w:r>
          </w:p>
        </w:tc>
        <w:tc>
          <w:tcPr>
            <w:tcW w:w="1380" w:type="dxa"/>
            <w:vAlign w:val="bottom"/>
          </w:tcPr>
          <w:p>
            <w:pPr>
              <w:jc w:val="right"/>
              <w:ind w:right="290"/>
              <w:spacing w:after="0"/>
              <w:rPr>
                <w:sz w:val="20"/>
                <w:szCs w:val="20"/>
                <w:color w:val="auto"/>
              </w:rPr>
            </w:pPr>
            <w:r>
              <w:rPr>
                <w:rFonts w:ascii="Arial" w:cs="Arial" w:eastAsia="Arial" w:hAnsi="Arial"/>
                <w:sz w:val="15"/>
                <w:szCs w:val="15"/>
                <w:color w:val="auto"/>
              </w:rPr>
              <w:t>(26.0)</w:t>
            </w:r>
          </w:p>
        </w:tc>
        <w:tc>
          <w:tcPr>
            <w:tcW w:w="1380" w:type="dxa"/>
            <w:vAlign w:val="bottom"/>
          </w:tcPr>
          <w:p>
            <w:pPr>
              <w:jc w:val="right"/>
              <w:ind w:right="407"/>
              <w:spacing w:after="0"/>
              <w:rPr>
                <w:sz w:val="20"/>
                <w:szCs w:val="20"/>
                <w:color w:val="auto"/>
              </w:rPr>
            </w:pPr>
            <w:r>
              <w:rPr>
                <w:rFonts w:ascii="Arial" w:cs="Arial" w:eastAsia="Arial" w:hAnsi="Arial"/>
                <w:sz w:val="15"/>
                <w:szCs w:val="15"/>
                <w:color w:val="auto"/>
              </w:rPr>
              <w:t>33.1</w:t>
            </w:r>
          </w:p>
        </w:tc>
        <w:tc>
          <w:tcPr>
            <w:tcW w:w="880" w:type="dxa"/>
            <w:vAlign w:val="bottom"/>
          </w:tcPr>
          <w:p>
            <w:pPr>
              <w:jc w:val="right"/>
              <w:spacing w:after="0"/>
              <w:rPr>
                <w:sz w:val="20"/>
                <w:szCs w:val="20"/>
                <w:color w:val="auto"/>
              </w:rPr>
            </w:pPr>
            <w:r>
              <w:rPr>
                <w:rFonts w:ascii="Arial" w:cs="Arial" w:eastAsia="Arial" w:hAnsi="Arial"/>
                <w:sz w:val="15"/>
                <w:szCs w:val="15"/>
                <w:color w:val="auto"/>
              </w:rPr>
              <w:t>101.0</w:t>
            </w:r>
          </w:p>
        </w:tc>
      </w:tr>
      <w:tr>
        <w:trPr>
          <w:trHeight w:val="33"/>
        </w:trPr>
        <w:tc>
          <w:tcPr>
            <w:tcW w:w="358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tcPr>
          <w:p>
            <w:pPr>
              <w:spacing w:after="0"/>
              <w:rPr>
                <w:sz w:val="2"/>
                <w:szCs w:val="2"/>
                <w:color w:val="auto"/>
              </w:rPr>
            </w:pPr>
          </w:p>
        </w:tc>
        <w:tc>
          <w:tcPr>
            <w:tcW w:w="1280" w:type="dxa"/>
            <w:vAlign w:val="bottom"/>
            <w:tcBorders>
              <w:bottom w:val="single" w:sz="8" w:color="DADAE7"/>
            </w:tcBorders>
          </w:tcPr>
          <w:p>
            <w:pPr>
              <w:spacing w:after="0"/>
              <w:rPr>
                <w:sz w:val="2"/>
                <w:szCs w:val="2"/>
                <w:color w:val="auto"/>
              </w:rPr>
            </w:pPr>
          </w:p>
        </w:tc>
        <w:tc>
          <w:tcPr>
            <w:tcW w:w="1560" w:type="dxa"/>
            <w:vAlign w:val="bottom"/>
            <w:tcBorders>
              <w:bottom w:val="single" w:sz="8" w:color="DADAE7"/>
            </w:tcBorders>
          </w:tcPr>
          <w:p>
            <w:pPr>
              <w:spacing w:after="0"/>
              <w:rPr>
                <w:sz w:val="2"/>
                <w:szCs w:val="2"/>
                <w:color w:val="auto"/>
              </w:rPr>
            </w:pPr>
          </w:p>
        </w:tc>
        <w:tc>
          <w:tcPr>
            <w:tcW w:w="1380" w:type="dxa"/>
            <w:vAlign w:val="bottom"/>
            <w:tcBorders>
              <w:bottom w:val="single" w:sz="8" w:color="DADAE7"/>
            </w:tcBorders>
          </w:tcPr>
          <w:p>
            <w:pPr>
              <w:spacing w:after="0"/>
              <w:rPr>
                <w:sz w:val="2"/>
                <w:szCs w:val="2"/>
                <w:color w:val="auto"/>
              </w:rPr>
            </w:pPr>
          </w:p>
        </w:tc>
        <w:tc>
          <w:tcPr>
            <w:tcW w:w="1380" w:type="dxa"/>
            <w:vAlign w:val="bottom"/>
            <w:tcBorders>
              <w:bottom w:val="single" w:sz="8" w:color="DADAE7"/>
            </w:tcBorders>
          </w:tcPr>
          <w:p>
            <w:pPr>
              <w:spacing w:after="0"/>
              <w:rPr>
                <w:sz w:val="2"/>
                <w:szCs w:val="2"/>
                <w:color w:val="auto"/>
              </w:rPr>
            </w:pPr>
          </w:p>
        </w:tc>
        <w:tc>
          <w:tcPr>
            <w:tcW w:w="880" w:type="dxa"/>
            <w:vAlign w:val="bottom"/>
            <w:tcBorders>
              <w:bottom w:val="single" w:sz="8" w:color="DADAE7"/>
            </w:tcBorders>
          </w:tcPr>
          <w:p>
            <w:pPr>
              <w:spacing w:after="0"/>
              <w:rPr>
                <w:sz w:val="2"/>
                <w:szCs w:val="2"/>
                <w:color w:val="auto"/>
              </w:rPr>
            </w:pPr>
          </w:p>
        </w:tc>
      </w:tr>
      <w:tr>
        <w:trPr>
          <w:trHeight w:val="203"/>
        </w:trPr>
        <w:tc>
          <w:tcPr>
            <w:tcW w:w="3580" w:type="dxa"/>
            <w:vAlign w:val="bottom"/>
          </w:tcPr>
          <w:p>
            <w:pPr>
              <w:ind w:left="20"/>
              <w:spacing w:after="0"/>
              <w:rPr>
                <w:sz w:val="20"/>
                <w:szCs w:val="20"/>
                <w:color w:val="auto"/>
              </w:rPr>
            </w:pPr>
            <w:r>
              <w:rPr>
                <w:rFonts w:ascii="Arial" w:cs="Arial" w:eastAsia="Arial" w:hAnsi="Arial"/>
                <w:sz w:val="15"/>
                <w:szCs w:val="15"/>
                <w:color w:val="auto"/>
              </w:rPr>
              <w:t>Net physical commodities income</w:t>
            </w:r>
          </w:p>
        </w:tc>
        <w:tc>
          <w:tcPr>
            <w:tcW w:w="11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0.7</w:t>
            </w:r>
          </w:p>
        </w:tc>
        <w:tc>
          <w:tcPr>
            <w:tcW w:w="1560" w:type="dxa"/>
            <w:vAlign w:val="bottom"/>
          </w:tcPr>
          <w:p>
            <w:pPr>
              <w:jc w:val="right"/>
              <w:ind w:right="247"/>
              <w:spacing w:after="0"/>
              <w:rPr>
                <w:sz w:val="20"/>
                <w:szCs w:val="20"/>
                <w:color w:val="auto"/>
              </w:rPr>
            </w:pPr>
            <w:r>
              <w:rPr>
                <w:rFonts w:ascii="Arial" w:cs="Arial" w:eastAsia="Arial" w:hAnsi="Arial"/>
                <w:sz w:val="15"/>
                <w:szCs w:val="15"/>
                <w:color w:val="auto"/>
              </w:rPr>
              <w:t>16.2</w:t>
            </w:r>
          </w:p>
        </w:tc>
        <w:tc>
          <w:tcPr>
            <w:tcW w:w="1380" w:type="dxa"/>
            <w:vAlign w:val="bottom"/>
          </w:tcPr>
          <w:p>
            <w:pPr>
              <w:jc w:val="right"/>
              <w:ind w:right="330"/>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407"/>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16.9</w:t>
            </w:r>
          </w:p>
        </w:tc>
      </w:tr>
      <w:tr>
        <w:trPr>
          <w:trHeight w:val="33"/>
        </w:trPr>
        <w:tc>
          <w:tcPr>
            <w:tcW w:w="3580" w:type="dxa"/>
            <w:vAlign w:val="bottom"/>
            <w:tcBorders>
              <w:bottom w:val="single" w:sz="8" w:color="793690"/>
            </w:tcBorders>
          </w:tcPr>
          <w:p>
            <w:pPr>
              <w:spacing w:after="0"/>
              <w:rPr>
                <w:sz w:val="2"/>
                <w:szCs w:val="2"/>
                <w:color w:val="auto"/>
              </w:rPr>
            </w:pPr>
          </w:p>
        </w:tc>
        <w:tc>
          <w:tcPr>
            <w:tcW w:w="1160" w:type="dxa"/>
            <w:vAlign w:val="bottom"/>
            <w:tcBorders>
              <w:bottom w:val="single" w:sz="8" w:color="793690"/>
            </w:tcBorders>
          </w:tcPr>
          <w:p>
            <w:pPr>
              <w:spacing w:after="0"/>
              <w:rPr>
                <w:sz w:val="2"/>
                <w:szCs w:val="2"/>
                <w:color w:val="auto"/>
              </w:rPr>
            </w:pPr>
          </w:p>
        </w:tc>
        <w:tc>
          <w:tcPr>
            <w:tcW w:w="1280" w:type="dxa"/>
            <w:vAlign w:val="bottom"/>
            <w:tcBorders>
              <w:bottom w:val="single" w:sz="8" w:color="793690"/>
            </w:tcBorders>
          </w:tcPr>
          <w:p>
            <w:pPr>
              <w:spacing w:after="0"/>
              <w:rPr>
                <w:sz w:val="2"/>
                <w:szCs w:val="2"/>
                <w:color w:val="auto"/>
              </w:rPr>
            </w:pPr>
          </w:p>
        </w:tc>
        <w:tc>
          <w:tcPr>
            <w:tcW w:w="1560" w:type="dxa"/>
            <w:vAlign w:val="bottom"/>
            <w:tcBorders>
              <w:bottom w:val="single" w:sz="8" w:color="793690"/>
            </w:tcBorders>
          </w:tcPr>
          <w:p>
            <w:pPr>
              <w:spacing w:after="0"/>
              <w:rPr>
                <w:sz w:val="2"/>
                <w:szCs w:val="2"/>
                <w:color w:val="auto"/>
              </w:rPr>
            </w:pPr>
          </w:p>
        </w:tc>
        <w:tc>
          <w:tcPr>
            <w:tcW w:w="1380" w:type="dxa"/>
            <w:vAlign w:val="bottom"/>
            <w:tcBorders>
              <w:bottom w:val="single" w:sz="8" w:color="793690"/>
            </w:tcBorders>
          </w:tcPr>
          <w:p>
            <w:pPr>
              <w:spacing w:after="0"/>
              <w:rPr>
                <w:sz w:val="2"/>
                <w:szCs w:val="2"/>
                <w:color w:val="auto"/>
              </w:rPr>
            </w:pPr>
          </w:p>
        </w:tc>
        <w:tc>
          <w:tcPr>
            <w:tcW w:w="1380" w:type="dxa"/>
            <w:vAlign w:val="bottom"/>
            <w:tcBorders>
              <w:bottom w:val="single" w:sz="8" w:color="793690"/>
            </w:tcBorders>
          </w:tcPr>
          <w:p>
            <w:pPr>
              <w:spacing w:after="0"/>
              <w:rPr>
                <w:sz w:val="2"/>
                <w:szCs w:val="2"/>
                <w:color w:val="auto"/>
              </w:rPr>
            </w:pPr>
          </w:p>
        </w:tc>
        <w:tc>
          <w:tcPr>
            <w:tcW w:w="880" w:type="dxa"/>
            <w:vAlign w:val="bottom"/>
            <w:tcBorders>
              <w:bottom w:val="single" w:sz="8" w:color="793690"/>
            </w:tcBorders>
          </w:tcPr>
          <w:p>
            <w:pPr>
              <w:spacing w:after="0"/>
              <w:rPr>
                <w:sz w:val="2"/>
                <w:szCs w:val="2"/>
                <w:color w:val="auto"/>
              </w:rPr>
            </w:pPr>
          </w:p>
        </w:tc>
      </w:tr>
      <w:tr>
        <w:trPr>
          <w:trHeight w:val="204"/>
        </w:trPr>
        <w:tc>
          <w:tcPr>
            <w:tcW w:w="3580" w:type="dxa"/>
            <w:vAlign w:val="bottom"/>
          </w:tcPr>
          <w:p>
            <w:pPr>
              <w:ind w:left="20"/>
              <w:spacing w:after="0"/>
              <w:rPr>
                <w:sz w:val="20"/>
                <w:szCs w:val="20"/>
                <w:color w:val="auto"/>
              </w:rPr>
            </w:pPr>
            <w:r>
              <w:rPr>
                <w:rFonts w:ascii="Arial" w:cs="Arial" w:eastAsia="Arial" w:hAnsi="Arial"/>
                <w:sz w:val="15"/>
                <w:szCs w:val="15"/>
                <w:color w:val="auto"/>
              </w:rPr>
              <w:t>Revenue</w:t>
            </w:r>
          </w:p>
        </w:tc>
        <w:tc>
          <w:tcPr>
            <w:tcW w:w="1160" w:type="dxa"/>
            <w:vAlign w:val="bottom"/>
          </w:tcPr>
          <w:p>
            <w:pPr>
              <w:jc w:val="right"/>
              <w:ind w:right="7"/>
              <w:spacing w:after="0"/>
              <w:rPr>
                <w:sz w:val="20"/>
                <w:szCs w:val="20"/>
                <w:color w:val="auto"/>
              </w:rPr>
            </w:pPr>
            <w:r>
              <w:rPr>
                <w:rFonts w:ascii="Arial" w:cs="Arial" w:eastAsia="Arial" w:hAnsi="Arial"/>
                <w:sz w:val="15"/>
                <w:szCs w:val="15"/>
                <w:color w:val="auto"/>
              </w:rPr>
              <w:t>224.9</w:t>
            </w:r>
          </w:p>
        </w:tc>
        <w:tc>
          <w:tcPr>
            <w:tcW w:w="1280" w:type="dxa"/>
            <w:vAlign w:val="bottom"/>
          </w:tcPr>
          <w:p>
            <w:pPr>
              <w:jc w:val="right"/>
              <w:spacing w:after="0"/>
              <w:rPr>
                <w:sz w:val="20"/>
                <w:szCs w:val="20"/>
                <w:color w:val="auto"/>
              </w:rPr>
            </w:pPr>
            <w:r>
              <w:rPr>
                <w:rFonts w:ascii="Arial" w:cs="Arial" w:eastAsia="Arial" w:hAnsi="Arial"/>
                <w:sz w:val="15"/>
                <w:szCs w:val="15"/>
                <w:color w:val="auto"/>
              </w:rPr>
              <w:t>332.6</w:t>
            </w:r>
          </w:p>
        </w:tc>
        <w:tc>
          <w:tcPr>
            <w:tcW w:w="1560" w:type="dxa"/>
            <w:vAlign w:val="bottom"/>
          </w:tcPr>
          <w:p>
            <w:pPr>
              <w:jc w:val="right"/>
              <w:ind w:right="247"/>
              <w:spacing w:after="0"/>
              <w:rPr>
                <w:sz w:val="20"/>
                <w:szCs w:val="20"/>
                <w:color w:val="auto"/>
              </w:rPr>
            </w:pPr>
            <w:r>
              <w:rPr>
                <w:rFonts w:ascii="Arial" w:cs="Arial" w:eastAsia="Arial" w:hAnsi="Arial"/>
                <w:sz w:val="15"/>
                <w:szCs w:val="15"/>
                <w:color w:val="auto"/>
              </w:rPr>
              <w:t>111.3</w:t>
            </w:r>
          </w:p>
        </w:tc>
        <w:tc>
          <w:tcPr>
            <w:tcW w:w="1380" w:type="dxa"/>
            <w:vAlign w:val="bottom"/>
          </w:tcPr>
          <w:p>
            <w:pPr>
              <w:jc w:val="right"/>
              <w:ind w:right="330"/>
              <w:spacing w:after="0"/>
              <w:rPr>
                <w:sz w:val="20"/>
                <w:szCs w:val="20"/>
                <w:color w:val="auto"/>
              </w:rPr>
            </w:pPr>
            <w:r>
              <w:rPr>
                <w:rFonts w:ascii="Arial" w:cs="Arial" w:eastAsia="Arial" w:hAnsi="Arial"/>
                <w:sz w:val="15"/>
                <w:szCs w:val="15"/>
                <w:color w:val="auto"/>
              </w:rPr>
              <w:t>86.0</w:t>
            </w:r>
          </w:p>
        </w:tc>
        <w:tc>
          <w:tcPr>
            <w:tcW w:w="1380" w:type="dxa"/>
            <w:vAlign w:val="bottom"/>
          </w:tcPr>
          <w:p>
            <w:pPr>
              <w:jc w:val="right"/>
              <w:ind w:right="407"/>
              <w:spacing w:after="0"/>
              <w:rPr>
                <w:sz w:val="20"/>
                <w:szCs w:val="20"/>
                <w:color w:val="auto"/>
              </w:rPr>
            </w:pPr>
            <w:r>
              <w:rPr>
                <w:rFonts w:ascii="Arial" w:cs="Arial" w:eastAsia="Arial" w:hAnsi="Arial"/>
                <w:sz w:val="15"/>
                <w:szCs w:val="15"/>
                <w:color w:val="auto"/>
              </w:rPr>
              <w:t>33.1</w:t>
            </w:r>
          </w:p>
        </w:tc>
        <w:tc>
          <w:tcPr>
            <w:tcW w:w="880" w:type="dxa"/>
            <w:vAlign w:val="bottom"/>
          </w:tcPr>
          <w:p>
            <w:pPr>
              <w:jc w:val="right"/>
              <w:spacing w:after="0"/>
              <w:rPr>
                <w:sz w:val="20"/>
                <w:szCs w:val="20"/>
                <w:color w:val="auto"/>
              </w:rPr>
            </w:pPr>
            <w:r>
              <w:rPr>
                <w:rFonts w:ascii="Arial" w:cs="Arial" w:eastAsia="Arial" w:hAnsi="Arial"/>
                <w:sz w:val="15"/>
                <w:szCs w:val="15"/>
                <w:color w:val="auto"/>
              </w:rPr>
              <w:t>787.9</w:t>
            </w:r>
          </w:p>
        </w:tc>
      </w:tr>
      <w:tr>
        <w:trPr>
          <w:trHeight w:val="33"/>
        </w:trPr>
        <w:tc>
          <w:tcPr>
            <w:tcW w:w="3580" w:type="dxa"/>
            <w:vAlign w:val="bottom"/>
            <w:tcBorders>
              <w:bottom w:val="single" w:sz="8" w:color="793690"/>
            </w:tcBorders>
          </w:tcPr>
          <w:p>
            <w:pPr>
              <w:spacing w:after="0"/>
              <w:rPr>
                <w:sz w:val="2"/>
                <w:szCs w:val="2"/>
                <w:color w:val="auto"/>
              </w:rPr>
            </w:pPr>
          </w:p>
        </w:tc>
        <w:tc>
          <w:tcPr>
            <w:tcW w:w="1160" w:type="dxa"/>
            <w:vAlign w:val="bottom"/>
            <w:tcBorders>
              <w:bottom w:val="single" w:sz="8" w:color="793690"/>
            </w:tcBorders>
          </w:tcPr>
          <w:p>
            <w:pPr>
              <w:spacing w:after="0"/>
              <w:rPr>
                <w:sz w:val="2"/>
                <w:szCs w:val="2"/>
                <w:color w:val="auto"/>
              </w:rPr>
            </w:pPr>
          </w:p>
        </w:tc>
        <w:tc>
          <w:tcPr>
            <w:tcW w:w="1280" w:type="dxa"/>
            <w:vAlign w:val="bottom"/>
            <w:tcBorders>
              <w:bottom w:val="single" w:sz="8" w:color="793690"/>
            </w:tcBorders>
          </w:tcPr>
          <w:p>
            <w:pPr>
              <w:spacing w:after="0"/>
              <w:rPr>
                <w:sz w:val="2"/>
                <w:szCs w:val="2"/>
                <w:color w:val="auto"/>
              </w:rPr>
            </w:pPr>
          </w:p>
        </w:tc>
        <w:tc>
          <w:tcPr>
            <w:tcW w:w="1560" w:type="dxa"/>
            <w:vAlign w:val="bottom"/>
            <w:tcBorders>
              <w:bottom w:val="single" w:sz="8" w:color="793690"/>
            </w:tcBorders>
          </w:tcPr>
          <w:p>
            <w:pPr>
              <w:spacing w:after="0"/>
              <w:rPr>
                <w:sz w:val="2"/>
                <w:szCs w:val="2"/>
                <w:color w:val="auto"/>
              </w:rPr>
            </w:pPr>
          </w:p>
        </w:tc>
        <w:tc>
          <w:tcPr>
            <w:tcW w:w="1380" w:type="dxa"/>
            <w:vAlign w:val="bottom"/>
            <w:tcBorders>
              <w:bottom w:val="single" w:sz="8" w:color="793690"/>
            </w:tcBorders>
          </w:tcPr>
          <w:p>
            <w:pPr>
              <w:spacing w:after="0"/>
              <w:rPr>
                <w:sz w:val="2"/>
                <w:szCs w:val="2"/>
                <w:color w:val="auto"/>
              </w:rPr>
            </w:pPr>
          </w:p>
        </w:tc>
        <w:tc>
          <w:tcPr>
            <w:tcW w:w="1380" w:type="dxa"/>
            <w:vAlign w:val="bottom"/>
            <w:tcBorders>
              <w:bottom w:val="single" w:sz="8" w:color="793690"/>
            </w:tcBorders>
          </w:tcPr>
          <w:p>
            <w:pPr>
              <w:spacing w:after="0"/>
              <w:rPr>
                <w:sz w:val="2"/>
                <w:szCs w:val="2"/>
                <w:color w:val="auto"/>
              </w:rPr>
            </w:pPr>
          </w:p>
        </w:tc>
        <w:tc>
          <w:tcPr>
            <w:tcW w:w="880" w:type="dxa"/>
            <w:vAlign w:val="bottom"/>
            <w:tcBorders>
              <w:bottom w:val="single" w:sz="8" w:color="793690"/>
            </w:tcBorders>
          </w:tcPr>
          <w:p>
            <w:pPr>
              <w:spacing w:after="0"/>
              <w:rPr>
                <w:sz w:val="2"/>
                <w:szCs w:val="2"/>
                <w:color w:val="auto"/>
              </w:rPr>
            </w:pPr>
          </w:p>
        </w:tc>
      </w:tr>
      <w:tr>
        <w:trPr>
          <w:trHeight w:val="748"/>
        </w:trPr>
        <w:tc>
          <w:tcPr>
            <w:tcW w:w="3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jc w:val="right"/>
              <w:ind w:right="249"/>
              <w:spacing w:after="0"/>
              <w:rPr>
                <w:sz w:val="20"/>
                <w:szCs w:val="20"/>
                <w:color w:val="auto"/>
              </w:rPr>
            </w:pPr>
            <w:r>
              <w:rPr>
                <w:rFonts w:ascii="Arial" w:cs="Arial" w:eastAsia="Arial" w:hAnsi="Arial"/>
                <w:sz w:val="14"/>
                <w:szCs w:val="14"/>
                <w:b w:val="1"/>
                <w:bCs w:val="1"/>
                <w:color w:val="auto"/>
              </w:rPr>
              <w:t>17</w:t>
            </w: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220"/>
          </w:cols>
          <w:pgMar w:left="320" w:top="1353" w:right="359" w:bottom="1440" w:gutter="0" w:footer="0" w:header="0"/>
        </w:sectPr>
      </w:pPr>
    </w:p>
    <w:bookmarkStart w:id="21" w:name="page22"/>
    <w:bookmarkEnd w:id="21"/>
    <w:p>
      <w:pPr>
        <w:spacing w:after="0"/>
        <w:rPr>
          <w:sz w:val="20"/>
          <w:szCs w:val="20"/>
          <w:color w:val="auto"/>
        </w:rPr>
      </w:pPr>
      <w:r>
        <w:rPr>
          <w:rFonts w:ascii="Arial" w:cs="Arial" w:eastAsia="Arial" w:hAnsi="Arial"/>
          <w:sz w:val="90"/>
          <w:szCs w:val="90"/>
          <w:color w:val="793690"/>
        </w:rPr>
        <w:t>Condensed Consolidated</w:t>
      </w:r>
    </w:p>
    <w:p>
      <w:pPr>
        <w:spacing w:after="0" w:line="219" w:lineRule="auto"/>
        <w:rPr>
          <w:sz w:val="20"/>
          <w:szCs w:val="20"/>
          <w:color w:val="auto"/>
        </w:rPr>
      </w:pPr>
      <w:r>
        <w:rPr>
          <w:rFonts w:ascii="Arial" w:cs="Arial" w:eastAsia="Arial" w:hAnsi="Arial"/>
          <w:sz w:val="90"/>
          <w:szCs w:val="90"/>
          <w:color w:val="793690"/>
        </w:rPr>
        <w:t>Financial</w:t>
      </w:r>
    </w:p>
    <w:p>
      <w:pPr>
        <w:spacing w:after="0" w:line="238" w:lineRule="auto"/>
        <w:rPr>
          <w:sz w:val="20"/>
          <w:szCs w:val="20"/>
          <w:color w:val="auto"/>
        </w:rPr>
      </w:pPr>
      <w:r>
        <w:rPr>
          <w:rFonts w:ascii="Arial" w:cs="Arial" w:eastAsia="Arial" w:hAnsi="Arial"/>
          <w:sz w:val="90"/>
          <w:szCs w:val="90"/>
          <w:color w:val="793690"/>
        </w:rPr>
        <w:t>Statements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793690"/>
        </w:rPr>
        <w:t>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083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83175" cy="8255"/>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480" w:type="dxa"/>
            <w:vAlign w:val="bottom"/>
          </w:tcPr>
          <w:p>
            <w:pPr>
              <w:ind w:left="20"/>
              <w:spacing w:after="0"/>
              <w:rPr>
                <w:sz w:val="20"/>
                <w:szCs w:val="20"/>
                <w:color w:val="auto"/>
              </w:rPr>
            </w:pPr>
            <w:r>
              <w:rPr>
                <w:rFonts w:ascii="Arial" w:cs="Arial" w:eastAsia="Arial" w:hAnsi="Arial"/>
                <w:sz w:val="15"/>
                <w:szCs w:val="15"/>
                <w:color w:val="auto"/>
              </w:rPr>
              <w:t>Unaudited Condensed Consolidated Income Statement</w:t>
            </w:r>
          </w:p>
        </w:tc>
        <w:tc>
          <w:tcPr>
            <w:tcW w:w="154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33"/>
        </w:trPr>
        <w:tc>
          <w:tcPr>
            <w:tcW w:w="6480" w:type="dxa"/>
            <w:vAlign w:val="bottom"/>
            <w:tcBorders>
              <w:bottom w:val="single" w:sz="8" w:color="DADAE7"/>
            </w:tcBorders>
          </w:tcPr>
          <w:p>
            <w:pPr>
              <w:spacing w:after="0"/>
              <w:rPr>
                <w:sz w:val="2"/>
                <w:szCs w:val="2"/>
                <w:color w:val="auto"/>
              </w:rPr>
            </w:pPr>
          </w:p>
        </w:tc>
        <w:tc>
          <w:tcPr>
            <w:tcW w:w="1540" w:type="dxa"/>
            <w:vAlign w:val="bottom"/>
            <w:tcBorders>
              <w:bottom w:val="single" w:sz="8" w:color="DADAE7"/>
            </w:tcBorders>
          </w:tcPr>
          <w:p>
            <w:pPr>
              <w:spacing w:after="0"/>
              <w:rPr>
                <w:sz w:val="2"/>
                <w:szCs w:val="2"/>
                <w:color w:val="auto"/>
              </w:rPr>
            </w:pPr>
          </w:p>
        </w:tc>
      </w:tr>
      <w:tr>
        <w:trPr>
          <w:trHeight w:val="203"/>
        </w:trPr>
        <w:tc>
          <w:tcPr>
            <w:tcW w:w="6480" w:type="dxa"/>
            <w:vAlign w:val="bottom"/>
          </w:tcPr>
          <w:p>
            <w:pPr>
              <w:ind w:left="20"/>
              <w:spacing w:after="0"/>
              <w:rPr>
                <w:sz w:val="20"/>
                <w:szCs w:val="20"/>
                <w:color w:val="auto"/>
              </w:rPr>
            </w:pPr>
            <w:r>
              <w:rPr>
                <w:rFonts w:ascii="Arial" w:cs="Arial" w:eastAsia="Arial" w:hAnsi="Arial"/>
                <w:sz w:val="15"/>
                <w:szCs w:val="15"/>
                <w:color w:val="auto"/>
              </w:rPr>
              <w:t>Unaudited Condensed Consolidated Statement of Comprehensive Income</w:t>
            </w:r>
          </w:p>
        </w:tc>
        <w:tc>
          <w:tcPr>
            <w:tcW w:w="15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33"/>
        </w:trPr>
        <w:tc>
          <w:tcPr>
            <w:tcW w:w="6480" w:type="dxa"/>
            <w:vAlign w:val="bottom"/>
            <w:tcBorders>
              <w:bottom w:val="single" w:sz="8" w:color="DADAE7"/>
            </w:tcBorders>
          </w:tcPr>
          <w:p>
            <w:pPr>
              <w:spacing w:after="0"/>
              <w:rPr>
                <w:sz w:val="2"/>
                <w:szCs w:val="2"/>
                <w:color w:val="auto"/>
              </w:rPr>
            </w:pPr>
          </w:p>
        </w:tc>
        <w:tc>
          <w:tcPr>
            <w:tcW w:w="1540" w:type="dxa"/>
            <w:vAlign w:val="bottom"/>
            <w:tcBorders>
              <w:bottom w:val="single" w:sz="8" w:color="DADAE7"/>
            </w:tcBorders>
          </w:tcPr>
          <w:p>
            <w:pPr>
              <w:spacing w:after="0"/>
              <w:rPr>
                <w:sz w:val="2"/>
                <w:szCs w:val="2"/>
                <w:color w:val="auto"/>
              </w:rPr>
            </w:pPr>
          </w:p>
        </w:tc>
      </w:tr>
      <w:tr>
        <w:trPr>
          <w:trHeight w:val="204"/>
        </w:trPr>
        <w:tc>
          <w:tcPr>
            <w:tcW w:w="6480" w:type="dxa"/>
            <w:vAlign w:val="bottom"/>
          </w:tcPr>
          <w:p>
            <w:pPr>
              <w:ind w:left="20"/>
              <w:spacing w:after="0"/>
              <w:rPr>
                <w:sz w:val="20"/>
                <w:szCs w:val="20"/>
                <w:color w:val="auto"/>
              </w:rPr>
            </w:pPr>
            <w:r>
              <w:rPr>
                <w:rFonts w:ascii="Arial" w:cs="Arial" w:eastAsia="Arial" w:hAnsi="Arial"/>
                <w:sz w:val="15"/>
                <w:szCs w:val="15"/>
                <w:color w:val="auto"/>
              </w:rPr>
              <w:t>Unaudited Condensed Consolidated Statement of Financial Position</w:t>
            </w:r>
          </w:p>
        </w:tc>
        <w:tc>
          <w:tcPr>
            <w:tcW w:w="154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33"/>
        </w:trPr>
        <w:tc>
          <w:tcPr>
            <w:tcW w:w="6480" w:type="dxa"/>
            <w:vAlign w:val="bottom"/>
            <w:tcBorders>
              <w:bottom w:val="single" w:sz="8" w:color="DADAE7"/>
            </w:tcBorders>
          </w:tcPr>
          <w:p>
            <w:pPr>
              <w:spacing w:after="0"/>
              <w:rPr>
                <w:sz w:val="2"/>
                <w:szCs w:val="2"/>
                <w:color w:val="auto"/>
              </w:rPr>
            </w:pPr>
          </w:p>
        </w:tc>
        <w:tc>
          <w:tcPr>
            <w:tcW w:w="1540" w:type="dxa"/>
            <w:vAlign w:val="bottom"/>
            <w:tcBorders>
              <w:bottom w:val="single" w:sz="8" w:color="DADAE7"/>
            </w:tcBorders>
          </w:tcPr>
          <w:p>
            <w:pPr>
              <w:spacing w:after="0"/>
              <w:rPr>
                <w:sz w:val="2"/>
                <w:szCs w:val="2"/>
                <w:color w:val="auto"/>
              </w:rPr>
            </w:pPr>
          </w:p>
        </w:tc>
      </w:tr>
      <w:tr>
        <w:trPr>
          <w:trHeight w:val="204"/>
        </w:trPr>
        <w:tc>
          <w:tcPr>
            <w:tcW w:w="6480" w:type="dxa"/>
            <w:vAlign w:val="bottom"/>
          </w:tcPr>
          <w:p>
            <w:pPr>
              <w:ind w:left="20"/>
              <w:spacing w:after="0"/>
              <w:rPr>
                <w:sz w:val="20"/>
                <w:szCs w:val="20"/>
                <w:color w:val="auto"/>
              </w:rPr>
            </w:pPr>
            <w:r>
              <w:rPr>
                <w:rFonts w:ascii="Arial" w:cs="Arial" w:eastAsia="Arial" w:hAnsi="Arial"/>
                <w:sz w:val="15"/>
                <w:szCs w:val="15"/>
                <w:color w:val="auto"/>
              </w:rPr>
              <w:t>Unaudited Condensed Consolidated Statement of the Changes in Equity</w:t>
            </w:r>
          </w:p>
        </w:tc>
        <w:tc>
          <w:tcPr>
            <w:tcW w:w="154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33"/>
        </w:trPr>
        <w:tc>
          <w:tcPr>
            <w:tcW w:w="6480" w:type="dxa"/>
            <w:vAlign w:val="bottom"/>
            <w:tcBorders>
              <w:bottom w:val="single" w:sz="8" w:color="DADAE7"/>
            </w:tcBorders>
          </w:tcPr>
          <w:p>
            <w:pPr>
              <w:spacing w:after="0"/>
              <w:rPr>
                <w:sz w:val="2"/>
                <w:szCs w:val="2"/>
                <w:color w:val="auto"/>
              </w:rPr>
            </w:pPr>
          </w:p>
        </w:tc>
        <w:tc>
          <w:tcPr>
            <w:tcW w:w="1540" w:type="dxa"/>
            <w:vAlign w:val="bottom"/>
            <w:tcBorders>
              <w:bottom w:val="single" w:sz="8" w:color="DADAE7"/>
            </w:tcBorders>
          </w:tcPr>
          <w:p>
            <w:pPr>
              <w:spacing w:after="0"/>
              <w:rPr>
                <w:sz w:val="2"/>
                <w:szCs w:val="2"/>
                <w:color w:val="auto"/>
              </w:rPr>
            </w:pPr>
          </w:p>
        </w:tc>
      </w:tr>
      <w:tr>
        <w:trPr>
          <w:trHeight w:val="204"/>
        </w:trPr>
        <w:tc>
          <w:tcPr>
            <w:tcW w:w="6480" w:type="dxa"/>
            <w:vAlign w:val="bottom"/>
          </w:tcPr>
          <w:p>
            <w:pPr>
              <w:ind w:left="20"/>
              <w:spacing w:after="0"/>
              <w:rPr>
                <w:sz w:val="20"/>
                <w:szCs w:val="20"/>
                <w:color w:val="auto"/>
              </w:rPr>
            </w:pPr>
            <w:r>
              <w:rPr>
                <w:rFonts w:ascii="Arial" w:cs="Arial" w:eastAsia="Arial" w:hAnsi="Arial"/>
                <w:sz w:val="15"/>
                <w:szCs w:val="15"/>
                <w:color w:val="auto"/>
              </w:rPr>
              <w:t>Unaudited Condensed Consolidated Statement of Cash Flows</w:t>
            </w:r>
          </w:p>
        </w:tc>
        <w:tc>
          <w:tcPr>
            <w:tcW w:w="154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33"/>
        </w:trPr>
        <w:tc>
          <w:tcPr>
            <w:tcW w:w="6480" w:type="dxa"/>
            <w:vAlign w:val="bottom"/>
            <w:tcBorders>
              <w:bottom w:val="single" w:sz="8" w:color="DADAE7"/>
            </w:tcBorders>
          </w:tcPr>
          <w:p>
            <w:pPr>
              <w:spacing w:after="0"/>
              <w:rPr>
                <w:sz w:val="2"/>
                <w:szCs w:val="2"/>
                <w:color w:val="auto"/>
              </w:rPr>
            </w:pPr>
          </w:p>
        </w:tc>
        <w:tc>
          <w:tcPr>
            <w:tcW w:w="1540" w:type="dxa"/>
            <w:vAlign w:val="bottom"/>
            <w:tcBorders>
              <w:bottom w:val="single" w:sz="8" w:color="DADAE7"/>
            </w:tcBorders>
          </w:tcPr>
          <w:p>
            <w:pPr>
              <w:spacing w:after="0"/>
              <w:rPr>
                <w:sz w:val="2"/>
                <w:szCs w:val="2"/>
                <w:color w:val="auto"/>
              </w:rPr>
            </w:pPr>
          </w:p>
        </w:tc>
      </w:tr>
      <w:tr>
        <w:trPr>
          <w:trHeight w:val="203"/>
        </w:trPr>
        <w:tc>
          <w:tcPr>
            <w:tcW w:w="6480" w:type="dxa"/>
            <w:vAlign w:val="bottom"/>
          </w:tcPr>
          <w:p>
            <w:pPr>
              <w:ind w:left="20"/>
              <w:spacing w:after="0"/>
              <w:rPr>
                <w:sz w:val="20"/>
                <w:szCs w:val="20"/>
                <w:color w:val="auto"/>
              </w:rPr>
            </w:pPr>
            <w:r>
              <w:rPr>
                <w:rFonts w:ascii="Arial" w:cs="Arial" w:eastAsia="Arial" w:hAnsi="Arial"/>
                <w:sz w:val="15"/>
                <w:szCs w:val="15"/>
                <w:color w:val="auto"/>
              </w:rPr>
              <w:t>Notes to the Unaudited Condensed Consolidated Financial Statements</w:t>
            </w:r>
          </w:p>
        </w:tc>
        <w:tc>
          <w:tcPr>
            <w:tcW w:w="1540" w:type="dxa"/>
            <w:vAlign w:val="bottom"/>
          </w:tcPr>
          <w:p>
            <w:pPr>
              <w:jc w:val="right"/>
              <w:spacing w:after="0"/>
              <w:rPr>
                <w:sz w:val="20"/>
                <w:szCs w:val="20"/>
                <w:color w:val="auto"/>
              </w:rPr>
            </w:pPr>
            <w:r>
              <w:rPr>
                <w:rFonts w:ascii="Arial" w:cs="Arial" w:eastAsia="Arial" w:hAnsi="Arial"/>
                <w:sz w:val="15"/>
                <w:szCs w:val="15"/>
                <w:color w:val="auto"/>
              </w:rPr>
              <w:t>9</w:t>
            </w:r>
          </w:p>
        </w:tc>
      </w:tr>
      <w:tr>
        <w:trPr>
          <w:trHeight w:val="33"/>
        </w:trPr>
        <w:tc>
          <w:tcPr>
            <w:tcW w:w="6480" w:type="dxa"/>
            <w:vAlign w:val="bottom"/>
            <w:tcBorders>
              <w:bottom w:val="single" w:sz="8" w:color="793690"/>
            </w:tcBorders>
          </w:tcPr>
          <w:p>
            <w:pPr>
              <w:spacing w:after="0"/>
              <w:rPr>
                <w:sz w:val="2"/>
                <w:szCs w:val="2"/>
                <w:color w:val="auto"/>
              </w:rPr>
            </w:pPr>
          </w:p>
        </w:tc>
        <w:tc>
          <w:tcPr>
            <w:tcW w:w="1540" w:type="dxa"/>
            <w:vAlign w:val="bottom"/>
            <w:tcBorders>
              <w:bottom w:val="single" w:sz="8" w:color="793690"/>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580"/>
        <w:spacing w:after="0"/>
        <w:rPr>
          <w:sz w:val="20"/>
          <w:szCs w:val="20"/>
          <w:color w:val="auto"/>
        </w:rPr>
      </w:pPr>
      <w:r>
        <w:rPr>
          <w:rFonts w:ascii="Arial" w:cs="Arial" w:eastAsia="Arial" w:hAnsi="Arial"/>
          <w:sz w:val="14"/>
          <w:szCs w:val="14"/>
          <w:b w:val="1"/>
          <w:bCs w:val="1"/>
          <w:color w:val="auto"/>
        </w:rPr>
        <w:t>1</w:t>
      </w:r>
    </w:p>
    <w:p>
      <w:pPr>
        <w:sectPr>
          <w:pgSz w:w="11900" w:h="16838" w:orient="portrait"/>
          <w:cols w:equalWidth="0" w:num="1">
            <w:col w:w="10139"/>
          </w:cols>
          <w:pgMar w:left="320" w:top="1247" w:right="1440"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793690"/>
        </w:rPr>
        <w:t>Unaudited Condensed Consolidated Income Statement</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the six months ended 30 June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6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6 months ended</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6 months ended</w:t>
            </w:r>
          </w:p>
        </w:tc>
      </w:tr>
      <w:tr>
        <w:trPr>
          <w:trHeight w:val="183"/>
        </w:trPr>
        <w:tc>
          <w:tcPr>
            <w:tcW w:w="50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6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30 June 2024</w:t>
            </w:r>
          </w:p>
        </w:tc>
      </w:tr>
      <w:tr>
        <w:trPr>
          <w:trHeight w:val="224"/>
        </w:trPr>
        <w:tc>
          <w:tcPr>
            <w:tcW w:w="508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Arial" w:cs="Arial" w:eastAsia="Arial" w:hAnsi="Arial"/>
                <w:sz w:val="13"/>
                <w:szCs w:val="13"/>
                <w:b w:val="1"/>
                <w:bCs w:val="1"/>
                <w:color w:val="auto"/>
              </w:rPr>
              <w:t>Notes</w:t>
            </w:r>
          </w:p>
        </w:tc>
        <w:tc>
          <w:tcPr>
            <w:tcW w:w="16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$m</w:t>
            </w:r>
          </w:p>
        </w:tc>
      </w:tr>
      <w:tr>
        <w:trPr>
          <w:trHeight w:val="236"/>
        </w:trPr>
        <w:tc>
          <w:tcPr>
            <w:tcW w:w="508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Commission and fee income</w:t>
            </w:r>
          </w:p>
        </w:tc>
        <w:tc>
          <w:tcPr>
            <w:tcW w:w="278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3</w:t>
            </w:r>
          </w:p>
        </w:tc>
        <w:tc>
          <w:tcPr>
            <w:tcW w:w="162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953.7</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801.9</w:t>
            </w:r>
          </w:p>
        </w:tc>
      </w:tr>
      <w:tr>
        <w:trPr>
          <w:trHeight w:val="237"/>
        </w:trPr>
        <w:tc>
          <w:tcPr>
            <w:tcW w:w="50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Commission and fee expense</w:t>
            </w:r>
          </w:p>
        </w:tc>
        <w:tc>
          <w:tcPr>
            <w:tcW w:w="278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3</w:t>
            </w:r>
          </w:p>
        </w:tc>
        <w:tc>
          <w:tcPr>
            <w:tcW w:w="16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(445.9)</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(374.6)</w:t>
            </w:r>
          </w:p>
        </w:tc>
      </w:tr>
      <w:tr>
        <w:trPr>
          <w:trHeight w:val="237"/>
        </w:trPr>
        <w:tc>
          <w:tcPr>
            <w:tcW w:w="508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Net commission income</w:t>
            </w:r>
          </w:p>
        </w:tc>
        <w:tc>
          <w:tcPr>
            <w:tcW w:w="278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3</w:t>
            </w:r>
          </w:p>
        </w:tc>
        <w:tc>
          <w:tcPr>
            <w:tcW w:w="162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507.8</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427.3</w:t>
            </w:r>
          </w:p>
        </w:tc>
      </w:tr>
      <w:tr>
        <w:trPr>
          <w:trHeight w:val="237"/>
        </w:trPr>
        <w:tc>
          <w:tcPr>
            <w:tcW w:w="508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Net trading income</w:t>
            </w:r>
          </w:p>
        </w:tc>
        <w:tc>
          <w:tcPr>
            <w:tcW w:w="278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3</w:t>
            </w:r>
          </w:p>
        </w:tc>
        <w:tc>
          <w:tcPr>
            <w:tcW w:w="162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362.4</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242.7</w:t>
            </w:r>
          </w:p>
        </w:tc>
      </w:tr>
      <w:tr>
        <w:trPr>
          <w:trHeight w:val="211"/>
        </w:trPr>
        <w:tc>
          <w:tcPr>
            <w:tcW w:w="508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Interest income</w:t>
            </w:r>
          </w:p>
        </w:tc>
        <w:tc>
          <w:tcPr>
            <w:tcW w:w="278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3</w:t>
            </w:r>
          </w:p>
        </w:tc>
        <w:tc>
          <w:tcPr>
            <w:tcW w:w="1620" w:type="dxa"/>
            <w:vAlign w:val="bottom"/>
            <w:tcBorders>
              <w:top w:val="single" w:sz="8" w:color="793690"/>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418.7</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353.6</w:t>
            </w:r>
          </w:p>
        </w:tc>
      </w:tr>
      <w:tr>
        <w:trPr>
          <w:trHeight w:val="268"/>
        </w:trPr>
        <w:tc>
          <w:tcPr>
            <w:tcW w:w="508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2780" w:type="dxa"/>
            <w:vAlign w:val="bottom"/>
          </w:tcPr>
          <w:p>
            <w:pPr>
              <w:jc w:val="right"/>
              <w:spacing w:after="0"/>
              <w:rPr>
                <w:sz w:val="20"/>
                <w:szCs w:val="20"/>
                <w:color w:val="auto"/>
              </w:rPr>
            </w:pPr>
            <w:r>
              <w:rPr>
                <w:rFonts w:ascii="Arial" w:cs="Arial" w:eastAsia="Arial" w:hAnsi="Arial"/>
                <w:sz w:val="15"/>
                <w:szCs w:val="15"/>
                <w:color w:val="auto"/>
              </w:rPr>
              <w:t>3</w:t>
            </w:r>
          </w:p>
        </w:tc>
        <w:tc>
          <w:tcPr>
            <w:tcW w:w="16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(330.7)</w:t>
            </w:r>
          </w:p>
        </w:tc>
        <w:tc>
          <w:tcPr>
            <w:tcW w:w="1740" w:type="dxa"/>
            <w:vAlign w:val="bottom"/>
          </w:tcPr>
          <w:p>
            <w:pPr>
              <w:jc w:val="right"/>
              <w:spacing w:after="0"/>
              <w:rPr>
                <w:sz w:val="20"/>
                <w:szCs w:val="20"/>
                <w:color w:val="auto"/>
              </w:rPr>
            </w:pPr>
            <w:r>
              <w:rPr>
                <w:rFonts w:ascii="Arial" w:cs="Arial" w:eastAsia="Arial" w:hAnsi="Arial"/>
                <w:sz w:val="15"/>
                <w:szCs w:val="15"/>
                <w:color w:val="auto"/>
              </w:rPr>
              <w:t>(252.6)</w:t>
            </w:r>
          </w:p>
        </w:tc>
      </w:tr>
      <w:tr>
        <w:trPr>
          <w:trHeight w:val="237"/>
        </w:trPr>
        <w:tc>
          <w:tcPr>
            <w:tcW w:w="508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Net interest income</w:t>
            </w:r>
          </w:p>
        </w:tc>
        <w:tc>
          <w:tcPr>
            <w:tcW w:w="278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3</w:t>
            </w:r>
          </w:p>
        </w:tc>
        <w:tc>
          <w:tcPr>
            <w:tcW w:w="162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88.0</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101.0</w:t>
            </w:r>
          </w:p>
        </w:tc>
      </w:tr>
      <w:tr>
        <w:trPr>
          <w:trHeight w:val="237"/>
        </w:trPr>
        <w:tc>
          <w:tcPr>
            <w:tcW w:w="508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Net physical commodities income</w:t>
            </w:r>
          </w:p>
        </w:tc>
        <w:tc>
          <w:tcPr>
            <w:tcW w:w="278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3</w:t>
            </w:r>
          </w:p>
        </w:tc>
        <w:tc>
          <w:tcPr>
            <w:tcW w:w="162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9.2</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16.9</w:t>
            </w:r>
          </w:p>
        </w:tc>
      </w:tr>
      <w:tr>
        <w:trPr>
          <w:trHeight w:val="236"/>
        </w:trPr>
        <w:tc>
          <w:tcPr>
            <w:tcW w:w="508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Revenue</w:t>
            </w:r>
          </w:p>
        </w:tc>
        <w:tc>
          <w:tcPr>
            <w:tcW w:w="278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3</w:t>
            </w:r>
          </w:p>
        </w:tc>
        <w:tc>
          <w:tcPr>
            <w:tcW w:w="162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967.4</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787.9</w:t>
            </w:r>
          </w:p>
        </w:tc>
      </w:tr>
      <w:tr>
        <w:trPr>
          <w:trHeight w:val="196"/>
        </w:trPr>
        <w:tc>
          <w:tcPr>
            <w:tcW w:w="5080" w:type="dxa"/>
            <w:vAlign w:val="bottom"/>
            <w:tcBorders>
              <w:top w:val="single" w:sz="8" w:color="793690"/>
              <w:bottom w:val="single" w:sz="8" w:color="DADAE7"/>
            </w:tcBorders>
          </w:tcPr>
          <w:p>
            <w:pPr>
              <w:spacing w:after="0"/>
              <w:rPr>
                <w:sz w:val="17"/>
                <w:szCs w:val="17"/>
                <w:color w:val="auto"/>
              </w:rPr>
            </w:pPr>
          </w:p>
        </w:tc>
        <w:tc>
          <w:tcPr>
            <w:tcW w:w="2780" w:type="dxa"/>
            <w:vAlign w:val="bottom"/>
            <w:tcBorders>
              <w:top w:val="single" w:sz="8" w:color="793690"/>
              <w:bottom w:val="single" w:sz="8" w:color="DADAE7"/>
            </w:tcBorders>
          </w:tcPr>
          <w:p>
            <w:pPr>
              <w:spacing w:after="0"/>
              <w:rPr>
                <w:sz w:val="17"/>
                <w:szCs w:val="17"/>
                <w:color w:val="auto"/>
              </w:rPr>
            </w:pPr>
          </w:p>
        </w:tc>
        <w:tc>
          <w:tcPr>
            <w:tcW w:w="1620" w:type="dxa"/>
            <w:vAlign w:val="bottom"/>
            <w:tcBorders>
              <w:top w:val="single" w:sz="8" w:color="793690"/>
              <w:bottom w:val="single" w:sz="8" w:color="DADAE7"/>
            </w:tcBorders>
            <w:shd w:val="clear" w:color="auto" w:fill="F4EFF6"/>
          </w:tcPr>
          <w:p>
            <w:pPr>
              <w:spacing w:after="0"/>
              <w:rPr>
                <w:sz w:val="17"/>
                <w:szCs w:val="17"/>
                <w:color w:val="auto"/>
              </w:rPr>
            </w:pPr>
          </w:p>
        </w:tc>
        <w:tc>
          <w:tcPr>
            <w:tcW w:w="1740" w:type="dxa"/>
            <w:vAlign w:val="bottom"/>
            <w:tcBorders>
              <w:top w:val="single" w:sz="8" w:color="793690"/>
              <w:bottom w:val="single" w:sz="8" w:color="DADAE7"/>
            </w:tcBorders>
          </w:tcPr>
          <w:p>
            <w:pPr>
              <w:spacing w:after="0"/>
              <w:rPr>
                <w:sz w:val="17"/>
                <w:szCs w:val="17"/>
                <w:color w:val="auto"/>
              </w:rPr>
            </w:pPr>
          </w:p>
        </w:tc>
      </w:tr>
      <w:tr>
        <w:trPr>
          <w:trHeight w:val="236"/>
        </w:trPr>
        <w:tc>
          <w:tcPr>
            <w:tcW w:w="5080" w:type="dxa"/>
            <w:vAlign w:val="bottom"/>
          </w:tcPr>
          <w:p>
            <w:pPr>
              <w:ind w:left="20"/>
              <w:spacing w:after="0"/>
              <w:rPr>
                <w:sz w:val="20"/>
                <w:szCs w:val="20"/>
                <w:color w:val="auto"/>
              </w:rPr>
            </w:pPr>
            <w:r>
              <w:rPr>
                <w:rFonts w:ascii="Arial" w:cs="Arial" w:eastAsia="Arial" w:hAnsi="Arial"/>
                <w:sz w:val="15"/>
                <w:szCs w:val="15"/>
                <w:b w:val="1"/>
                <w:bCs w:val="1"/>
                <w:color w:val="auto"/>
              </w:rPr>
              <w:t>Expenses:</w:t>
            </w:r>
          </w:p>
        </w:tc>
        <w:tc>
          <w:tcPr>
            <w:tcW w:w="2780" w:type="dxa"/>
            <w:vAlign w:val="bottom"/>
          </w:tcPr>
          <w:p>
            <w:pPr>
              <w:spacing w:after="0"/>
              <w:rPr>
                <w:sz w:val="20"/>
                <w:szCs w:val="20"/>
                <w:color w:val="auto"/>
              </w:rPr>
            </w:pPr>
          </w:p>
        </w:tc>
        <w:tc>
          <w:tcPr>
            <w:tcW w:w="1620" w:type="dxa"/>
            <w:vAlign w:val="bottom"/>
            <w:tcBorders>
              <w:bottom w:val="single" w:sz="8" w:color="F4EFF6"/>
            </w:tcBorders>
            <w:shd w:val="clear" w:color="auto" w:fill="F4EFF6"/>
          </w:tcPr>
          <w:p>
            <w:pPr>
              <w:spacing w:after="0"/>
              <w:rPr>
                <w:sz w:val="20"/>
                <w:szCs w:val="20"/>
                <w:color w:val="auto"/>
              </w:rPr>
            </w:pPr>
          </w:p>
        </w:tc>
        <w:tc>
          <w:tcPr>
            <w:tcW w:w="1740" w:type="dxa"/>
            <w:vAlign w:val="bottom"/>
          </w:tcPr>
          <w:p>
            <w:pPr>
              <w:spacing w:after="0"/>
              <w:rPr>
                <w:sz w:val="20"/>
                <w:szCs w:val="20"/>
                <w:color w:val="auto"/>
              </w:rPr>
            </w:pPr>
          </w:p>
        </w:tc>
      </w:tr>
      <w:tr>
        <w:trPr>
          <w:trHeight w:val="237"/>
        </w:trPr>
        <w:tc>
          <w:tcPr>
            <w:tcW w:w="50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Compensation and benefits</w:t>
            </w:r>
          </w:p>
        </w:tc>
        <w:tc>
          <w:tcPr>
            <w:tcW w:w="278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(597.6)</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(485.9)</w:t>
            </w:r>
          </w:p>
        </w:tc>
      </w:tr>
      <w:tr>
        <w:trPr>
          <w:trHeight w:val="237"/>
        </w:trPr>
        <w:tc>
          <w:tcPr>
            <w:tcW w:w="50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Depreciation and amortisation</w:t>
            </w:r>
          </w:p>
        </w:tc>
        <w:tc>
          <w:tcPr>
            <w:tcW w:w="278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(16.5)</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(15.5)</w:t>
            </w:r>
          </w:p>
        </w:tc>
      </w:tr>
      <w:tr>
        <w:trPr>
          <w:trHeight w:val="237"/>
        </w:trPr>
        <w:tc>
          <w:tcPr>
            <w:tcW w:w="50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Other expenses</w:t>
            </w:r>
          </w:p>
        </w:tc>
        <w:tc>
          <w:tcPr>
            <w:tcW w:w="278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(157.5)</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(150.2)</w:t>
            </w:r>
          </w:p>
        </w:tc>
      </w:tr>
      <w:tr>
        <w:trPr>
          <w:trHeight w:val="236"/>
        </w:trPr>
        <w:tc>
          <w:tcPr>
            <w:tcW w:w="50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(Provision for)/recovery of credit losses</w:t>
            </w:r>
          </w:p>
        </w:tc>
        <w:tc>
          <w:tcPr>
            <w:tcW w:w="278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(1.1)</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2.2</w:t>
            </w:r>
          </w:p>
        </w:tc>
      </w:tr>
      <w:tr>
        <w:trPr>
          <w:trHeight w:val="237"/>
        </w:trPr>
        <w:tc>
          <w:tcPr>
            <w:tcW w:w="50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Bargain purchase gain on acquisitions</w:t>
            </w:r>
          </w:p>
        </w:tc>
        <w:tc>
          <w:tcPr>
            <w:tcW w:w="278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6</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3.6</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w:t>
            </w:r>
          </w:p>
        </w:tc>
      </w:tr>
      <w:tr>
        <w:trPr>
          <w:trHeight w:val="237"/>
        </w:trPr>
        <w:tc>
          <w:tcPr>
            <w:tcW w:w="50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Other income</w:t>
            </w:r>
          </w:p>
        </w:tc>
        <w:tc>
          <w:tcPr>
            <w:tcW w:w="278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3.3</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0.5</w:t>
            </w:r>
          </w:p>
        </w:tc>
      </w:tr>
      <w:tr>
        <w:trPr>
          <w:trHeight w:val="236"/>
        </w:trPr>
        <w:tc>
          <w:tcPr>
            <w:tcW w:w="508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Profit before tax</w:t>
            </w:r>
          </w:p>
        </w:tc>
        <w:tc>
          <w:tcPr>
            <w:tcW w:w="2780" w:type="dxa"/>
            <w:vAlign w:val="bottom"/>
            <w:tcBorders>
              <w:top w:val="single" w:sz="8" w:color="793690"/>
            </w:tcBorders>
          </w:tcPr>
          <w:p>
            <w:pPr>
              <w:spacing w:after="0"/>
              <w:rPr>
                <w:sz w:val="20"/>
                <w:szCs w:val="20"/>
                <w:color w:val="auto"/>
              </w:rPr>
            </w:pPr>
          </w:p>
        </w:tc>
        <w:tc>
          <w:tcPr>
            <w:tcW w:w="162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201.6</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139.0</w:t>
            </w:r>
          </w:p>
        </w:tc>
      </w:tr>
      <w:tr>
        <w:trPr>
          <w:trHeight w:val="237"/>
        </w:trPr>
        <w:tc>
          <w:tcPr>
            <w:tcW w:w="50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Tax</w:t>
            </w:r>
          </w:p>
        </w:tc>
        <w:tc>
          <w:tcPr>
            <w:tcW w:w="278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4</w:t>
            </w:r>
          </w:p>
        </w:tc>
        <w:tc>
          <w:tcPr>
            <w:tcW w:w="16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(52.4)</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(36.1)</w:t>
            </w:r>
          </w:p>
        </w:tc>
      </w:tr>
      <w:tr>
        <w:trPr>
          <w:trHeight w:val="237"/>
        </w:trPr>
        <w:tc>
          <w:tcPr>
            <w:tcW w:w="508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Profit after tax</w:t>
            </w:r>
          </w:p>
        </w:tc>
        <w:tc>
          <w:tcPr>
            <w:tcW w:w="2780" w:type="dxa"/>
            <w:vAlign w:val="bottom"/>
            <w:tcBorders>
              <w:top w:val="single" w:sz="8" w:color="793690"/>
            </w:tcBorders>
          </w:tcPr>
          <w:p>
            <w:pPr>
              <w:spacing w:after="0"/>
              <w:rPr>
                <w:sz w:val="20"/>
                <w:szCs w:val="20"/>
                <w:color w:val="auto"/>
              </w:rPr>
            </w:pPr>
          </w:p>
        </w:tc>
        <w:tc>
          <w:tcPr>
            <w:tcW w:w="162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149.2</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102.9</w:t>
            </w:r>
          </w:p>
        </w:tc>
      </w:tr>
      <w:tr>
        <w:trPr>
          <w:trHeight w:val="452"/>
        </w:trPr>
        <w:tc>
          <w:tcPr>
            <w:tcW w:w="508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Attributable to:</w:t>
            </w:r>
          </w:p>
        </w:tc>
        <w:tc>
          <w:tcPr>
            <w:tcW w:w="2780" w:type="dxa"/>
            <w:vAlign w:val="bottom"/>
            <w:tcBorders>
              <w:top w:val="single" w:sz="8" w:color="793690"/>
            </w:tcBorders>
          </w:tcPr>
          <w:p>
            <w:pPr>
              <w:spacing w:after="0"/>
              <w:rPr>
                <w:sz w:val="24"/>
                <w:szCs w:val="24"/>
                <w:color w:val="auto"/>
              </w:rPr>
            </w:pPr>
          </w:p>
        </w:tc>
        <w:tc>
          <w:tcPr>
            <w:tcW w:w="1620" w:type="dxa"/>
            <w:vAlign w:val="bottom"/>
            <w:tcBorders>
              <w:top w:val="single" w:sz="8" w:color="793690"/>
              <w:bottom w:val="single" w:sz="8" w:color="F4EFF6"/>
            </w:tcBorders>
            <w:shd w:val="clear" w:color="auto" w:fill="F4EFF6"/>
          </w:tcPr>
          <w:p>
            <w:pPr>
              <w:spacing w:after="0"/>
              <w:rPr>
                <w:sz w:val="24"/>
                <w:szCs w:val="24"/>
                <w:color w:val="auto"/>
              </w:rPr>
            </w:pPr>
          </w:p>
        </w:tc>
        <w:tc>
          <w:tcPr>
            <w:tcW w:w="1740" w:type="dxa"/>
            <w:vAlign w:val="bottom"/>
            <w:tcBorders>
              <w:top w:val="single" w:sz="8" w:color="793690"/>
            </w:tcBorders>
          </w:tcPr>
          <w:p>
            <w:pPr>
              <w:spacing w:after="0"/>
              <w:rPr>
                <w:sz w:val="24"/>
                <w:szCs w:val="24"/>
                <w:color w:val="auto"/>
              </w:rPr>
            </w:pPr>
          </w:p>
        </w:tc>
      </w:tr>
      <w:tr>
        <w:trPr>
          <w:trHeight w:val="237"/>
        </w:trPr>
        <w:tc>
          <w:tcPr>
            <w:tcW w:w="50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Ordinary shareholders of the Company</w:t>
            </w:r>
          </w:p>
        </w:tc>
        <w:tc>
          <w:tcPr>
            <w:tcW w:w="278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142.6</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96.3</w:t>
            </w:r>
          </w:p>
        </w:tc>
      </w:tr>
      <w:tr>
        <w:trPr>
          <w:trHeight w:val="237"/>
        </w:trPr>
        <w:tc>
          <w:tcPr>
            <w:tcW w:w="50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Other equity holders</w:t>
            </w:r>
            <w:r>
              <w:rPr>
                <w:rFonts w:ascii="Arial" w:cs="Arial" w:eastAsia="Arial" w:hAnsi="Arial"/>
                <w:sz w:val="9"/>
                <w:szCs w:val="9"/>
                <w:color w:val="auto"/>
              </w:rPr>
              <w:t>1</w:t>
            </w:r>
          </w:p>
        </w:tc>
        <w:tc>
          <w:tcPr>
            <w:tcW w:w="278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6.6</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6.6</w:t>
            </w:r>
          </w:p>
        </w:tc>
      </w:tr>
      <w:tr>
        <w:trPr>
          <w:trHeight w:val="453"/>
        </w:trPr>
        <w:tc>
          <w:tcPr>
            <w:tcW w:w="508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Earnings per share</w:t>
            </w:r>
          </w:p>
        </w:tc>
        <w:tc>
          <w:tcPr>
            <w:tcW w:w="2780" w:type="dxa"/>
            <w:vAlign w:val="bottom"/>
            <w:tcBorders>
              <w:top w:val="single" w:sz="8" w:color="793690"/>
            </w:tcBorders>
          </w:tcPr>
          <w:p>
            <w:pPr>
              <w:spacing w:after="0"/>
              <w:rPr>
                <w:sz w:val="24"/>
                <w:szCs w:val="24"/>
                <w:color w:val="auto"/>
              </w:rPr>
            </w:pPr>
          </w:p>
        </w:tc>
        <w:tc>
          <w:tcPr>
            <w:tcW w:w="1620" w:type="dxa"/>
            <w:vAlign w:val="bottom"/>
            <w:tcBorders>
              <w:top w:val="single" w:sz="8" w:color="793690"/>
              <w:bottom w:val="single" w:sz="8" w:color="F4EFF6"/>
            </w:tcBorders>
            <w:shd w:val="clear" w:color="auto" w:fill="F4EFF6"/>
          </w:tcPr>
          <w:p>
            <w:pPr>
              <w:spacing w:after="0"/>
              <w:rPr>
                <w:sz w:val="24"/>
                <w:szCs w:val="24"/>
                <w:color w:val="auto"/>
              </w:rPr>
            </w:pPr>
          </w:p>
        </w:tc>
        <w:tc>
          <w:tcPr>
            <w:tcW w:w="1740" w:type="dxa"/>
            <w:vAlign w:val="bottom"/>
            <w:tcBorders>
              <w:top w:val="single" w:sz="8" w:color="793690"/>
            </w:tcBorders>
          </w:tcPr>
          <w:p>
            <w:pPr>
              <w:spacing w:after="0"/>
              <w:rPr>
                <w:sz w:val="24"/>
                <w:szCs w:val="24"/>
                <w:color w:val="auto"/>
              </w:rPr>
            </w:pPr>
          </w:p>
        </w:tc>
      </w:tr>
      <w:tr>
        <w:trPr>
          <w:trHeight w:val="236"/>
        </w:trPr>
        <w:tc>
          <w:tcPr>
            <w:tcW w:w="50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Basic (dollars per share)</w:t>
            </w:r>
          </w:p>
        </w:tc>
        <w:tc>
          <w:tcPr>
            <w:tcW w:w="278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15</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2.01</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1.41</w:t>
            </w:r>
          </w:p>
        </w:tc>
      </w:tr>
      <w:tr>
        <w:trPr>
          <w:trHeight w:val="217"/>
        </w:trPr>
        <w:tc>
          <w:tcPr>
            <w:tcW w:w="50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Diluted (dollars per share)</w:t>
            </w:r>
          </w:p>
        </w:tc>
        <w:tc>
          <w:tcPr>
            <w:tcW w:w="278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15</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1.91</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1.32</w:t>
            </w:r>
          </w:p>
        </w:tc>
      </w:tr>
      <w:tr>
        <w:trPr>
          <w:trHeight w:val="20"/>
        </w:trPr>
        <w:tc>
          <w:tcPr>
            <w:tcW w:w="5080" w:type="dxa"/>
            <w:vAlign w:val="bottom"/>
            <w:shd w:val="clear" w:color="auto" w:fill="793690"/>
          </w:tcPr>
          <w:p>
            <w:pPr>
              <w:spacing w:after="0" w:line="20" w:lineRule="exact"/>
              <w:rPr>
                <w:sz w:val="1"/>
                <w:szCs w:val="1"/>
                <w:color w:val="auto"/>
              </w:rPr>
            </w:pPr>
          </w:p>
        </w:tc>
        <w:tc>
          <w:tcPr>
            <w:tcW w:w="2780" w:type="dxa"/>
            <w:vAlign w:val="bottom"/>
            <w:shd w:val="clear" w:color="auto" w:fill="793690"/>
          </w:tcPr>
          <w:p>
            <w:pPr>
              <w:spacing w:after="0" w:line="20" w:lineRule="exact"/>
              <w:rPr>
                <w:sz w:val="1"/>
                <w:szCs w:val="1"/>
                <w:color w:val="auto"/>
              </w:rPr>
            </w:pPr>
          </w:p>
        </w:tc>
        <w:tc>
          <w:tcPr>
            <w:tcW w:w="1620" w:type="dxa"/>
            <w:vAlign w:val="bottom"/>
            <w:shd w:val="clear" w:color="auto" w:fill="793690"/>
          </w:tcPr>
          <w:p>
            <w:pPr>
              <w:spacing w:after="0" w:line="20" w:lineRule="exact"/>
              <w:rPr>
                <w:sz w:val="1"/>
                <w:szCs w:val="1"/>
                <w:color w:val="auto"/>
              </w:rPr>
            </w:pPr>
          </w:p>
        </w:tc>
        <w:tc>
          <w:tcPr>
            <w:tcW w:w="1740" w:type="dxa"/>
            <w:vAlign w:val="bottom"/>
            <w:shd w:val="clear" w:color="auto" w:fill="793690"/>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1"/>
          <w:szCs w:val="11"/>
          <w:color w:val="auto"/>
        </w:rPr>
        <w:t>1. Other equity holders are holders of AT1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2</w:t>
      </w:r>
    </w:p>
    <w:p>
      <w:pPr>
        <w:sectPr>
          <w:pgSz w:w="11900" w:h="16838" w:orient="portrait"/>
          <w:cols w:equalWidth="0" w:num="1">
            <w:col w:w="11220"/>
          </w:cols>
          <w:pgMar w:left="320" w:top="1353" w:right="35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793690"/>
        </w:rPr>
        <w:t>Unaudited Condensed Consolidated Statement of Comprehensive Income</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the six months ended 30 June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620" w:type="dxa"/>
            <w:vAlign w:val="bottom"/>
            <w:tcBorders>
              <w:right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6 months ended</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6 months ended</w:t>
            </w:r>
          </w:p>
        </w:tc>
        <w:tc>
          <w:tcPr>
            <w:tcW w:w="0" w:type="dxa"/>
            <w:vAlign w:val="bottom"/>
          </w:tcPr>
          <w:p>
            <w:pPr>
              <w:spacing w:after="0"/>
              <w:rPr>
                <w:sz w:val="1"/>
                <w:szCs w:val="1"/>
                <w:color w:val="auto"/>
              </w:rPr>
            </w:pPr>
          </w:p>
        </w:tc>
      </w:tr>
      <w:tr>
        <w:trPr>
          <w:trHeight w:val="183"/>
        </w:trPr>
        <w:tc>
          <w:tcPr>
            <w:tcW w:w="7860" w:type="dxa"/>
            <w:vAlign w:val="bottom"/>
          </w:tcPr>
          <w:p>
            <w:pPr>
              <w:spacing w:after="0"/>
              <w:rPr>
                <w:sz w:val="15"/>
                <w:szCs w:val="15"/>
                <w:color w:val="auto"/>
              </w:rPr>
            </w:pPr>
          </w:p>
        </w:tc>
        <w:tc>
          <w:tcPr>
            <w:tcW w:w="1620" w:type="dxa"/>
            <w:vAlign w:val="bottom"/>
            <w:tcBorders>
              <w:right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30 June 2024</w:t>
            </w:r>
          </w:p>
        </w:tc>
        <w:tc>
          <w:tcPr>
            <w:tcW w:w="0" w:type="dxa"/>
            <w:vAlign w:val="bottom"/>
          </w:tcPr>
          <w:p>
            <w:pPr>
              <w:spacing w:after="0"/>
              <w:rPr>
                <w:sz w:val="1"/>
                <w:szCs w:val="1"/>
                <w:color w:val="auto"/>
              </w:rPr>
            </w:pPr>
          </w:p>
        </w:tc>
      </w:tr>
      <w:tr>
        <w:trPr>
          <w:trHeight w:val="224"/>
        </w:trPr>
        <w:tc>
          <w:tcPr>
            <w:tcW w:w="7860" w:type="dxa"/>
            <w:vAlign w:val="bottom"/>
          </w:tcPr>
          <w:p>
            <w:pPr>
              <w:spacing w:after="0"/>
              <w:rPr>
                <w:sz w:val="19"/>
                <w:szCs w:val="19"/>
                <w:color w:val="auto"/>
              </w:rPr>
            </w:pPr>
          </w:p>
        </w:tc>
        <w:tc>
          <w:tcPr>
            <w:tcW w:w="1620" w:type="dxa"/>
            <w:vAlign w:val="bottom"/>
            <w:tcBorders>
              <w:bottom w:val="single" w:sz="8" w:color="F4EFF6"/>
              <w:right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$m</w:t>
            </w:r>
          </w:p>
        </w:tc>
        <w:tc>
          <w:tcPr>
            <w:tcW w:w="0" w:type="dxa"/>
            <w:vAlign w:val="bottom"/>
          </w:tcPr>
          <w:p>
            <w:pPr>
              <w:spacing w:after="0"/>
              <w:rPr>
                <w:sz w:val="1"/>
                <w:szCs w:val="1"/>
                <w:color w:val="auto"/>
              </w:rPr>
            </w:pPr>
          </w:p>
        </w:tc>
      </w:tr>
      <w:tr>
        <w:trPr>
          <w:trHeight w:val="236"/>
        </w:trPr>
        <w:tc>
          <w:tcPr>
            <w:tcW w:w="786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Profit after tax</w:t>
            </w:r>
          </w:p>
        </w:tc>
        <w:tc>
          <w:tcPr>
            <w:tcW w:w="1620" w:type="dxa"/>
            <w:vAlign w:val="bottom"/>
            <w:tcBorders>
              <w:top w:val="single" w:sz="8" w:color="793690"/>
              <w:bottom w:val="single" w:sz="8" w:color="F4EFF6"/>
              <w:right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149.2</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102.9</w:t>
            </w:r>
          </w:p>
        </w:tc>
        <w:tc>
          <w:tcPr>
            <w:tcW w:w="0" w:type="dxa"/>
            <w:vAlign w:val="bottom"/>
          </w:tcPr>
          <w:p>
            <w:pPr>
              <w:spacing w:after="0"/>
              <w:rPr>
                <w:sz w:val="1"/>
                <w:szCs w:val="1"/>
                <w:color w:val="auto"/>
              </w:rPr>
            </w:pP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b w:val="1"/>
                <w:bCs w:val="1"/>
                <w:color w:val="auto"/>
              </w:rPr>
              <w:t>Other comprehensive income</w:t>
            </w:r>
          </w:p>
        </w:tc>
        <w:tc>
          <w:tcPr>
            <w:tcW w:w="1620" w:type="dxa"/>
            <w:vAlign w:val="bottom"/>
            <w:tcBorders>
              <w:top w:val="single" w:sz="8" w:color="DADAE7"/>
              <w:bottom w:val="single" w:sz="8" w:color="F4EFF6"/>
              <w:right w:val="single" w:sz="8" w:color="F4EFF6"/>
            </w:tcBorders>
            <w:shd w:val="clear" w:color="auto" w:fill="F4EFF6"/>
          </w:tcPr>
          <w:p>
            <w:pPr>
              <w:spacing w:after="0"/>
              <w:rPr>
                <w:sz w:val="20"/>
                <w:szCs w:val="20"/>
                <w:color w:val="auto"/>
              </w:rPr>
            </w:pPr>
          </w:p>
        </w:tc>
        <w:tc>
          <w:tcPr>
            <w:tcW w:w="1740" w:type="dxa"/>
            <w:vAlign w:val="bottom"/>
            <w:tcBorders>
              <w:top w:val="single" w:sz="8" w:color="DADAE7"/>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b w:val="1"/>
                <w:bCs w:val="1"/>
                <w:color w:val="auto"/>
              </w:rPr>
              <w:t>Items that may be reclassified subsequently to profit and loss:</w:t>
            </w:r>
          </w:p>
        </w:tc>
        <w:tc>
          <w:tcPr>
            <w:tcW w:w="1620" w:type="dxa"/>
            <w:vAlign w:val="bottom"/>
            <w:tcBorders>
              <w:top w:val="single" w:sz="8" w:color="DADAE7"/>
              <w:bottom w:val="single" w:sz="8" w:color="F4EFF6"/>
              <w:right w:val="single" w:sz="8" w:color="F4EFF6"/>
            </w:tcBorders>
            <w:shd w:val="clear" w:color="auto" w:fill="F4EFF6"/>
          </w:tcPr>
          <w:p>
            <w:pPr>
              <w:spacing w:after="0"/>
              <w:rPr>
                <w:sz w:val="20"/>
                <w:szCs w:val="20"/>
                <w:color w:val="auto"/>
              </w:rPr>
            </w:pPr>
          </w:p>
        </w:tc>
        <w:tc>
          <w:tcPr>
            <w:tcW w:w="1740" w:type="dxa"/>
            <w:vAlign w:val="bottom"/>
            <w:tcBorders>
              <w:top w:val="single" w:sz="8" w:color="DADAE7"/>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Cash flow hedges</w:t>
            </w:r>
          </w:p>
        </w:tc>
        <w:tc>
          <w:tcPr>
            <w:tcW w:w="1620" w:type="dxa"/>
            <w:vAlign w:val="bottom"/>
            <w:tcBorders>
              <w:top w:val="single" w:sz="8" w:color="DADAE7"/>
              <w:bottom w:val="single" w:sz="8" w:color="F4EFF6"/>
              <w:right w:val="single" w:sz="8" w:color="F4EFF6"/>
            </w:tcBorders>
            <w:shd w:val="clear" w:color="auto" w:fill="F4EFF6"/>
          </w:tcPr>
          <w:p>
            <w:pPr>
              <w:spacing w:after="0"/>
              <w:rPr>
                <w:sz w:val="20"/>
                <w:szCs w:val="20"/>
                <w:color w:val="auto"/>
              </w:rPr>
            </w:pPr>
          </w:p>
        </w:tc>
        <w:tc>
          <w:tcPr>
            <w:tcW w:w="1740" w:type="dxa"/>
            <w:vAlign w:val="bottom"/>
            <w:tcBorders>
              <w:top w:val="single" w:sz="8" w:color="DADAE7"/>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860" w:type="dxa"/>
            <w:vAlign w:val="bottom"/>
            <w:tcBorders>
              <w:top w:val="single" w:sz="8" w:color="DADAE7"/>
            </w:tcBorders>
          </w:tcPr>
          <w:p>
            <w:pPr>
              <w:ind w:left="160"/>
              <w:spacing w:after="0"/>
              <w:rPr>
                <w:sz w:val="20"/>
                <w:szCs w:val="20"/>
                <w:color w:val="auto"/>
              </w:rPr>
            </w:pPr>
            <w:r>
              <w:rPr>
                <w:rFonts w:ascii="Arial" w:cs="Arial" w:eastAsia="Arial" w:hAnsi="Arial"/>
                <w:sz w:val="15"/>
                <w:szCs w:val="15"/>
                <w:color w:val="auto"/>
              </w:rPr>
              <w:t>Fair value gain/(loss) arising on hedging instruments during the period</w:t>
            </w:r>
          </w:p>
        </w:tc>
        <w:tc>
          <w:tcPr>
            <w:tcW w:w="1620" w:type="dxa"/>
            <w:vAlign w:val="bottom"/>
            <w:tcBorders>
              <w:top w:val="single" w:sz="8" w:color="DADAE7"/>
              <w:bottom w:val="single" w:sz="8" w:color="F4EFF6"/>
              <w:right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41.0</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237"/>
        </w:trPr>
        <w:tc>
          <w:tcPr>
            <w:tcW w:w="7860" w:type="dxa"/>
            <w:vAlign w:val="bottom"/>
            <w:tcBorders>
              <w:top w:val="single" w:sz="8" w:color="DADAE7"/>
            </w:tcBorders>
          </w:tcPr>
          <w:p>
            <w:pPr>
              <w:ind w:left="160"/>
              <w:spacing w:after="0"/>
              <w:rPr>
                <w:sz w:val="20"/>
                <w:szCs w:val="20"/>
                <w:color w:val="auto"/>
              </w:rPr>
            </w:pPr>
            <w:r>
              <w:rPr>
                <w:rFonts w:ascii="Arial" w:cs="Arial" w:eastAsia="Arial" w:hAnsi="Arial"/>
                <w:sz w:val="15"/>
                <w:szCs w:val="15"/>
                <w:color w:val="auto"/>
              </w:rPr>
              <w:t>Deferred tax on hedging instruments</w:t>
            </w:r>
          </w:p>
        </w:tc>
        <w:tc>
          <w:tcPr>
            <w:tcW w:w="1620" w:type="dxa"/>
            <w:vAlign w:val="bottom"/>
            <w:tcBorders>
              <w:top w:val="single" w:sz="8" w:color="DADAE7"/>
              <w:bottom w:val="single" w:sz="8" w:color="F4EFF6"/>
              <w:right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(10.7)</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Currency translation adjustments</w:t>
            </w:r>
          </w:p>
        </w:tc>
        <w:tc>
          <w:tcPr>
            <w:tcW w:w="1620" w:type="dxa"/>
            <w:vAlign w:val="bottom"/>
            <w:tcBorders>
              <w:top w:val="single" w:sz="8" w:color="DADAE7"/>
              <w:bottom w:val="single" w:sz="8" w:color="F4EFF6"/>
              <w:right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4.4</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b w:val="1"/>
                <w:bCs w:val="1"/>
                <w:color w:val="auto"/>
              </w:rPr>
              <w:t>Items that will not be recycled to profit and loss:</w:t>
            </w:r>
          </w:p>
        </w:tc>
        <w:tc>
          <w:tcPr>
            <w:tcW w:w="1620" w:type="dxa"/>
            <w:vAlign w:val="bottom"/>
            <w:tcBorders>
              <w:top w:val="single" w:sz="8" w:color="DADAE7"/>
              <w:bottom w:val="single" w:sz="8" w:color="F4EFF6"/>
              <w:right w:val="single" w:sz="8" w:color="F4EFF6"/>
            </w:tcBorders>
            <w:shd w:val="clear" w:color="auto" w:fill="F4EFF6"/>
          </w:tcPr>
          <w:p>
            <w:pPr>
              <w:spacing w:after="0"/>
              <w:rPr>
                <w:sz w:val="20"/>
                <w:szCs w:val="20"/>
                <w:color w:val="auto"/>
              </w:rPr>
            </w:pPr>
          </w:p>
        </w:tc>
        <w:tc>
          <w:tcPr>
            <w:tcW w:w="1740" w:type="dxa"/>
            <w:vAlign w:val="bottom"/>
            <w:tcBorders>
              <w:top w:val="single" w:sz="8" w:color="DADAE7"/>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Change in fair value of financial liabilities designated at fair value through profit or loss ("FVTPL")</w:t>
            </w:r>
          </w:p>
        </w:tc>
        <w:tc>
          <w:tcPr>
            <w:tcW w:w="1620" w:type="dxa"/>
            <w:vAlign w:val="bottom"/>
            <w:tcBorders>
              <w:top w:val="single" w:sz="8" w:color="DADAE7"/>
              <w:right w:val="single" w:sz="8" w:color="F4EFF6"/>
            </w:tcBorders>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(1.0)</w:t>
            </w:r>
          </w:p>
        </w:tc>
        <w:tc>
          <w:tcPr>
            <w:tcW w:w="1740" w:type="dxa"/>
            <w:vAlign w:val="bottom"/>
            <w:tcBorders>
              <w:top w:val="single" w:sz="8" w:color="DADAE7"/>
            </w:tcBorders>
            <w:vMerge w:val="restart"/>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due to own credit risk</w:t>
            </w:r>
          </w:p>
        </w:tc>
        <w:tc>
          <w:tcPr>
            <w:tcW w:w="1620" w:type="dxa"/>
            <w:vAlign w:val="bottom"/>
            <w:tcBorders>
              <w:bottom w:val="single" w:sz="8" w:color="DADAE7"/>
              <w:right w:val="single" w:sz="8" w:color="F4EFF6"/>
            </w:tcBorders>
            <w:vMerge w:val="continue"/>
            <w:shd w:val="clear" w:color="auto" w:fill="F4EFF6"/>
          </w:tcPr>
          <w:p>
            <w:pPr>
              <w:spacing w:after="0"/>
              <w:rPr>
                <w:sz w:val="18"/>
                <w:szCs w:val="18"/>
                <w:color w:val="auto"/>
              </w:rPr>
            </w:pPr>
          </w:p>
        </w:tc>
        <w:tc>
          <w:tcPr>
            <w:tcW w:w="1740" w:type="dxa"/>
            <w:vAlign w:val="bottom"/>
            <w:tcBorders>
              <w:bottom w:val="single" w:sz="8" w:color="DADAE7"/>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860" w:type="dxa"/>
            <w:vAlign w:val="bottom"/>
          </w:tcPr>
          <w:p>
            <w:pPr>
              <w:ind w:left="20"/>
              <w:spacing w:after="0"/>
              <w:rPr>
                <w:sz w:val="20"/>
                <w:szCs w:val="20"/>
                <w:color w:val="auto"/>
              </w:rPr>
            </w:pPr>
            <w:r>
              <w:rPr>
                <w:rFonts w:ascii="Arial" w:cs="Arial" w:eastAsia="Arial" w:hAnsi="Arial"/>
                <w:sz w:val="15"/>
                <w:szCs w:val="15"/>
                <w:color w:val="auto"/>
              </w:rPr>
              <w:t>Deferred tax on change in fair value of financial liabilities designated at FVTPL due to own credit</w:t>
            </w:r>
          </w:p>
        </w:tc>
        <w:tc>
          <w:tcPr>
            <w:tcW w:w="1620" w:type="dxa"/>
            <w:vAlign w:val="bottom"/>
            <w:tcBorders>
              <w:right w:val="single" w:sz="8" w:color="F4EFF6"/>
            </w:tcBorders>
            <w:vMerge w:val="restart"/>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0.2</w:t>
            </w:r>
          </w:p>
        </w:tc>
        <w:tc>
          <w:tcPr>
            <w:tcW w:w="1740" w:type="dxa"/>
            <w:vAlign w:val="bottom"/>
            <w:vMerge w:val="restart"/>
          </w:tcPr>
          <w:p>
            <w:pPr>
              <w:jc w:val="right"/>
              <w:spacing w:after="0"/>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risk</w:t>
            </w:r>
          </w:p>
        </w:tc>
        <w:tc>
          <w:tcPr>
            <w:tcW w:w="1620" w:type="dxa"/>
            <w:vAlign w:val="bottom"/>
            <w:tcBorders>
              <w:bottom w:val="single" w:sz="8" w:color="DADAE7"/>
              <w:right w:val="single" w:sz="8" w:color="F4EFF6"/>
            </w:tcBorders>
            <w:vMerge w:val="continue"/>
            <w:shd w:val="clear" w:color="auto" w:fill="F4EFF6"/>
          </w:tcPr>
          <w:p>
            <w:pPr>
              <w:spacing w:after="0"/>
              <w:rPr>
                <w:sz w:val="18"/>
                <w:szCs w:val="18"/>
                <w:color w:val="auto"/>
              </w:rPr>
            </w:pPr>
          </w:p>
        </w:tc>
        <w:tc>
          <w:tcPr>
            <w:tcW w:w="1740" w:type="dxa"/>
            <w:vAlign w:val="bottom"/>
            <w:tcBorders>
              <w:bottom w:val="single" w:sz="8" w:color="DADAE7"/>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860" w:type="dxa"/>
            <w:vAlign w:val="bottom"/>
          </w:tcPr>
          <w:p>
            <w:pPr>
              <w:ind w:left="20"/>
              <w:spacing w:after="0"/>
              <w:rPr>
                <w:sz w:val="20"/>
                <w:szCs w:val="20"/>
                <w:color w:val="auto"/>
              </w:rPr>
            </w:pPr>
            <w:r>
              <w:rPr>
                <w:rFonts w:ascii="Arial" w:cs="Arial" w:eastAsia="Arial" w:hAnsi="Arial"/>
                <w:sz w:val="15"/>
                <w:szCs w:val="15"/>
                <w:color w:val="auto"/>
              </w:rPr>
              <w:t>Fair value gain on investments in equity instruments designated</w:t>
            </w:r>
          </w:p>
        </w:tc>
        <w:tc>
          <w:tcPr>
            <w:tcW w:w="1620" w:type="dxa"/>
            <w:vAlign w:val="bottom"/>
            <w:tcBorders>
              <w:right w:val="single" w:sz="8" w:color="F4EFF6"/>
            </w:tcBorders>
            <w:vMerge w:val="restart"/>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4.8</w:t>
            </w:r>
          </w:p>
        </w:tc>
        <w:tc>
          <w:tcPr>
            <w:tcW w:w="1740" w:type="dxa"/>
            <w:vAlign w:val="bottom"/>
            <w:vMerge w:val="restart"/>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as at fair value through other comprehensive income ("FVTOCI")</w:t>
            </w:r>
          </w:p>
        </w:tc>
        <w:tc>
          <w:tcPr>
            <w:tcW w:w="1620" w:type="dxa"/>
            <w:vAlign w:val="bottom"/>
            <w:tcBorders>
              <w:bottom w:val="single" w:sz="8" w:color="DADAE7"/>
              <w:right w:val="single" w:sz="8" w:color="F4EFF6"/>
            </w:tcBorders>
            <w:vMerge w:val="continue"/>
            <w:shd w:val="clear" w:color="auto" w:fill="F4EFF6"/>
          </w:tcPr>
          <w:p>
            <w:pPr>
              <w:spacing w:after="0"/>
              <w:rPr>
                <w:sz w:val="18"/>
                <w:szCs w:val="18"/>
                <w:color w:val="auto"/>
              </w:rPr>
            </w:pPr>
          </w:p>
        </w:tc>
        <w:tc>
          <w:tcPr>
            <w:tcW w:w="1740" w:type="dxa"/>
            <w:vAlign w:val="bottom"/>
            <w:tcBorders>
              <w:bottom w:val="single" w:sz="8" w:color="DADAE7"/>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5"/>
                <w:szCs w:val="15"/>
                <w:color w:val="auto"/>
              </w:rPr>
              <w:t>Deferred tax on revaluation of investments in equity instruments designated as at FVTOCI</w:t>
            </w:r>
          </w:p>
        </w:tc>
        <w:tc>
          <w:tcPr>
            <w:tcW w:w="1620" w:type="dxa"/>
            <w:vAlign w:val="bottom"/>
            <w:tcBorders>
              <w:bottom w:val="single" w:sz="8" w:color="F4EFF6"/>
              <w:right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(1.2)</w:t>
            </w:r>
          </w:p>
        </w:tc>
        <w:tc>
          <w:tcPr>
            <w:tcW w:w="1740" w:type="dxa"/>
            <w:vAlign w:val="bottom"/>
          </w:tcPr>
          <w:p>
            <w:pPr>
              <w:jc w:val="right"/>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36"/>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Deferred tax on share-based payments</w:t>
            </w:r>
          </w:p>
        </w:tc>
        <w:tc>
          <w:tcPr>
            <w:tcW w:w="1620" w:type="dxa"/>
            <w:vAlign w:val="bottom"/>
            <w:tcBorders>
              <w:top w:val="single" w:sz="8" w:color="DADAE7"/>
              <w:bottom w:val="single" w:sz="8" w:color="F4EFF6"/>
              <w:right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Current tax on share-based payments</w:t>
            </w:r>
          </w:p>
        </w:tc>
        <w:tc>
          <w:tcPr>
            <w:tcW w:w="1620" w:type="dxa"/>
            <w:vAlign w:val="bottom"/>
            <w:tcBorders>
              <w:top w:val="single" w:sz="8" w:color="DADAE7"/>
              <w:bottom w:val="single" w:sz="8" w:color="F4EFF6"/>
              <w:right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237"/>
        </w:trPr>
        <w:tc>
          <w:tcPr>
            <w:tcW w:w="786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Other comprehensive income/(loss), net of tax</w:t>
            </w:r>
          </w:p>
        </w:tc>
        <w:tc>
          <w:tcPr>
            <w:tcW w:w="1620" w:type="dxa"/>
            <w:vAlign w:val="bottom"/>
            <w:tcBorders>
              <w:top w:val="single" w:sz="8" w:color="793690"/>
              <w:bottom w:val="single" w:sz="8" w:color="F4EFF6"/>
              <w:right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37.5</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237"/>
        </w:trPr>
        <w:tc>
          <w:tcPr>
            <w:tcW w:w="786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Total comprehensive income</w:t>
            </w:r>
          </w:p>
        </w:tc>
        <w:tc>
          <w:tcPr>
            <w:tcW w:w="1620" w:type="dxa"/>
            <w:vAlign w:val="bottom"/>
            <w:tcBorders>
              <w:top w:val="single" w:sz="8" w:color="793690"/>
              <w:bottom w:val="single" w:sz="8" w:color="F4EFF6"/>
              <w:right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186.7</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98.9</w:t>
            </w:r>
          </w:p>
        </w:tc>
        <w:tc>
          <w:tcPr>
            <w:tcW w:w="0" w:type="dxa"/>
            <w:vAlign w:val="bottom"/>
          </w:tcPr>
          <w:p>
            <w:pPr>
              <w:spacing w:after="0"/>
              <w:rPr>
                <w:sz w:val="1"/>
                <w:szCs w:val="1"/>
                <w:color w:val="auto"/>
              </w:rPr>
            </w:pPr>
          </w:p>
        </w:tc>
      </w:tr>
      <w:tr>
        <w:trPr>
          <w:trHeight w:val="439"/>
        </w:trPr>
        <w:tc>
          <w:tcPr>
            <w:tcW w:w="786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Attributable to:</w:t>
            </w:r>
          </w:p>
        </w:tc>
        <w:tc>
          <w:tcPr>
            <w:tcW w:w="1620" w:type="dxa"/>
            <w:vAlign w:val="bottom"/>
            <w:tcBorders>
              <w:top w:val="single" w:sz="8" w:color="793690"/>
              <w:bottom w:val="single" w:sz="8" w:color="F4EFF6"/>
              <w:right w:val="single" w:sz="8" w:color="F4EFF6"/>
            </w:tcBorders>
            <w:shd w:val="clear" w:color="auto" w:fill="F4EFF6"/>
          </w:tcPr>
          <w:p>
            <w:pPr>
              <w:spacing w:after="0"/>
              <w:rPr>
                <w:sz w:val="24"/>
                <w:szCs w:val="24"/>
                <w:color w:val="auto"/>
              </w:rPr>
            </w:pPr>
          </w:p>
        </w:tc>
        <w:tc>
          <w:tcPr>
            <w:tcW w:w="1740" w:type="dxa"/>
            <w:vAlign w:val="bottom"/>
            <w:tcBorders>
              <w:top w:val="single" w:sz="8" w:color="793690"/>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Ordinary shareholders of the Company</w:t>
            </w:r>
          </w:p>
        </w:tc>
        <w:tc>
          <w:tcPr>
            <w:tcW w:w="1620" w:type="dxa"/>
            <w:vAlign w:val="bottom"/>
            <w:tcBorders>
              <w:top w:val="single" w:sz="8" w:color="DADAE7"/>
              <w:bottom w:val="single" w:sz="8" w:color="F4EFF6"/>
              <w:right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180.1</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92.3</w:t>
            </w:r>
          </w:p>
        </w:tc>
        <w:tc>
          <w:tcPr>
            <w:tcW w:w="0" w:type="dxa"/>
            <w:vAlign w:val="bottom"/>
          </w:tcPr>
          <w:p>
            <w:pPr>
              <w:spacing w:after="0"/>
              <w:rPr>
                <w:sz w:val="1"/>
                <w:szCs w:val="1"/>
                <w:color w:val="auto"/>
              </w:rPr>
            </w:pPr>
          </w:p>
        </w:tc>
      </w:tr>
      <w:tr>
        <w:trPr>
          <w:trHeight w:val="216"/>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Other equity holders</w:t>
            </w:r>
          </w:p>
        </w:tc>
        <w:tc>
          <w:tcPr>
            <w:tcW w:w="1620" w:type="dxa"/>
            <w:vAlign w:val="bottom"/>
            <w:tcBorders>
              <w:top w:val="single" w:sz="8" w:color="DADAE7"/>
              <w:bottom w:val="single" w:sz="8" w:color="F4EFF6"/>
              <w:right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6.6</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20"/>
        </w:trPr>
        <w:tc>
          <w:tcPr>
            <w:tcW w:w="7860" w:type="dxa"/>
            <w:vAlign w:val="bottom"/>
            <w:shd w:val="clear" w:color="auto" w:fill="793690"/>
          </w:tcPr>
          <w:p>
            <w:pPr>
              <w:spacing w:after="0" w:line="20" w:lineRule="exact"/>
              <w:rPr>
                <w:sz w:val="1"/>
                <w:szCs w:val="1"/>
                <w:color w:val="auto"/>
              </w:rPr>
            </w:pPr>
          </w:p>
        </w:tc>
        <w:tc>
          <w:tcPr>
            <w:tcW w:w="1620" w:type="dxa"/>
            <w:vAlign w:val="bottom"/>
            <w:tcBorders>
              <w:right w:val="single" w:sz="8" w:color="793690"/>
            </w:tcBorders>
            <w:shd w:val="clear" w:color="auto" w:fill="793690"/>
          </w:tcPr>
          <w:p>
            <w:pPr>
              <w:spacing w:after="0" w:line="20" w:lineRule="exact"/>
              <w:rPr>
                <w:sz w:val="1"/>
                <w:szCs w:val="1"/>
                <w:color w:val="auto"/>
              </w:rPr>
            </w:pPr>
          </w:p>
        </w:tc>
        <w:tc>
          <w:tcPr>
            <w:tcW w:w="1740" w:type="dxa"/>
            <w:vAlign w:val="bottom"/>
            <w:shd w:val="clear" w:color="auto" w:fill="79369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3</w:t>
      </w:r>
    </w:p>
    <w:p>
      <w:pPr>
        <w:sectPr>
          <w:pgSz w:w="11900" w:h="16838" w:orient="portrait"/>
          <w:cols w:equalWidth="0" w:num="1">
            <w:col w:w="11220"/>
          </w:cols>
          <w:pgMar w:left="320" w:top="1353" w:right="35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793690"/>
        </w:rPr>
        <w:t>Unaudited Condensed Consolidated Statement of Financial Position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As at 30 June and 31 December</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6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31 December 2024</w:t>
            </w:r>
          </w:p>
        </w:tc>
      </w:tr>
      <w:tr>
        <w:trPr>
          <w:trHeight w:val="353"/>
        </w:trPr>
        <w:tc>
          <w:tcPr>
            <w:tcW w:w="5260" w:type="dxa"/>
            <w:vAlign w:val="bottom"/>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3"/>
                <w:szCs w:val="13"/>
                <w:b w:val="1"/>
                <w:bCs w:val="1"/>
                <w:color w:val="auto"/>
              </w:rPr>
              <w:t>Notes</w:t>
            </w:r>
          </w:p>
        </w:tc>
        <w:tc>
          <w:tcPr>
            <w:tcW w:w="16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$m</w:t>
            </w:r>
          </w:p>
        </w:tc>
      </w:tr>
      <w:tr>
        <w:trPr>
          <w:trHeight w:val="237"/>
        </w:trPr>
        <w:tc>
          <w:tcPr>
            <w:tcW w:w="526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Assets</w:t>
            </w:r>
          </w:p>
        </w:tc>
        <w:tc>
          <w:tcPr>
            <w:tcW w:w="2600" w:type="dxa"/>
            <w:vAlign w:val="bottom"/>
            <w:tcBorders>
              <w:top w:val="single" w:sz="8" w:color="793690"/>
            </w:tcBorders>
          </w:tcPr>
          <w:p>
            <w:pPr>
              <w:spacing w:after="0"/>
              <w:rPr>
                <w:sz w:val="20"/>
                <w:szCs w:val="20"/>
                <w:color w:val="auto"/>
              </w:rPr>
            </w:pPr>
          </w:p>
        </w:tc>
        <w:tc>
          <w:tcPr>
            <w:tcW w:w="1620" w:type="dxa"/>
            <w:vAlign w:val="bottom"/>
            <w:tcBorders>
              <w:top w:val="single" w:sz="8" w:color="793690"/>
              <w:bottom w:val="single" w:sz="8" w:color="F4EFF6"/>
            </w:tcBorders>
            <w:shd w:val="clear" w:color="auto" w:fill="F4EFF6"/>
          </w:tcPr>
          <w:p>
            <w:pPr>
              <w:spacing w:after="0"/>
              <w:rPr>
                <w:sz w:val="20"/>
                <w:szCs w:val="20"/>
                <w:color w:val="auto"/>
              </w:rPr>
            </w:pPr>
          </w:p>
        </w:tc>
        <w:tc>
          <w:tcPr>
            <w:tcW w:w="1740" w:type="dxa"/>
            <w:vAlign w:val="bottom"/>
            <w:tcBorders>
              <w:top w:val="single" w:sz="8" w:color="793690"/>
            </w:tcBorders>
          </w:tcPr>
          <w:p>
            <w:pPr>
              <w:spacing w:after="0"/>
              <w:rPr>
                <w:sz w:val="20"/>
                <w:szCs w:val="20"/>
                <w:color w:val="auto"/>
              </w:rPr>
            </w:pPr>
          </w:p>
        </w:tc>
      </w:tr>
      <w:tr>
        <w:trPr>
          <w:trHeight w:val="236"/>
        </w:trPr>
        <w:tc>
          <w:tcPr>
            <w:tcW w:w="5260" w:type="dxa"/>
            <w:vAlign w:val="bottom"/>
            <w:tcBorders>
              <w:top w:val="single" w:sz="8" w:color="DADAE7"/>
            </w:tcBorders>
          </w:tcPr>
          <w:p>
            <w:pPr>
              <w:ind w:left="20"/>
              <w:spacing w:after="0"/>
              <w:rPr>
                <w:sz w:val="20"/>
                <w:szCs w:val="20"/>
                <w:color w:val="auto"/>
              </w:rPr>
            </w:pPr>
            <w:r>
              <w:rPr>
                <w:rFonts w:ascii="Arial" w:cs="Arial" w:eastAsia="Arial" w:hAnsi="Arial"/>
                <w:sz w:val="15"/>
                <w:szCs w:val="15"/>
                <w:b w:val="1"/>
                <w:bCs w:val="1"/>
                <w:color w:val="auto"/>
              </w:rPr>
              <w:t>Non-current assets</w:t>
            </w:r>
          </w:p>
        </w:tc>
        <w:tc>
          <w:tcPr>
            <w:tcW w:w="260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spacing w:after="0"/>
              <w:rPr>
                <w:sz w:val="20"/>
                <w:szCs w:val="20"/>
                <w:color w:val="auto"/>
              </w:rPr>
            </w:pPr>
          </w:p>
        </w:tc>
        <w:tc>
          <w:tcPr>
            <w:tcW w:w="1740" w:type="dxa"/>
            <w:vAlign w:val="bottom"/>
            <w:tcBorders>
              <w:top w:val="single" w:sz="8" w:color="DADAE7"/>
            </w:tcBorders>
          </w:tcPr>
          <w:p>
            <w:pPr>
              <w:spacing w:after="0"/>
              <w:rPr>
                <w:sz w:val="20"/>
                <w:szCs w:val="20"/>
                <w:color w:val="auto"/>
              </w:rPr>
            </w:pPr>
          </w:p>
        </w:tc>
      </w:tr>
      <w:tr>
        <w:trPr>
          <w:trHeight w:val="237"/>
        </w:trPr>
        <w:tc>
          <w:tcPr>
            <w:tcW w:w="52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Goodwill</w:t>
            </w:r>
          </w:p>
        </w:tc>
        <w:tc>
          <w:tcPr>
            <w:tcW w:w="260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7</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215.1</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176.5</w:t>
            </w:r>
          </w:p>
        </w:tc>
      </w:tr>
      <w:tr>
        <w:trPr>
          <w:trHeight w:val="237"/>
        </w:trPr>
        <w:tc>
          <w:tcPr>
            <w:tcW w:w="52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Intangible assets</w:t>
            </w:r>
          </w:p>
        </w:tc>
        <w:tc>
          <w:tcPr>
            <w:tcW w:w="260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66.9</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56.5</w:t>
            </w:r>
          </w:p>
        </w:tc>
      </w:tr>
      <w:tr>
        <w:trPr>
          <w:trHeight w:val="237"/>
        </w:trPr>
        <w:tc>
          <w:tcPr>
            <w:tcW w:w="52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Property, plant and equipment</w:t>
            </w:r>
          </w:p>
        </w:tc>
        <w:tc>
          <w:tcPr>
            <w:tcW w:w="260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25.4</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20.8</w:t>
            </w:r>
          </w:p>
        </w:tc>
      </w:tr>
      <w:tr>
        <w:trPr>
          <w:trHeight w:val="236"/>
        </w:trPr>
        <w:tc>
          <w:tcPr>
            <w:tcW w:w="52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Right-of-use asset</w:t>
            </w:r>
          </w:p>
        </w:tc>
        <w:tc>
          <w:tcPr>
            <w:tcW w:w="260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62.6</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59.9</w:t>
            </w:r>
          </w:p>
        </w:tc>
      </w:tr>
      <w:tr>
        <w:trPr>
          <w:trHeight w:val="237"/>
        </w:trPr>
        <w:tc>
          <w:tcPr>
            <w:tcW w:w="52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Investments</w:t>
            </w:r>
          </w:p>
        </w:tc>
        <w:tc>
          <w:tcPr>
            <w:tcW w:w="260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13</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28.9</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24.0</w:t>
            </w:r>
          </w:p>
        </w:tc>
      </w:tr>
      <w:tr>
        <w:trPr>
          <w:trHeight w:val="237"/>
        </w:trPr>
        <w:tc>
          <w:tcPr>
            <w:tcW w:w="52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Deferred tax</w:t>
            </w:r>
          </w:p>
        </w:tc>
        <w:tc>
          <w:tcPr>
            <w:tcW w:w="260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23.4</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46.7</w:t>
            </w:r>
          </w:p>
        </w:tc>
      </w:tr>
      <w:tr>
        <w:trPr>
          <w:trHeight w:val="237"/>
        </w:trPr>
        <w:tc>
          <w:tcPr>
            <w:tcW w:w="52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Treasury instruments (unpledged)</w:t>
            </w:r>
          </w:p>
        </w:tc>
        <w:tc>
          <w:tcPr>
            <w:tcW w:w="260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13</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115.0</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53.5</w:t>
            </w:r>
          </w:p>
        </w:tc>
      </w:tr>
      <w:tr>
        <w:trPr>
          <w:trHeight w:val="237"/>
        </w:trPr>
        <w:tc>
          <w:tcPr>
            <w:tcW w:w="52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Treasury instruments (pledged as collateral)</w:t>
            </w:r>
          </w:p>
        </w:tc>
        <w:tc>
          <w:tcPr>
            <w:tcW w:w="260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13</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242.6</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46.1</w:t>
            </w:r>
          </w:p>
        </w:tc>
      </w:tr>
      <w:tr>
        <w:trPr>
          <w:trHeight w:val="236"/>
        </w:trPr>
        <w:tc>
          <w:tcPr>
            <w:tcW w:w="526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Total non-current assets</w:t>
            </w:r>
          </w:p>
        </w:tc>
        <w:tc>
          <w:tcPr>
            <w:tcW w:w="2600" w:type="dxa"/>
            <w:vAlign w:val="bottom"/>
            <w:tcBorders>
              <w:top w:val="single" w:sz="8" w:color="793690"/>
            </w:tcBorders>
          </w:tcPr>
          <w:p>
            <w:pPr>
              <w:spacing w:after="0"/>
              <w:rPr>
                <w:sz w:val="20"/>
                <w:szCs w:val="20"/>
                <w:color w:val="auto"/>
              </w:rPr>
            </w:pPr>
          </w:p>
        </w:tc>
        <w:tc>
          <w:tcPr>
            <w:tcW w:w="162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779.9</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484.0</w:t>
            </w:r>
          </w:p>
        </w:tc>
      </w:tr>
      <w:tr>
        <w:trPr>
          <w:trHeight w:val="345"/>
        </w:trPr>
        <w:tc>
          <w:tcPr>
            <w:tcW w:w="5260" w:type="dxa"/>
            <w:vAlign w:val="bottom"/>
            <w:tcBorders>
              <w:top w:val="single" w:sz="8" w:color="DADAE7"/>
              <w:bottom w:val="single" w:sz="8" w:color="DADAE7"/>
            </w:tcBorders>
          </w:tcPr>
          <w:p>
            <w:pPr>
              <w:spacing w:after="0"/>
              <w:rPr>
                <w:sz w:val="24"/>
                <w:szCs w:val="24"/>
                <w:color w:val="auto"/>
              </w:rPr>
            </w:pPr>
          </w:p>
        </w:tc>
        <w:tc>
          <w:tcPr>
            <w:tcW w:w="2600" w:type="dxa"/>
            <w:vAlign w:val="bottom"/>
            <w:tcBorders>
              <w:top w:val="single" w:sz="8" w:color="DADAE7"/>
              <w:bottom w:val="single" w:sz="8" w:color="DADAE7"/>
            </w:tcBorders>
          </w:tcPr>
          <w:p>
            <w:pPr>
              <w:spacing w:after="0"/>
              <w:rPr>
                <w:sz w:val="24"/>
                <w:szCs w:val="24"/>
                <w:color w:val="auto"/>
              </w:rPr>
            </w:pPr>
          </w:p>
        </w:tc>
        <w:tc>
          <w:tcPr>
            <w:tcW w:w="1620" w:type="dxa"/>
            <w:vAlign w:val="bottom"/>
            <w:tcBorders>
              <w:top w:val="single" w:sz="8" w:color="DADAE7"/>
              <w:bottom w:val="single" w:sz="8" w:color="DADAE7"/>
            </w:tcBorders>
            <w:shd w:val="clear" w:color="auto" w:fill="F4EFF6"/>
          </w:tcPr>
          <w:p>
            <w:pPr>
              <w:spacing w:after="0"/>
              <w:rPr>
                <w:sz w:val="24"/>
                <w:szCs w:val="24"/>
                <w:color w:val="auto"/>
              </w:rPr>
            </w:pPr>
          </w:p>
        </w:tc>
        <w:tc>
          <w:tcPr>
            <w:tcW w:w="1740" w:type="dxa"/>
            <w:vAlign w:val="bottom"/>
            <w:tcBorders>
              <w:top w:val="single" w:sz="8" w:color="DADAE7"/>
              <w:bottom w:val="single" w:sz="8" w:color="DADAE7"/>
            </w:tcBorders>
          </w:tcPr>
          <w:p>
            <w:pPr>
              <w:spacing w:after="0"/>
              <w:rPr>
                <w:sz w:val="24"/>
                <w:szCs w:val="24"/>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2600" w:type="dxa"/>
            <w:vAlign w:val="bottom"/>
          </w:tcPr>
          <w:p>
            <w:pPr>
              <w:spacing w:after="0"/>
              <w:rPr>
                <w:sz w:val="20"/>
                <w:szCs w:val="20"/>
                <w:color w:val="auto"/>
              </w:rPr>
            </w:pPr>
          </w:p>
        </w:tc>
        <w:tc>
          <w:tcPr>
            <w:tcW w:w="1620" w:type="dxa"/>
            <w:vAlign w:val="bottom"/>
            <w:tcBorders>
              <w:bottom w:val="single" w:sz="8" w:color="F4EFF6"/>
            </w:tcBorders>
            <w:shd w:val="clear" w:color="auto" w:fill="F4EFF6"/>
          </w:tcPr>
          <w:p>
            <w:pPr>
              <w:spacing w:after="0"/>
              <w:rPr>
                <w:sz w:val="20"/>
                <w:szCs w:val="20"/>
                <w:color w:val="auto"/>
              </w:rPr>
            </w:pPr>
          </w:p>
        </w:tc>
        <w:tc>
          <w:tcPr>
            <w:tcW w:w="1740" w:type="dxa"/>
            <w:vAlign w:val="bottom"/>
          </w:tcPr>
          <w:p>
            <w:pPr>
              <w:spacing w:after="0"/>
              <w:rPr>
                <w:sz w:val="20"/>
                <w:szCs w:val="20"/>
                <w:color w:val="auto"/>
              </w:rPr>
            </w:pPr>
          </w:p>
        </w:tc>
      </w:tr>
      <w:tr>
        <w:trPr>
          <w:trHeight w:val="236"/>
        </w:trPr>
        <w:tc>
          <w:tcPr>
            <w:tcW w:w="52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Corporate income tax receivable</w:t>
            </w:r>
          </w:p>
        </w:tc>
        <w:tc>
          <w:tcPr>
            <w:tcW w:w="260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34.5</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12.5</w:t>
            </w:r>
          </w:p>
        </w:tc>
      </w:tr>
      <w:tr>
        <w:trPr>
          <w:trHeight w:val="237"/>
        </w:trPr>
        <w:tc>
          <w:tcPr>
            <w:tcW w:w="52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Trade and other receivables</w:t>
            </w:r>
          </w:p>
        </w:tc>
        <w:tc>
          <w:tcPr>
            <w:tcW w:w="260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9</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10,949.9</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7,553.2</w:t>
            </w:r>
          </w:p>
        </w:tc>
      </w:tr>
      <w:tr>
        <w:trPr>
          <w:trHeight w:val="237"/>
        </w:trPr>
        <w:tc>
          <w:tcPr>
            <w:tcW w:w="52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Inventory</w:t>
            </w:r>
          </w:p>
        </w:tc>
        <w:tc>
          <w:tcPr>
            <w:tcW w:w="260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8</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260.5</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35.8</w:t>
            </w:r>
          </w:p>
        </w:tc>
      </w:tr>
      <w:tr>
        <w:trPr>
          <w:trHeight w:val="236"/>
        </w:trPr>
        <w:tc>
          <w:tcPr>
            <w:tcW w:w="52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Equity instruments (unpledged)</w:t>
            </w:r>
          </w:p>
        </w:tc>
        <w:tc>
          <w:tcPr>
            <w:tcW w:w="260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13</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730.6</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231.4</w:t>
            </w:r>
          </w:p>
        </w:tc>
      </w:tr>
      <w:tr>
        <w:trPr>
          <w:trHeight w:val="237"/>
        </w:trPr>
        <w:tc>
          <w:tcPr>
            <w:tcW w:w="52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Equity instruments (pledged as collateral)</w:t>
            </w:r>
          </w:p>
        </w:tc>
        <w:tc>
          <w:tcPr>
            <w:tcW w:w="260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13</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5,307.8</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4,446.6</w:t>
            </w:r>
          </w:p>
        </w:tc>
      </w:tr>
      <w:tr>
        <w:trPr>
          <w:trHeight w:val="236"/>
        </w:trPr>
        <w:tc>
          <w:tcPr>
            <w:tcW w:w="52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Derivative instruments</w:t>
            </w:r>
          </w:p>
        </w:tc>
        <w:tc>
          <w:tcPr>
            <w:tcW w:w="260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10</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1,471.7</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1,163.5</w:t>
            </w:r>
          </w:p>
        </w:tc>
      </w:tr>
      <w:tr>
        <w:trPr>
          <w:trHeight w:val="237"/>
        </w:trPr>
        <w:tc>
          <w:tcPr>
            <w:tcW w:w="52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Stock borrowing</w:t>
            </w:r>
          </w:p>
        </w:tc>
        <w:tc>
          <w:tcPr>
            <w:tcW w:w="260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13</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2,495.1</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1,781.7</w:t>
            </w:r>
          </w:p>
        </w:tc>
      </w:tr>
      <w:tr>
        <w:trPr>
          <w:trHeight w:val="236"/>
        </w:trPr>
        <w:tc>
          <w:tcPr>
            <w:tcW w:w="52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Treasury instruments (unpledged)</w:t>
            </w:r>
          </w:p>
        </w:tc>
        <w:tc>
          <w:tcPr>
            <w:tcW w:w="260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13</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367.6</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556.2</w:t>
            </w:r>
          </w:p>
        </w:tc>
      </w:tr>
      <w:tr>
        <w:trPr>
          <w:trHeight w:val="237"/>
        </w:trPr>
        <w:tc>
          <w:tcPr>
            <w:tcW w:w="52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Treasury instruments (pledged as collateral)</w:t>
            </w:r>
          </w:p>
        </w:tc>
        <w:tc>
          <w:tcPr>
            <w:tcW w:w="260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13</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2,702.8</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2,912.9</w:t>
            </w:r>
          </w:p>
        </w:tc>
      </w:tr>
      <w:tr>
        <w:trPr>
          <w:trHeight w:val="237"/>
        </w:trPr>
        <w:tc>
          <w:tcPr>
            <w:tcW w:w="52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Fixed income securities</w:t>
            </w:r>
          </w:p>
        </w:tc>
        <w:tc>
          <w:tcPr>
            <w:tcW w:w="260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13</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105.4</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87.7</w:t>
            </w:r>
          </w:p>
        </w:tc>
      </w:tr>
      <w:tr>
        <w:trPr>
          <w:trHeight w:val="236"/>
        </w:trPr>
        <w:tc>
          <w:tcPr>
            <w:tcW w:w="52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Reverse repurchase agreements</w:t>
            </w:r>
          </w:p>
        </w:tc>
        <w:tc>
          <w:tcPr>
            <w:tcW w:w="260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13</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2,607.2</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2,490.4</w:t>
            </w:r>
          </w:p>
        </w:tc>
      </w:tr>
      <w:tr>
        <w:trPr>
          <w:trHeight w:val="237"/>
        </w:trPr>
        <w:tc>
          <w:tcPr>
            <w:tcW w:w="52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Cash and cash equivalents</w:t>
            </w:r>
          </w:p>
        </w:tc>
        <w:tc>
          <w:tcPr>
            <w:tcW w:w="260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3,375.3</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2,556.6</w:t>
            </w:r>
          </w:p>
        </w:tc>
      </w:tr>
      <w:tr>
        <w:trPr>
          <w:trHeight w:val="236"/>
        </w:trPr>
        <w:tc>
          <w:tcPr>
            <w:tcW w:w="526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Total current assets</w:t>
            </w:r>
          </w:p>
        </w:tc>
        <w:tc>
          <w:tcPr>
            <w:tcW w:w="2600" w:type="dxa"/>
            <w:vAlign w:val="bottom"/>
            <w:tcBorders>
              <w:top w:val="single" w:sz="8" w:color="793690"/>
            </w:tcBorders>
          </w:tcPr>
          <w:p>
            <w:pPr>
              <w:spacing w:after="0"/>
              <w:rPr>
                <w:sz w:val="20"/>
                <w:szCs w:val="20"/>
                <w:color w:val="auto"/>
              </w:rPr>
            </w:pPr>
          </w:p>
        </w:tc>
        <w:tc>
          <w:tcPr>
            <w:tcW w:w="162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30,408.4</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23,828.5</w:t>
            </w:r>
          </w:p>
        </w:tc>
      </w:tr>
      <w:tr>
        <w:trPr>
          <w:trHeight w:val="217"/>
        </w:trPr>
        <w:tc>
          <w:tcPr>
            <w:tcW w:w="526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Total assets</w:t>
            </w:r>
          </w:p>
        </w:tc>
        <w:tc>
          <w:tcPr>
            <w:tcW w:w="2600" w:type="dxa"/>
            <w:vAlign w:val="bottom"/>
            <w:tcBorders>
              <w:top w:val="single" w:sz="8" w:color="793690"/>
            </w:tcBorders>
          </w:tcPr>
          <w:p>
            <w:pPr>
              <w:spacing w:after="0"/>
              <w:rPr>
                <w:sz w:val="18"/>
                <w:szCs w:val="18"/>
                <w:color w:val="auto"/>
              </w:rPr>
            </w:pPr>
          </w:p>
        </w:tc>
        <w:tc>
          <w:tcPr>
            <w:tcW w:w="162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31,188.3</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24,312.5</w:t>
            </w:r>
          </w:p>
        </w:tc>
      </w:tr>
      <w:tr>
        <w:trPr>
          <w:trHeight w:val="20"/>
        </w:trPr>
        <w:tc>
          <w:tcPr>
            <w:tcW w:w="5260" w:type="dxa"/>
            <w:vAlign w:val="bottom"/>
            <w:shd w:val="clear" w:color="auto" w:fill="793690"/>
          </w:tcPr>
          <w:p>
            <w:pPr>
              <w:spacing w:after="0" w:line="20" w:lineRule="exact"/>
              <w:rPr>
                <w:sz w:val="1"/>
                <w:szCs w:val="1"/>
                <w:color w:val="auto"/>
              </w:rPr>
            </w:pPr>
          </w:p>
        </w:tc>
        <w:tc>
          <w:tcPr>
            <w:tcW w:w="2600" w:type="dxa"/>
            <w:vAlign w:val="bottom"/>
            <w:shd w:val="clear" w:color="auto" w:fill="793690"/>
          </w:tcPr>
          <w:p>
            <w:pPr>
              <w:spacing w:after="0" w:line="20" w:lineRule="exact"/>
              <w:rPr>
                <w:sz w:val="1"/>
                <w:szCs w:val="1"/>
                <w:color w:val="auto"/>
              </w:rPr>
            </w:pPr>
          </w:p>
        </w:tc>
        <w:tc>
          <w:tcPr>
            <w:tcW w:w="1620" w:type="dxa"/>
            <w:vAlign w:val="bottom"/>
            <w:shd w:val="clear" w:color="auto" w:fill="793690"/>
          </w:tcPr>
          <w:p>
            <w:pPr>
              <w:spacing w:after="0" w:line="20" w:lineRule="exact"/>
              <w:rPr>
                <w:sz w:val="1"/>
                <w:szCs w:val="1"/>
                <w:color w:val="auto"/>
              </w:rPr>
            </w:pPr>
          </w:p>
        </w:tc>
        <w:tc>
          <w:tcPr>
            <w:tcW w:w="1740" w:type="dxa"/>
            <w:vAlign w:val="bottom"/>
            <w:shd w:val="clear" w:color="auto" w:fill="79369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4</w:t>
      </w:r>
    </w:p>
    <w:p>
      <w:pPr>
        <w:sectPr>
          <w:pgSz w:w="11900" w:h="16838" w:orient="portrait"/>
          <w:cols w:equalWidth="0" w:num="1">
            <w:col w:w="11220"/>
          </w:cols>
          <w:pgMar w:left="320" w:top="1353" w:right="35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793690"/>
        </w:rPr>
        <w:t xml:space="preserve">Unaudited Condensed Consolidated Statement of Financial Position </w:t>
      </w:r>
      <w:r>
        <w:rPr>
          <w:rFonts w:ascii="Arial" w:cs="Arial" w:eastAsia="Arial" w:hAnsi="Arial"/>
          <w:sz w:val="22"/>
          <w:szCs w:val="22"/>
          <w:color w:val="793690"/>
        </w:rPr>
        <w:t>(continued)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As at 30 June and 31 December</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6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31 December 2024</w:t>
            </w:r>
          </w:p>
        </w:tc>
      </w:tr>
      <w:tr>
        <w:trPr>
          <w:trHeight w:val="353"/>
        </w:trPr>
        <w:tc>
          <w:tcPr>
            <w:tcW w:w="4760" w:type="dxa"/>
            <w:vAlign w:val="bottom"/>
          </w:tcPr>
          <w:p>
            <w:pPr>
              <w:spacing w:after="0"/>
              <w:rPr>
                <w:sz w:val="24"/>
                <w:szCs w:val="24"/>
                <w:color w:val="auto"/>
              </w:rPr>
            </w:pPr>
          </w:p>
        </w:tc>
        <w:tc>
          <w:tcPr>
            <w:tcW w:w="3100" w:type="dxa"/>
            <w:vAlign w:val="bottom"/>
          </w:tcPr>
          <w:p>
            <w:pPr>
              <w:jc w:val="right"/>
              <w:spacing w:after="0"/>
              <w:rPr>
                <w:sz w:val="20"/>
                <w:szCs w:val="20"/>
                <w:color w:val="auto"/>
              </w:rPr>
            </w:pPr>
            <w:r>
              <w:rPr>
                <w:rFonts w:ascii="Arial" w:cs="Arial" w:eastAsia="Arial" w:hAnsi="Arial"/>
                <w:sz w:val="13"/>
                <w:szCs w:val="13"/>
                <w:b w:val="1"/>
                <w:bCs w:val="1"/>
                <w:color w:val="auto"/>
              </w:rPr>
              <w:t>Notes</w:t>
            </w:r>
          </w:p>
        </w:tc>
        <w:tc>
          <w:tcPr>
            <w:tcW w:w="16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$m</w:t>
            </w:r>
          </w:p>
        </w:tc>
      </w:tr>
      <w:tr>
        <w:trPr>
          <w:trHeight w:val="237"/>
        </w:trPr>
        <w:tc>
          <w:tcPr>
            <w:tcW w:w="476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Liabilities</w:t>
            </w:r>
          </w:p>
        </w:tc>
        <w:tc>
          <w:tcPr>
            <w:tcW w:w="3100" w:type="dxa"/>
            <w:vAlign w:val="bottom"/>
            <w:tcBorders>
              <w:top w:val="single" w:sz="8" w:color="793690"/>
            </w:tcBorders>
          </w:tcPr>
          <w:p>
            <w:pPr>
              <w:spacing w:after="0"/>
              <w:rPr>
                <w:sz w:val="20"/>
                <w:szCs w:val="20"/>
                <w:color w:val="auto"/>
              </w:rPr>
            </w:pPr>
          </w:p>
        </w:tc>
        <w:tc>
          <w:tcPr>
            <w:tcW w:w="1620" w:type="dxa"/>
            <w:vAlign w:val="bottom"/>
            <w:tcBorders>
              <w:top w:val="single" w:sz="8" w:color="793690"/>
              <w:bottom w:val="single" w:sz="8" w:color="F4EFF6"/>
            </w:tcBorders>
            <w:shd w:val="clear" w:color="auto" w:fill="F4EFF6"/>
          </w:tcPr>
          <w:p>
            <w:pPr>
              <w:spacing w:after="0"/>
              <w:rPr>
                <w:sz w:val="20"/>
                <w:szCs w:val="20"/>
                <w:color w:val="auto"/>
              </w:rPr>
            </w:pPr>
          </w:p>
        </w:tc>
        <w:tc>
          <w:tcPr>
            <w:tcW w:w="1740" w:type="dxa"/>
            <w:vAlign w:val="bottom"/>
            <w:tcBorders>
              <w:top w:val="single" w:sz="8" w:color="793690"/>
            </w:tcBorders>
          </w:tcPr>
          <w:p>
            <w:pPr>
              <w:spacing w:after="0"/>
              <w:rPr>
                <w:sz w:val="20"/>
                <w:szCs w:val="20"/>
                <w:color w:val="auto"/>
              </w:rPr>
            </w:pPr>
          </w:p>
        </w:tc>
      </w:tr>
      <w:tr>
        <w:trPr>
          <w:trHeight w:val="236"/>
        </w:trPr>
        <w:tc>
          <w:tcPr>
            <w:tcW w:w="4760" w:type="dxa"/>
            <w:vAlign w:val="bottom"/>
            <w:tcBorders>
              <w:top w:val="single" w:sz="8" w:color="DADAE7"/>
            </w:tcBorders>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310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spacing w:after="0"/>
              <w:rPr>
                <w:sz w:val="20"/>
                <w:szCs w:val="20"/>
                <w:color w:val="auto"/>
              </w:rPr>
            </w:pPr>
          </w:p>
        </w:tc>
        <w:tc>
          <w:tcPr>
            <w:tcW w:w="1740" w:type="dxa"/>
            <w:vAlign w:val="bottom"/>
            <w:tcBorders>
              <w:top w:val="single" w:sz="8" w:color="DADAE7"/>
            </w:tcBorders>
          </w:tcPr>
          <w:p>
            <w:pPr>
              <w:spacing w:after="0"/>
              <w:rPr>
                <w:sz w:val="20"/>
                <w:szCs w:val="20"/>
                <w:color w:val="auto"/>
              </w:rPr>
            </w:pPr>
          </w:p>
        </w:tc>
      </w:tr>
      <w:tr>
        <w:trPr>
          <w:trHeight w:val="237"/>
        </w:trPr>
        <w:tc>
          <w:tcPr>
            <w:tcW w:w="47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Repurchase agreements</w:t>
            </w:r>
          </w:p>
        </w:tc>
        <w:tc>
          <w:tcPr>
            <w:tcW w:w="310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13</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3,290.7</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2,305.8</w:t>
            </w:r>
          </w:p>
        </w:tc>
      </w:tr>
      <w:tr>
        <w:trPr>
          <w:trHeight w:val="237"/>
        </w:trPr>
        <w:tc>
          <w:tcPr>
            <w:tcW w:w="47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Trade and other payables</w:t>
            </w:r>
          </w:p>
        </w:tc>
        <w:tc>
          <w:tcPr>
            <w:tcW w:w="310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11</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13,372.6</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9,740.4</w:t>
            </w:r>
          </w:p>
        </w:tc>
      </w:tr>
      <w:tr>
        <w:trPr>
          <w:trHeight w:val="237"/>
        </w:trPr>
        <w:tc>
          <w:tcPr>
            <w:tcW w:w="47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Stock lending</w:t>
            </w:r>
          </w:p>
        </w:tc>
        <w:tc>
          <w:tcPr>
            <w:tcW w:w="310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13</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4,649.9</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4,952.1</w:t>
            </w:r>
          </w:p>
        </w:tc>
      </w:tr>
      <w:tr>
        <w:trPr>
          <w:trHeight w:val="237"/>
        </w:trPr>
        <w:tc>
          <w:tcPr>
            <w:tcW w:w="47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Short securities</w:t>
            </w:r>
          </w:p>
        </w:tc>
        <w:tc>
          <w:tcPr>
            <w:tcW w:w="310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13</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2,176.5</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1,704.6</w:t>
            </w:r>
          </w:p>
        </w:tc>
      </w:tr>
      <w:tr>
        <w:trPr>
          <w:trHeight w:val="236"/>
        </w:trPr>
        <w:tc>
          <w:tcPr>
            <w:tcW w:w="47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Short-term borrowings</w:t>
            </w:r>
          </w:p>
        </w:tc>
        <w:tc>
          <w:tcPr>
            <w:tcW w:w="310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13</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133.0</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152.0</w:t>
            </w:r>
          </w:p>
        </w:tc>
      </w:tr>
      <w:tr>
        <w:trPr>
          <w:trHeight w:val="237"/>
        </w:trPr>
        <w:tc>
          <w:tcPr>
            <w:tcW w:w="47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Lease liability</w:t>
            </w:r>
          </w:p>
        </w:tc>
        <w:tc>
          <w:tcPr>
            <w:tcW w:w="310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10.0</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10.5</w:t>
            </w:r>
          </w:p>
        </w:tc>
      </w:tr>
      <w:tr>
        <w:trPr>
          <w:trHeight w:val="237"/>
        </w:trPr>
        <w:tc>
          <w:tcPr>
            <w:tcW w:w="47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Derivative instruments</w:t>
            </w:r>
          </w:p>
        </w:tc>
        <w:tc>
          <w:tcPr>
            <w:tcW w:w="310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10</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1,082.5</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751.7</w:t>
            </w:r>
          </w:p>
        </w:tc>
      </w:tr>
      <w:tr>
        <w:trPr>
          <w:trHeight w:val="237"/>
        </w:trPr>
        <w:tc>
          <w:tcPr>
            <w:tcW w:w="47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Corporation tax</w:t>
            </w:r>
          </w:p>
        </w:tc>
        <w:tc>
          <w:tcPr>
            <w:tcW w:w="310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10.8</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41.9</w:t>
            </w:r>
          </w:p>
        </w:tc>
      </w:tr>
      <w:tr>
        <w:trPr>
          <w:trHeight w:val="236"/>
        </w:trPr>
        <w:tc>
          <w:tcPr>
            <w:tcW w:w="47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Debt securities</w:t>
            </w:r>
          </w:p>
        </w:tc>
        <w:tc>
          <w:tcPr>
            <w:tcW w:w="310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13</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3,172.5</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2,119.6</w:t>
            </w:r>
          </w:p>
        </w:tc>
      </w:tr>
      <w:tr>
        <w:trPr>
          <w:trHeight w:val="237"/>
        </w:trPr>
        <w:tc>
          <w:tcPr>
            <w:tcW w:w="47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Provisions</w:t>
            </w:r>
          </w:p>
        </w:tc>
        <w:tc>
          <w:tcPr>
            <w:tcW w:w="310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0.7</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0.6</w:t>
            </w:r>
          </w:p>
        </w:tc>
      </w:tr>
      <w:tr>
        <w:trPr>
          <w:trHeight w:val="237"/>
        </w:trPr>
        <w:tc>
          <w:tcPr>
            <w:tcW w:w="476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Total current liabilities</w:t>
            </w:r>
          </w:p>
        </w:tc>
        <w:tc>
          <w:tcPr>
            <w:tcW w:w="3100" w:type="dxa"/>
            <w:vAlign w:val="bottom"/>
            <w:tcBorders>
              <w:top w:val="single" w:sz="8" w:color="793690"/>
            </w:tcBorders>
          </w:tcPr>
          <w:p>
            <w:pPr>
              <w:spacing w:after="0"/>
              <w:rPr>
                <w:sz w:val="20"/>
                <w:szCs w:val="20"/>
                <w:color w:val="auto"/>
              </w:rPr>
            </w:pPr>
          </w:p>
        </w:tc>
        <w:tc>
          <w:tcPr>
            <w:tcW w:w="162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27,899.2</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21,779.2</w:t>
            </w:r>
          </w:p>
        </w:tc>
      </w:tr>
      <w:tr>
        <w:trPr>
          <w:trHeight w:val="237"/>
        </w:trPr>
        <w:tc>
          <w:tcPr>
            <w:tcW w:w="4760" w:type="dxa"/>
            <w:vAlign w:val="bottom"/>
            <w:tcBorders>
              <w:top w:val="single" w:sz="8" w:color="DADAE7"/>
            </w:tcBorders>
          </w:tcPr>
          <w:p>
            <w:pPr>
              <w:ind w:left="20"/>
              <w:spacing w:after="0"/>
              <w:rPr>
                <w:sz w:val="20"/>
                <w:szCs w:val="20"/>
                <w:color w:val="auto"/>
              </w:rPr>
            </w:pPr>
            <w:r>
              <w:rPr>
                <w:rFonts w:ascii="Arial" w:cs="Arial" w:eastAsia="Arial" w:hAnsi="Arial"/>
                <w:sz w:val="15"/>
                <w:szCs w:val="15"/>
                <w:b w:val="1"/>
                <w:bCs w:val="1"/>
                <w:color w:val="auto"/>
              </w:rPr>
              <w:t>Non-current liabilities</w:t>
            </w:r>
          </w:p>
        </w:tc>
        <w:tc>
          <w:tcPr>
            <w:tcW w:w="310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spacing w:after="0"/>
              <w:rPr>
                <w:sz w:val="20"/>
                <w:szCs w:val="20"/>
                <w:color w:val="auto"/>
              </w:rPr>
            </w:pPr>
          </w:p>
        </w:tc>
        <w:tc>
          <w:tcPr>
            <w:tcW w:w="1740" w:type="dxa"/>
            <w:vAlign w:val="bottom"/>
            <w:tcBorders>
              <w:top w:val="single" w:sz="8" w:color="DADAE7"/>
            </w:tcBorders>
          </w:tcPr>
          <w:p>
            <w:pPr>
              <w:spacing w:after="0"/>
              <w:rPr>
                <w:sz w:val="20"/>
                <w:szCs w:val="20"/>
                <w:color w:val="auto"/>
              </w:rPr>
            </w:pPr>
          </w:p>
        </w:tc>
      </w:tr>
      <w:tr>
        <w:trPr>
          <w:trHeight w:val="237"/>
        </w:trPr>
        <w:tc>
          <w:tcPr>
            <w:tcW w:w="47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Lease liability</w:t>
            </w:r>
          </w:p>
        </w:tc>
        <w:tc>
          <w:tcPr>
            <w:tcW w:w="310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74.3</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67.0</w:t>
            </w:r>
          </w:p>
        </w:tc>
      </w:tr>
      <w:tr>
        <w:trPr>
          <w:trHeight w:val="236"/>
        </w:trPr>
        <w:tc>
          <w:tcPr>
            <w:tcW w:w="47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Derivative instruments</w:t>
            </w:r>
          </w:p>
        </w:tc>
        <w:tc>
          <w:tcPr>
            <w:tcW w:w="310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10</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14.0</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w:t>
            </w:r>
          </w:p>
        </w:tc>
      </w:tr>
      <w:tr>
        <w:trPr>
          <w:trHeight w:val="237"/>
        </w:trPr>
        <w:tc>
          <w:tcPr>
            <w:tcW w:w="47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Debt securities</w:t>
            </w:r>
          </w:p>
        </w:tc>
        <w:tc>
          <w:tcPr>
            <w:tcW w:w="310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13</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2,085.3</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1,484.9</w:t>
            </w:r>
          </w:p>
        </w:tc>
      </w:tr>
      <w:tr>
        <w:trPr>
          <w:trHeight w:val="237"/>
        </w:trPr>
        <w:tc>
          <w:tcPr>
            <w:tcW w:w="47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Deferred tax liability</w:t>
            </w:r>
          </w:p>
        </w:tc>
        <w:tc>
          <w:tcPr>
            <w:tcW w:w="310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4.3</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4.5</w:t>
            </w:r>
          </w:p>
        </w:tc>
      </w:tr>
      <w:tr>
        <w:trPr>
          <w:trHeight w:val="236"/>
        </w:trPr>
        <w:tc>
          <w:tcPr>
            <w:tcW w:w="476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Total non-current liabilities</w:t>
            </w:r>
          </w:p>
        </w:tc>
        <w:tc>
          <w:tcPr>
            <w:tcW w:w="3100" w:type="dxa"/>
            <w:vAlign w:val="bottom"/>
            <w:tcBorders>
              <w:top w:val="single" w:sz="8" w:color="793690"/>
            </w:tcBorders>
          </w:tcPr>
          <w:p>
            <w:pPr>
              <w:spacing w:after="0"/>
              <w:rPr>
                <w:sz w:val="20"/>
                <w:szCs w:val="20"/>
                <w:color w:val="auto"/>
              </w:rPr>
            </w:pPr>
          </w:p>
        </w:tc>
        <w:tc>
          <w:tcPr>
            <w:tcW w:w="162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2,177.9</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1,556.4</w:t>
            </w:r>
          </w:p>
        </w:tc>
      </w:tr>
      <w:tr>
        <w:trPr>
          <w:trHeight w:val="237"/>
        </w:trPr>
        <w:tc>
          <w:tcPr>
            <w:tcW w:w="476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Total liabilities</w:t>
            </w:r>
          </w:p>
        </w:tc>
        <w:tc>
          <w:tcPr>
            <w:tcW w:w="3100" w:type="dxa"/>
            <w:vAlign w:val="bottom"/>
            <w:tcBorders>
              <w:top w:val="single" w:sz="8" w:color="793690"/>
            </w:tcBorders>
          </w:tcPr>
          <w:p>
            <w:pPr>
              <w:spacing w:after="0"/>
              <w:rPr>
                <w:sz w:val="20"/>
                <w:szCs w:val="20"/>
                <w:color w:val="auto"/>
              </w:rPr>
            </w:pPr>
          </w:p>
        </w:tc>
        <w:tc>
          <w:tcPr>
            <w:tcW w:w="162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30,077.1</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23,335.6</w:t>
            </w:r>
          </w:p>
        </w:tc>
      </w:tr>
      <w:tr>
        <w:trPr>
          <w:trHeight w:val="236"/>
        </w:trPr>
        <w:tc>
          <w:tcPr>
            <w:tcW w:w="476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Total net assets</w:t>
            </w:r>
          </w:p>
        </w:tc>
        <w:tc>
          <w:tcPr>
            <w:tcW w:w="3100" w:type="dxa"/>
            <w:vAlign w:val="bottom"/>
            <w:tcBorders>
              <w:top w:val="single" w:sz="8" w:color="793690"/>
            </w:tcBorders>
          </w:tcPr>
          <w:p>
            <w:pPr>
              <w:spacing w:after="0"/>
              <w:rPr>
                <w:sz w:val="20"/>
                <w:szCs w:val="20"/>
                <w:color w:val="auto"/>
              </w:rPr>
            </w:pPr>
          </w:p>
        </w:tc>
        <w:tc>
          <w:tcPr>
            <w:tcW w:w="162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1,111.2</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976.9</w:t>
            </w:r>
          </w:p>
        </w:tc>
      </w:tr>
      <w:tr>
        <w:trPr>
          <w:trHeight w:val="588"/>
        </w:trPr>
        <w:tc>
          <w:tcPr>
            <w:tcW w:w="476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Equity</w:t>
            </w:r>
          </w:p>
        </w:tc>
        <w:tc>
          <w:tcPr>
            <w:tcW w:w="3100" w:type="dxa"/>
            <w:vAlign w:val="bottom"/>
            <w:tcBorders>
              <w:top w:val="single" w:sz="8" w:color="793690"/>
            </w:tcBorders>
          </w:tcPr>
          <w:p>
            <w:pPr>
              <w:spacing w:after="0"/>
              <w:rPr>
                <w:sz w:val="24"/>
                <w:szCs w:val="24"/>
                <w:color w:val="auto"/>
              </w:rPr>
            </w:pPr>
          </w:p>
        </w:tc>
        <w:tc>
          <w:tcPr>
            <w:tcW w:w="1620" w:type="dxa"/>
            <w:vAlign w:val="bottom"/>
            <w:tcBorders>
              <w:top w:val="single" w:sz="8" w:color="793690"/>
              <w:bottom w:val="single" w:sz="8" w:color="F4EFF6"/>
            </w:tcBorders>
            <w:shd w:val="clear" w:color="auto" w:fill="F4EFF6"/>
          </w:tcPr>
          <w:p>
            <w:pPr>
              <w:spacing w:after="0"/>
              <w:rPr>
                <w:sz w:val="24"/>
                <w:szCs w:val="24"/>
                <w:color w:val="auto"/>
              </w:rPr>
            </w:pPr>
          </w:p>
        </w:tc>
        <w:tc>
          <w:tcPr>
            <w:tcW w:w="1740" w:type="dxa"/>
            <w:vAlign w:val="bottom"/>
            <w:tcBorders>
              <w:top w:val="single" w:sz="8" w:color="793690"/>
            </w:tcBorders>
          </w:tcPr>
          <w:p>
            <w:pPr>
              <w:spacing w:after="0"/>
              <w:rPr>
                <w:sz w:val="24"/>
                <w:szCs w:val="24"/>
                <w:color w:val="auto"/>
              </w:rPr>
            </w:pPr>
          </w:p>
        </w:tc>
      </w:tr>
      <w:tr>
        <w:trPr>
          <w:trHeight w:val="237"/>
        </w:trPr>
        <w:tc>
          <w:tcPr>
            <w:tcW w:w="47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Share capital</w:t>
            </w:r>
          </w:p>
        </w:tc>
        <w:tc>
          <w:tcPr>
            <w:tcW w:w="310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12</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0.1</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0.1</w:t>
            </w:r>
          </w:p>
        </w:tc>
      </w:tr>
      <w:tr>
        <w:trPr>
          <w:trHeight w:val="236"/>
        </w:trPr>
        <w:tc>
          <w:tcPr>
            <w:tcW w:w="47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Share premium</w:t>
            </w:r>
          </w:p>
        </w:tc>
        <w:tc>
          <w:tcPr>
            <w:tcW w:w="310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226.0</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202.6</w:t>
            </w:r>
          </w:p>
        </w:tc>
      </w:tr>
      <w:tr>
        <w:trPr>
          <w:trHeight w:val="237"/>
        </w:trPr>
        <w:tc>
          <w:tcPr>
            <w:tcW w:w="47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Additional Tier 1 capital (AT1)</w:t>
            </w:r>
          </w:p>
        </w:tc>
        <w:tc>
          <w:tcPr>
            <w:tcW w:w="310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97.6</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97.6</w:t>
            </w:r>
          </w:p>
        </w:tc>
      </w:tr>
      <w:tr>
        <w:trPr>
          <w:trHeight w:val="236"/>
        </w:trPr>
        <w:tc>
          <w:tcPr>
            <w:tcW w:w="47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Retained earnings</w:t>
            </w:r>
          </w:p>
        </w:tc>
        <w:tc>
          <w:tcPr>
            <w:tcW w:w="310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828.2</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722.4</w:t>
            </w:r>
          </w:p>
        </w:tc>
      </w:tr>
      <w:tr>
        <w:trPr>
          <w:trHeight w:val="237"/>
        </w:trPr>
        <w:tc>
          <w:tcPr>
            <w:tcW w:w="47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Own shares</w:t>
            </w:r>
          </w:p>
        </w:tc>
        <w:tc>
          <w:tcPr>
            <w:tcW w:w="310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12</w:t>
            </w:r>
          </w:p>
        </w:tc>
        <w:tc>
          <w:tcPr>
            <w:tcW w:w="16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(58.3)</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(23.2)</w:t>
            </w:r>
          </w:p>
        </w:tc>
      </w:tr>
      <w:tr>
        <w:trPr>
          <w:trHeight w:val="237"/>
        </w:trPr>
        <w:tc>
          <w:tcPr>
            <w:tcW w:w="47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Other reserves</w:t>
            </w:r>
          </w:p>
        </w:tc>
        <w:tc>
          <w:tcPr>
            <w:tcW w:w="310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17.6</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(22.6)</w:t>
            </w:r>
          </w:p>
        </w:tc>
      </w:tr>
      <w:tr>
        <w:trPr>
          <w:trHeight w:val="216"/>
        </w:trPr>
        <w:tc>
          <w:tcPr>
            <w:tcW w:w="476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Total equity</w:t>
            </w:r>
          </w:p>
        </w:tc>
        <w:tc>
          <w:tcPr>
            <w:tcW w:w="3100" w:type="dxa"/>
            <w:vAlign w:val="bottom"/>
            <w:tcBorders>
              <w:top w:val="single" w:sz="8" w:color="793690"/>
            </w:tcBorders>
          </w:tcPr>
          <w:p>
            <w:pPr>
              <w:spacing w:after="0"/>
              <w:rPr>
                <w:sz w:val="18"/>
                <w:szCs w:val="18"/>
                <w:color w:val="auto"/>
              </w:rPr>
            </w:pPr>
          </w:p>
        </w:tc>
        <w:tc>
          <w:tcPr>
            <w:tcW w:w="162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1,111.2</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976.9</w:t>
            </w:r>
          </w:p>
        </w:tc>
      </w:tr>
      <w:tr>
        <w:trPr>
          <w:trHeight w:val="20"/>
        </w:trPr>
        <w:tc>
          <w:tcPr>
            <w:tcW w:w="4760" w:type="dxa"/>
            <w:vAlign w:val="bottom"/>
            <w:shd w:val="clear" w:color="auto" w:fill="793690"/>
          </w:tcPr>
          <w:p>
            <w:pPr>
              <w:spacing w:after="0" w:line="20" w:lineRule="exact"/>
              <w:rPr>
                <w:sz w:val="1"/>
                <w:szCs w:val="1"/>
                <w:color w:val="auto"/>
              </w:rPr>
            </w:pPr>
          </w:p>
        </w:tc>
        <w:tc>
          <w:tcPr>
            <w:tcW w:w="3100" w:type="dxa"/>
            <w:vAlign w:val="bottom"/>
            <w:shd w:val="clear" w:color="auto" w:fill="793690"/>
          </w:tcPr>
          <w:p>
            <w:pPr>
              <w:spacing w:after="0" w:line="20" w:lineRule="exact"/>
              <w:rPr>
                <w:sz w:val="1"/>
                <w:szCs w:val="1"/>
                <w:color w:val="auto"/>
              </w:rPr>
            </w:pPr>
          </w:p>
        </w:tc>
        <w:tc>
          <w:tcPr>
            <w:tcW w:w="1620" w:type="dxa"/>
            <w:vAlign w:val="bottom"/>
            <w:shd w:val="clear" w:color="auto" w:fill="793690"/>
          </w:tcPr>
          <w:p>
            <w:pPr>
              <w:spacing w:after="0" w:line="20" w:lineRule="exact"/>
              <w:rPr>
                <w:sz w:val="1"/>
                <w:szCs w:val="1"/>
                <w:color w:val="auto"/>
              </w:rPr>
            </w:pPr>
          </w:p>
        </w:tc>
        <w:tc>
          <w:tcPr>
            <w:tcW w:w="1740" w:type="dxa"/>
            <w:vAlign w:val="bottom"/>
            <w:shd w:val="clear" w:color="auto" w:fill="79369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5</w:t>
      </w:r>
    </w:p>
    <w:p>
      <w:pPr>
        <w:sectPr>
          <w:pgSz w:w="11900" w:h="16838" w:orient="portrait"/>
          <w:cols w:equalWidth="0" w:num="1">
            <w:col w:w="11220"/>
          </w:cols>
          <w:pgMar w:left="320" w:top="1353" w:right="35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color w:val="793690"/>
        </w:rPr>
        <w:t>Unaudited Condensed Consolidated Statement of the Changes in Equity</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the six months ended 30 June</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Share</w:t>
            </w:r>
          </w:p>
        </w:tc>
        <w:tc>
          <w:tcPr>
            <w:tcW w:w="2020" w:type="dxa"/>
            <w:vAlign w:val="bottom"/>
            <w:gridSpan w:val="2"/>
          </w:tcPr>
          <w:p>
            <w:pPr>
              <w:jc w:val="right"/>
              <w:spacing w:after="0"/>
              <w:rPr>
                <w:sz w:val="20"/>
                <w:szCs w:val="20"/>
                <w:color w:val="auto"/>
              </w:rPr>
            </w:pPr>
            <w:r>
              <w:rPr>
                <w:rFonts w:ascii="Arial" w:cs="Arial" w:eastAsia="Arial" w:hAnsi="Arial"/>
                <w:sz w:val="13"/>
                <w:szCs w:val="13"/>
                <w:b w:val="1"/>
                <w:bCs w:val="1"/>
                <w:color w:val="auto"/>
              </w:rPr>
              <w:t>Share Additional (AT1)</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Retained</w:t>
            </w: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Own shares</w:t>
            </w: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auto"/>
              </w:rPr>
              <w:t>Other reserves</w:t>
            </w:r>
          </w:p>
        </w:tc>
        <w:tc>
          <w:tcPr>
            <w:tcW w:w="9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capital</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premium</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capital</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earnings</w:t>
            </w:r>
          </w:p>
        </w:tc>
        <w:tc>
          <w:tcPr>
            <w:tcW w:w="102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$m</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$m</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$m</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$m</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$m</w:t>
            </w:r>
          </w:p>
        </w:tc>
        <w:tc>
          <w:tcPr>
            <w:tcW w:w="10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$m</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$m</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4160" w:type="dxa"/>
            <w:vAlign w:val="bottom"/>
            <w:tcBorders>
              <w:bottom w:val="single" w:sz="8" w:color="793690"/>
            </w:tcBorders>
          </w:tcPr>
          <w:p>
            <w:pPr>
              <w:spacing w:after="0" w:line="20" w:lineRule="exact"/>
              <w:rPr>
                <w:sz w:val="1"/>
                <w:szCs w:val="1"/>
                <w:color w:val="auto"/>
              </w:rPr>
            </w:pPr>
          </w:p>
        </w:tc>
        <w:tc>
          <w:tcPr>
            <w:tcW w:w="1000" w:type="dxa"/>
            <w:vAlign w:val="bottom"/>
            <w:tcBorders>
              <w:bottom w:val="single" w:sz="8" w:color="793690"/>
            </w:tcBorders>
          </w:tcPr>
          <w:p>
            <w:pPr>
              <w:spacing w:after="0" w:line="20" w:lineRule="exact"/>
              <w:rPr>
                <w:sz w:val="1"/>
                <w:szCs w:val="1"/>
                <w:color w:val="auto"/>
              </w:rPr>
            </w:pPr>
          </w:p>
        </w:tc>
        <w:tc>
          <w:tcPr>
            <w:tcW w:w="1020" w:type="dxa"/>
            <w:vAlign w:val="bottom"/>
            <w:tcBorders>
              <w:bottom w:val="single" w:sz="8" w:color="793690"/>
            </w:tcBorders>
          </w:tcPr>
          <w:p>
            <w:pPr>
              <w:spacing w:after="0" w:line="20" w:lineRule="exact"/>
              <w:rPr>
                <w:sz w:val="1"/>
                <w:szCs w:val="1"/>
                <w:color w:val="auto"/>
              </w:rPr>
            </w:pPr>
          </w:p>
        </w:tc>
        <w:tc>
          <w:tcPr>
            <w:tcW w:w="1000" w:type="dxa"/>
            <w:vAlign w:val="bottom"/>
            <w:tcBorders>
              <w:bottom w:val="single" w:sz="8" w:color="793690"/>
            </w:tcBorders>
          </w:tcPr>
          <w:p>
            <w:pPr>
              <w:spacing w:after="0" w:line="20" w:lineRule="exact"/>
              <w:rPr>
                <w:sz w:val="1"/>
                <w:szCs w:val="1"/>
                <w:color w:val="auto"/>
              </w:rPr>
            </w:pPr>
          </w:p>
        </w:tc>
        <w:tc>
          <w:tcPr>
            <w:tcW w:w="1020" w:type="dxa"/>
            <w:vAlign w:val="bottom"/>
            <w:tcBorders>
              <w:bottom w:val="single" w:sz="8" w:color="793690"/>
            </w:tcBorders>
          </w:tcPr>
          <w:p>
            <w:pPr>
              <w:spacing w:after="0" w:line="20" w:lineRule="exact"/>
              <w:rPr>
                <w:sz w:val="1"/>
                <w:szCs w:val="1"/>
                <w:color w:val="auto"/>
              </w:rPr>
            </w:pPr>
          </w:p>
        </w:tc>
        <w:tc>
          <w:tcPr>
            <w:tcW w:w="1020" w:type="dxa"/>
            <w:vAlign w:val="bottom"/>
            <w:tcBorders>
              <w:bottom w:val="single" w:sz="8" w:color="793690"/>
            </w:tcBorders>
          </w:tcPr>
          <w:p>
            <w:pPr>
              <w:spacing w:after="0" w:line="20" w:lineRule="exact"/>
              <w:rPr>
                <w:sz w:val="1"/>
                <w:szCs w:val="1"/>
                <w:color w:val="auto"/>
              </w:rPr>
            </w:pPr>
          </w:p>
        </w:tc>
        <w:tc>
          <w:tcPr>
            <w:tcW w:w="1040" w:type="dxa"/>
            <w:vAlign w:val="bottom"/>
            <w:tcBorders>
              <w:bottom w:val="single" w:sz="8" w:color="793690"/>
            </w:tcBorders>
            <w:gridSpan w:val="2"/>
          </w:tcPr>
          <w:p>
            <w:pPr>
              <w:spacing w:after="0" w:line="20" w:lineRule="exact"/>
              <w:rPr>
                <w:sz w:val="1"/>
                <w:szCs w:val="1"/>
                <w:color w:val="auto"/>
              </w:rPr>
            </w:pPr>
          </w:p>
        </w:tc>
        <w:tc>
          <w:tcPr>
            <w:tcW w:w="960" w:type="dxa"/>
            <w:vAlign w:val="bottom"/>
            <w:tcBorders>
              <w:bottom w:val="single" w:sz="8" w:color="79369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20"/>
              <w:spacing w:after="0"/>
              <w:rPr>
                <w:sz w:val="20"/>
                <w:szCs w:val="20"/>
                <w:color w:val="auto"/>
              </w:rPr>
            </w:pPr>
            <w:r>
              <w:rPr>
                <w:rFonts w:ascii="Arial" w:cs="Arial" w:eastAsia="Arial" w:hAnsi="Arial"/>
                <w:sz w:val="15"/>
                <w:szCs w:val="15"/>
                <w:color w:val="auto"/>
              </w:rPr>
              <w:t>At 1 January 2024</w:t>
            </w:r>
          </w:p>
        </w:tc>
        <w:tc>
          <w:tcPr>
            <w:tcW w:w="1000" w:type="dxa"/>
            <w:vAlign w:val="bottom"/>
          </w:tcPr>
          <w:p>
            <w:pPr>
              <w:jc w:val="right"/>
              <w:spacing w:after="0"/>
              <w:rPr>
                <w:sz w:val="20"/>
                <w:szCs w:val="20"/>
                <w:color w:val="auto"/>
              </w:rPr>
            </w:pPr>
            <w:r>
              <w:rPr>
                <w:rFonts w:ascii="Arial" w:cs="Arial" w:eastAsia="Arial" w:hAnsi="Arial"/>
                <w:sz w:val="15"/>
                <w:szCs w:val="15"/>
                <w:color w:val="auto"/>
              </w:rPr>
              <w:t>0.1</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134.3</w:t>
            </w:r>
          </w:p>
        </w:tc>
        <w:tc>
          <w:tcPr>
            <w:tcW w:w="1000" w:type="dxa"/>
            <w:vAlign w:val="bottom"/>
          </w:tcPr>
          <w:p>
            <w:pPr>
              <w:jc w:val="right"/>
              <w:spacing w:after="0"/>
              <w:rPr>
                <w:sz w:val="20"/>
                <w:szCs w:val="20"/>
                <w:color w:val="auto"/>
              </w:rPr>
            </w:pPr>
            <w:r>
              <w:rPr>
                <w:rFonts w:ascii="Arial" w:cs="Arial" w:eastAsia="Arial" w:hAnsi="Arial"/>
                <w:sz w:val="15"/>
                <w:szCs w:val="15"/>
                <w:color w:val="auto"/>
              </w:rPr>
              <w:t>97.6</w:t>
            </w:r>
          </w:p>
        </w:tc>
        <w:tc>
          <w:tcPr>
            <w:tcW w:w="1020" w:type="dxa"/>
            <w:vAlign w:val="bottom"/>
          </w:tcPr>
          <w:p>
            <w:pPr>
              <w:jc w:val="right"/>
              <w:spacing w:after="0"/>
              <w:rPr>
                <w:sz w:val="20"/>
                <w:szCs w:val="20"/>
                <w:color w:val="auto"/>
              </w:rPr>
            </w:pPr>
            <w:r>
              <w:rPr>
                <w:rFonts w:ascii="Arial" w:cs="Arial" w:eastAsia="Arial" w:hAnsi="Arial"/>
                <w:sz w:val="15"/>
                <w:szCs w:val="15"/>
                <w:color w:val="auto"/>
              </w:rPr>
              <w:t>555.3</w:t>
            </w:r>
          </w:p>
        </w:tc>
        <w:tc>
          <w:tcPr>
            <w:tcW w:w="1020" w:type="dxa"/>
            <w:vAlign w:val="bottom"/>
          </w:tcPr>
          <w:p>
            <w:pPr>
              <w:jc w:val="right"/>
              <w:spacing w:after="0"/>
              <w:rPr>
                <w:sz w:val="20"/>
                <w:szCs w:val="20"/>
                <w:color w:val="auto"/>
              </w:rPr>
            </w:pPr>
            <w:r>
              <w:rPr>
                <w:rFonts w:ascii="Arial" w:cs="Arial" w:eastAsia="Arial" w:hAnsi="Arial"/>
                <w:sz w:val="15"/>
                <w:szCs w:val="15"/>
                <w:color w:val="auto"/>
              </w:rPr>
              <w:t>(9.8)</w:t>
            </w:r>
          </w:p>
        </w:tc>
        <w:tc>
          <w:tcPr>
            <w:tcW w:w="1040" w:type="dxa"/>
            <w:vAlign w:val="bottom"/>
            <w:gridSpan w:val="2"/>
          </w:tcPr>
          <w:p>
            <w:pPr>
              <w:jc w:val="right"/>
              <w:ind w:right="40"/>
              <w:spacing w:after="0"/>
              <w:rPr>
                <w:sz w:val="20"/>
                <w:szCs w:val="20"/>
                <w:color w:val="auto"/>
              </w:rPr>
            </w:pPr>
            <w:r>
              <w:rPr>
                <w:rFonts w:ascii="Arial" w:cs="Arial" w:eastAsia="Arial" w:hAnsi="Arial"/>
                <w:sz w:val="15"/>
                <w:szCs w:val="15"/>
                <w:color w:val="auto"/>
              </w:rPr>
              <w:t>(1.6)</w:t>
            </w:r>
          </w:p>
        </w:tc>
        <w:tc>
          <w:tcPr>
            <w:tcW w:w="960" w:type="dxa"/>
            <w:vAlign w:val="bottom"/>
          </w:tcPr>
          <w:p>
            <w:pPr>
              <w:jc w:val="right"/>
              <w:spacing w:after="0"/>
              <w:rPr>
                <w:sz w:val="20"/>
                <w:szCs w:val="20"/>
                <w:color w:val="auto"/>
              </w:rPr>
            </w:pPr>
            <w:r>
              <w:rPr>
                <w:rFonts w:ascii="Arial" w:cs="Arial" w:eastAsia="Arial" w:hAnsi="Arial"/>
                <w:sz w:val="15"/>
                <w:szCs w:val="15"/>
                <w:color w:val="auto"/>
              </w:rPr>
              <w:t>775.9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B6B6B6"/>
            </w:tcBorders>
          </w:tcPr>
          <w:p>
            <w:pPr>
              <w:spacing w:after="0"/>
              <w:rPr>
                <w:sz w:val="2"/>
                <w:szCs w:val="2"/>
                <w:color w:val="auto"/>
              </w:rPr>
            </w:pPr>
          </w:p>
        </w:tc>
        <w:tc>
          <w:tcPr>
            <w:tcW w:w="1000" w:type="dxa"/>
            <w:vAlign w:val="bottom"/>
            <w:tcBorders>
              <w:bottom w:val="single" w:sz="8" w:color="B6B6B6"/>
            </w:tcBorders>
          </w:tcPr>
          <w:p>
            <w:pPr>
              <w:spacing w:after="0"/>
              <w:rPr>
                <w:sz w:val="2"/>
                <w:szCs w:val="2"/>
                <w:color w:val="auto"/>
              </w:rPr>
            </w:pPr>
          </w:p>
        </w:tc>
        <w:tc>
          <w:tcPr>
            <w:tcW w:w="1020" w:type="dxa"/>
            <w:vAlign w:val="bottom"/>
            <w:tcBorders>
              <w:bottom w:val="single" w:sz="8" w:color="B6B6B6"/>
            </w:tcBorders>
          </w:tcPr>
          <w:p>
            <w:pPr>
              <w:spacing w:after="0"/>
              <w:rPr>
                <w:sz w:val="2"/>
                <w:szCs w:val="2"/>
                <w:color w:val="auto"/>
              </w:rPr>
            </w:pPr>
          </w:p>
        </w:tc>
        <w:tc>
          <w:tcPr>
            <w:tcW w:w="1000" w:type="dxa"/>
            <w:vAlign w:val="bottom"/>
            <w:tcBorders>
              <w:bottom w:val="single" w:sz="8" w:color="B6B6B6"/>
            </w:tcBorders>
          </w:tcPr>
          <w:p>
            <w:pPr>
              <w:spacing w:after="0"/>
              <w:rPr>
                <w:sz w:val="2"/>
                <w:szCs w:val="2"/>
                <w:color w:val="auto"/>
              </w:rPr>
            </w:pPr>
          </w:p>
        </w:tc>
        <w:tc>
          <w:tcPr>
            <w:tcW w:w="1020" w:type="dxa"/>
            <w:vAlign w:val="bottom"/>
            <w:tcBorders>
              <w:bottom w:val="single" w:sz="8" w:color="B6B6B6"/>
            </w:tcBorders>
          </w:tcPr>
          <w:p>
            <w:pPr>
              <w:spacing w:after="0"/>
              <w:rPr>
                <w:sz w:val="2"/>
                <w:szCs w:val="2"/>
                <w:color w:val="auto"/>
              </w:rPr>
            </w:pPr>
          </w:p>
        </w:tc>
        <w:tc>
          <w:tcPr>
            <w:tcW w:w="1020" w:type="dxa"/>
            <w:vAlign w:val="bottom"/>
            <w:tcBorders>
              <w:bottom w:val="single" w:sz="8" w:color="B6B6B6"/>
            </w:tcBorders>
          </w:tcPr>
          <w:p>
            <w:pPr>
              <w:spacing w:after="0"/>
              <w:rPr>
                <w:sz w:val="2"/>
                <w:szCs w:val="2"/>
                <w:color w:val="auto"/>
              </w:rPr>
            </w:pPr>
          </w:p>
        </w:tc>
        <w:tc>
          <w:tcPr>
            <w:tcW w:w="1040" w:type="dxa"/>
            <w:vAlign w:val="bottom"/>
            <w:tcBorders>
              <w:bottom w:val="single" w:sz="8" w:color="B6B6B6"/>
            </w:tcBorders>
            <w:gridSpan w:val="2"/>
          </w:tcPr>
          <w:p>
            <w:pPr>
              <w:spacing w:after="0"/>
              <w:rPr>
                <w:sz w:val="2"/>
                <w:szCs w:val="2"/>
                <w:color w:val="auto"/>
              </w:rPr>
            </w:pPr>
          </w:p>
        </w:tc>
        <w:tc>
          <w:tcPr>
            <w:tcW w:w="960" w:type="dxa"/>
            <w:vAlign w:val="bottom"/>
            <w:tcBorders>
              <w:bottom w:val="single" w:sz="8" w:color="B6B6B6"/>
            </w:tcBorders>
          </w:tcPr>
          <w:p>
            <w:pPr>
              <w:spacing w:after="0"/>
              <w:rPr>
                <w:sz w:val="2"/>
                <w:szCs w:val="2"/>
                <w:color w:val="auto"/>
              </w:rPr>
            </w:pPr>
          </w:p>
        </w:tc>
        <w:tc>
          <w:tcPr>
            <w:tcW w:w="20" w:type="dxa"/>
            <w:vAlign w:val="bottom"/>
            <w:tcBorders>
              <w:bottom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60" w:type="dxa"/>
            <w:vAlign w:val="bottom"/>
            <w:tcBorders>
              <w:left w:val="single" w:sz="8" w:color="B6B6B6"/>
            </w:tcBorders>
          </w:tcPr>
          <w:p>
            <w:pPr>
              <w:ind w:left="40"/>
              <w:spacing w:after="0"/>
              <w:rPr>
                <w:sz w:val="20"/>
                <w:szCs w:val="20"/>
                <w:color w:val="auto"/>
              </w:rPr>
            </w:pPr>
            <w:r>
              <w:rPr>
                <w:rFonts w:ascii="Arial" w:cs="Arial" w:eastAsia="Arial" w:hAnsi="Arial"/>
                <w:sz w:val="15"/>
                <w:szCs w:val="15"/>
                <w:color w:val="auto"/>
              </w:rPr>
              <w:t>Profit after tax for the period</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6.6</w:t>
            </w:r>
          </w:p>
        </w:tc>
        <w:tc>
          <w:tcPr>
            <w:tcW w:w="1020" w:type="dxa"/>
            <w:vAlign w:val="bottom"/>
          </w:tcPr>
          <w:p>
            <w:pPr>
              <w:jc w:val="right"/>
              <w:spacing w:after="0"/>
              <w:rPr>
                <w:sz w:val="20"/>
                <w:szCs w:val="20"/>
                <w:color w:val="auto"/>
              </w:rPr>
            </w:pPr>
            <w:r>
              <w:rPr>
                <w:rFonts w:ascii="Arial" w:cs="Arial" w:eastAsia="Arial" w:hAnsi="Arial"/>
                <w:sz w:val="15"/>
                <w:szCs w:val="15"/>
                <w:color w:val="auto"/>
              </w:rPr>
              <w:t>96.3</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102.9</w:t>
            </w:r>
          </w:p>
        </w:tc>
        <w:tc>
          <w:tcPr>
            <w:tcW w:w="2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160" w:type="dxa"/>
            <w:vAlign w:val="bottom"/>
            <w:tcBorders>
              <w:left w:val="single" w:sz="8" w:color="B6B6B6"/>
              <w:bottom w:val="single" w:sz="8" w:color="DADAE7"/>
            </w:tcBorders>
          </w:tcPr>
          <w:p>
            <w:pPr>
              <w:spacing w:after="0"/>
              <w:rPr>
                <w:sz w:val="2"/>
                <w:szCs w:val="2"/>
                <w:color w:val="auto"/>
              </w:rPr>
            </w:pPr>
          </w:p>
        </w:tc>
        <w:tc>
          <w:tcPr>
            <w:tcW w:w="100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0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40" w:type="dxa"/>
            <w:vAlign w:val="bottom"/>
            <w:tcBorders>
              <w:bottom w:val="single" w:sz="8" w:color="DADAE7"/>
            </w:tcBorders>
            <w:gridSpan w:val="2"/>
          </w:tcPr>
          <w:p>
            <w:pPr>
              <w:spacing w:after="0"/>
              <w:rPr>
                <w:sz w:val="2"/>
                <w:szCs w:val="2"/>
                <w:color w:val="auto"/>
              </w:rPr>
            </w:pPr>
          </w:p>
        </w:tc>
        <w:tc>
          <w:tcPr>
            <w:tcW w:w="960" w:type="dxa"/>
            <w:vAlign w:val="bottom"/>
            <w:tcBorders>
              <w:bottom w:val="single" w:sz="8" w:color="DADAE7"/>
            </w:tcBorders>
          </w:tcPr>
          <w:p>
            <w:pPr>
              <w:spacing w:after="0"/>
              <w:rPr>
                <w:sz w:val="2"/>
                <w:szCs w:val="2"/>
                <w:color w:val="auto"/>
              </w:rPr>
            </w:pPr>
          </w:p>
        </w:tc>
        <w:tc>
          <w:tcPr>
            <w:tcW w:w="20" w:type="dxa"/>
            <w:vAlign w:val="bottom"/>
            <w:tcBorders>
              <w:bottom w:val="single" w:sz="8" w:color="B6B6B6"/>
            </w:tcBorders>
            <w:shd w:val="clear" w:color="auto" w:fill="B6B6B6"/>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60" w:type="dxa"/>
            <w:vAlign w:val="bottom"/>
            <w:tcBorders>
              <w:left w:val="single" w:sz="8" w:color="B6B6B6"/>
            </w:tcBorders>
          </w:tcPr>
          <w:p>
            <w:pPr>
              <w:ind w:left="40"/>
              <w:spacing w:after="0"/>
              <w:rPr>
                <w:sz w:val="20"/>
                <w:szCs w:val="20"/>
                <w:color w:val="auto"/>
              </w:rPr>
            </w:pPr>
            <w:r>
              <w:rPr>
                <w:rFonts w:ascii="Arial" w:cs="Arial" w:eastAsia="Arial" w:hAnsi="Arial"/>
                <w:sz w:val="15"/>
                <w:szCs w:val="15"/>
                <w:color w:val="auto"/>
              </w:rPr>
              <w:t>Fair value loss on hedging instruments in cash flow hedges</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5"/>
                <w:szCs w:val="15"/>
                <w:color w:val="auto"/>
              </w:rPr>
              <w:t>(5.7)</w:t>
            </w:r>
          </w:p>
        </w:tc>
        <w:tc>
          <w:tcPr>
            <w:tcW w:w="960" w:type="dxa"/>
            <w:vAlign w:val="bottom"/>
          </w:tcPr>
          <w:p>
            <w:pPr>
              <w:jc w:val="right"/>
              <w:spacing w:after="0"/>
              <w:rPr>
                <w:sz w:val="20"/>
                <w:szCs w:val="20"/>
                <w:color w:val="auto"/>
              </w:rPr>
            </w:pPr>
            <w:r>
              <w:rPr>
                <w:rFonts w:ascii="Arial" w:cs="Arial" w:eastAsia="Arial" w:hAnsi="Arial"/>
                <w:sz w:val="15"/>
                <w:szCs w:val="15"/>
                <w:color w:val="auto"/>
              </w:rPr>
              <w:t>(5.7)</w:t>
            </w:r>
          </w:p>
        </w:tc>
        <w:tc>
          <w:tcPr>
            <w:tcW w:w="2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160" w:type="dxa"/>
            <w:vAlign w:val="bottom"/>
            <w:tcBorders>
              <w:left w:val="single" w:sz="8" w:color="B6B6B6"/>
              <w:bottom w:val="single" w:sz="8" w:color="DADAE7"/>
            </w:tcBorders>
          </w:tcPr>
          <w:p>
            <w:pPr>
              <w:spacing w:after="0"/>
              <w:rPr>
                <w:sz w:val="2"/>
                <w:szCs w:val="2"/>
                <w:color w:val="auto"/>
              </w:rPr>
            </w:pPr>
          </w:p>
        </w:tc>
        <w:tc>
          <w:tcPr>
            <w:tcW w:w="100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0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00" w:type="dxa"/>
            <w:vAlign w:val="bottom"/>
            <w:tcBorders>
              <w:bottom w:val="single" w:sz="8" w:color="DADAE7"/>
            </w:tcBorders>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960" w:type="dxa"/>
            <w:vAlign w:val="bottom"/>
            <w:tcBorders>
              <w:bottom w:val="single" w:sz="8" w:color="DADAE7"/>
            </w:tcBorders>
          </w:tcPr>
          <w:p>
            <w:pPr>
              <w:spacing w:after="0"/>
              <w:rPr>
                <w:sz w:val="2"/>
                <w:szCs w:val="2"/>
                <w:color w:val="auto"/>
              </w:rPr>
            </w:pPr>
          </w:p>
        </w:tc>
        <w:tc>
          <w:tcPr>
            <w:tcW w:w="20" w:type="dxa"/>
            <w:vAlign w:val="bottom"/>
            <w:tcBorders>
              <w:bottom w:val="single" w:sz="8" w:color="B6B6B6"/>
            </w:tcBorders>
            <w:shd w:val="clear" w:color="auto" w:fill="B6B6B6"/>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60" w:type="dxa"/>
            <w:vAlign w:val="bottom"/>
            <w:tcBorders>
              <w:left w:val="single" w:sz="8" w:color="B6B6B6"/>
            </w:tcBorders>
          </w:tcPr>
          <w:p>
            <w:pPr>
              <w:ind w:left="40"/>
              <w:spacing w:after="0"/>
              <w:rPr>
                <w:sz w:val="20"/>
                <w:szCs w:val="20"/>
                <w:color w:val="auto"/>
              </w:rPr>
            </w:pPr>
            <w:r>
              <w:rPr>
                <w:rFonts w:ascii="Arial" w:cs="Arial" w:eastAsia="Arial" w:hAnsi="Arial"/>
                <w:sz w:val="15"/>
                <w:szCs w:val="15"/>
                <w:color w:val="auto"/>
              </w:rPr>
              <w:t>Deferred tax on hedging instruments</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1.4</w:t>
            </w:r>
          </w:p>
        </w:tc>
        <w:tc>
          <w:tcPr>
            <w:tcW w:w="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w:t>
            </w:r>
          </w:p>
        </w:tc>
        <w:tc>
          <w:tcPr>
            <w:tcW w:w="2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160" w:type="dxa"/>
            <w:vAlign w:val="bottom"/>
            <w:tcBorders>
              <w:left w:val="single" w:sz="8" w:color="B6B6B6"/>
              <w:bottom w:val="single" w:sz="8" w:color="DADAE7"/>
            </w:tcBorders>
          </w:tcPr>
          <w:p>
            <w:pPr>
              <w:spacing w:after="0"/>
              <w:rPr>
                <w:sz w:val="2"/>
                <w:szCs w:val="2"/>
                <w:color w:val="auto"/>
              </w:rPr>
            </w:pPr>
          </w:p>
        </w:tc>
        <w:tc>
          <w:tcPr>
            <w:tcW w:w="100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0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00" w:type="dxa"/>
            <w:vAlign w:val="bottom"/>
            <w:tcBorders>
              <w:bottom w:val="single" w:sz="8" w:color="DADAE7"/>
            </w:tcBorders>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960" w:type="dxa"/>
            <w:vAlign w:val="bottom"/>
            <w:tcBorders>
              <w:bottom w:val="single" w:sz="8" w:color="DADAE7"/>
            </w:tcBorders>
          </w:tcPr>
          <w:p>
            <w:pPr>
              <w:spacing w:after="0"/>
              <w:rPr>
                <w:sz w:val="2"/>
                <w:szCs w:val="2"/>
                <w:color w:val="auto"/>
              </w:rPr>
            </w:pPr>
          </w:p>
        </w:tc>
        <w:tc>
          <w:tcPr>
            <w:tcW w:w="20" w:type="dxa"/>
            <w:vAlign w:val="bottom"/>
            <w:tcBorders>
              <w:bottom w:val="single" w:sz="8" w:color="B6B6B6"/>
            </w:tcBorders>
            <w:shd w:val="clear" w:color="auto" w:fill="B6B6B6"/>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4160" w:type="dxa"/>
            <w:vAlign w:val="bottom"/>
            <w:tcBorders>
              <w:left w:val="single" w:sz="8" w:color="B6B6B6"/>
            </w:tcBorders>
          </w:tcPr>
          <w:p>
            <w:pPr>
              <w:ind w:left="40"/>
              <w:spacing w:after="0"/>
              <w:rPr>
                <w:sz w:val="20"/>
                <w:szCs w:val="20"/>
                <w:color w:val="auto"/>
              </w:rPr>
            </w:pPr>
            <w:r>
              <w:rPr>
                <w:rFonts w:ascii="Arial" w:cs="Arial" w:eastAsia="Arial" w:hAnsi="Arial"/>
                <w:sz w:val="15"/>
                <w:szCs w:val="15"/>
                <w:color w:val="auto"/>
              </w:rPr>
              <w:t>Change in fair value of financial liabilities designated at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2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2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(3.4)</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(3.4)</w:t>
            </w:r>
          </w:p>
        </w:tc>
        <w:tc>
          <w:tcPr>
            <w:tcW w:w="20" w:type="dxa"/>
            <w:vAlign w:val="bottom"/>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tcBorders>
              <w:left w:val="single" w:sz="8" w:color="B6B6B6"/>
              <w:bottom w:val="single" w:sz="8" w:color="DADAE7"/>
            </w:tcBorders>
          </w:tcPr>
          <w:p>
            <w:pPr>
              <w:ind w:left="40"/>
              <w:spacing w:after="0"/>
              <w:rPr>
                <w:sz w:val="20"/>
                <w:szCs w:val="20"/>
                <w:color w:val="auto"/>
              </w:rPr>
            </w:pPr>
            <w:r>
              <w:rPr>
                <w:rFonts w:ascii="Arial" w:cs="Arial" w:eastAsia="Arial" w:hAnsi="Arial"/>
                <w:sz w:val="15"/>
                <w:szCs w:val="15"/>
                <w:color w:val="auto"/>
              </w:rPr>
              <w:t>FVTPL due to own credit risk</w:t>
            </w:r>
          </w:p>
        </w:tc>
        <w:tc>
          <w:tcPr>
            <w:tcW w:w="1000" w:type="dxa"/>
            <w:vAlign w:val="bottom"/>
            <w:tcBorders>
              <w:bottom w:val="single" w:sz="8" w:color="DADAE7"/>
            </w:tcBorders>
            <w:vMerge w:val="continue"/>
          </w:tcPr>
          <w:p>
            <w:pPr>
              <w:spacing w:after="0"/>
              <w:rPr>
                <w:sz w:val="18"/>
                <w:szCs w:val="18"/>
                <w:color w:val="auto"/>
              </w:rPr>
            </w:pPr>
          </w:p>
        </w:tc>
        <w:tc>
          <w:tcPr>
            <w:tcW w:w="1020" w:type="dxa"/>
            <w:vAlign w:val="bottom"/>
            <w:tcBorders>
              <w:bottom w:val="single" w:sz="8" w:color="DADAE7"/>
            </w:tcBorders>
            <w:vMerge w:val="continue"/>
          </w:tcPr>
          <w:p>
            <w:pPr>
              <w:spacing w:after="0"/>
              <w:rPr>
                <w:sz w:val="18"/>
                <w:szCs w:val="18"/>
                <w:color w:val="auto"/>
              </w:rPr>
            </w:pPr>
          </w:p>
        </w:tc>
        <w:tc>
          <w:tcPr>
            <w:tcW w:w="1000" w:type="dxa"/>
            <w:vAlign w:val="bottom"/>
            <w:tcBorders>
              <w:bottom w:val="single" w:sz="8" w:color="DADAE7"/>
            </w:tcBorders>
            <w:vMerge w:val="continue"/>
          </w:tcPr>
          <w:p>
            <w:pPr>
              <w:spacing w:after="0"/>
              <w:rPr>
                <w:sz w:val="18"/>
                <w:szCs w:val="18"/>
                <w:color w:val="auto"/>
              </w:rPr>
            </w:pPr>
          </w:p>
        </w:tc>
        <w:tc>
          <w:tcPr>
            <w:tcW w:w="1020" w:type="dxa"/>
            <w:vAlign w:val="bottom"/>
            <w:tcBorders>
              <w:bottom w:val="single" w:sz="8" w:color="DADAE7"/>
            </w:tcBorders>
            <w:vMerge w:val="continue"/>
          </w:tcPr>
          <w:p>
            <w:pPr>
              <w:spacing w:after="0"/>
              <w:rPr>
                <w:sz w:val="18"/>
                <w:szCs w:val="18"/>
                <w:color w:val="auto"/>
              </w:rPr>
            </w:pPr>
          </w:p>
        </w:tc>
        <w:tc>
          <w:tcPr>
            <w:tcW w:w="1020" w:type="dxa"/>
            <w:vAlign w:val="bottom"/>
            <w:tcBorders>
              <w:bottom w:val="single" w:sz="8" w:color="DADAE7"/>
            </w:tcBorders>
            <w:vMerge w:val="continue"/>
          </w:tcPr>
          <w:p>
            <w:pPr>
              <w:spacing w:after="0"/>
              <w:rPr>
                <w:sz w:val="18"/>
                <w:szCs w:val="18"/>
                <w:color w:val="auto"/>
              </w:rPr>
            </w:pPr>
          </w:p>
        </w:tc>
        <w:tc>
          <w:tcPr>
            <w:tcW w:w="1040" w:type="dxa"/>
            <w:vAlign w:val="bottom"/>
            <w:tcBorders>
              <w:bottom w:val="single" w:sz="8" w:color="DADAE7"/>
            </w:tcBorders>
            <w:gridSpan w:val="2"/>
            <w:vMerge w:val="continue"/>
          </w:tcPr>
          <w:p>
            <w:pPr>
              <w:spacing w:after="0"/>
              <w:rPr>
                <w:sz w:val="18"/>
                <w:szCs w:val="18"/>
                <w:color w:val="auto"/>
              </w:rPr>
            </w:pPr>
          </w:p>
        </w:tc>
        <w:tc>
          <w:tcPr>
            <w:tcW w:w="960" w:type="dxa"/>
            <w:vAlign w:val="bottom"/>
            <w:tcBorders>
              <w:bottom w:val="single" w:sz="8" w:color="DADAE7"/>
            </w:tcBorders>
            <w:vMerge w:val="continue"/>
          </w:tcPr>
          <w:p>
            <w:pPr>
              <w:spacing w:after="0"/>
              <w:rPr>
                <w:sz w:val="18"/>
                <w:szCs w:val="18"/>
                <w:color w:val="auto"/>
              </w:rPr>
            </w:pPr>
          </w:p>
        </w:tc>
        <w:tc>
          <w:tcPr>
            <w:tcW w:w="2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60" w:type="dxa"/>
            <w:vAlign w:val="bottom"/>
            <w:tcBorders>
              <w:left w:val="single" w:sz="8" w:color="B6B6B6"/>
            </w:tcBorders>
          </w:tcPr>
          <w:p>
            <w:pPr>
              <w:ind w:left="40"/>
              <w:spacing w:after="0"/>
              <w:rPr>
                <w:sz w:val="20"/>
                <w:szCs w:val="20"/>
                <w:color w:val="auto"/>
              </w:rPr>
            </w:pPr>
            <w:r>
              <w:rPr>
                <w:rFonts w:ascii="Arial" w:cs="Arial" w:eastAsia="Arial" w:hAnsi="Arial"/>
                <w:sz w:val="15"/>
                <w:szCs w:val="15"/>
                <w:color w:val="auto"/>
              </w:rPr>
              <w:t>Deferred tax on change in fair value of financial liabilities</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2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2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0.8</w:t>
            </w:r>
          </w:p>
        </w:tc>
        <w:tc>
          <w:tcPr>
            <w:tcW w:w="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0.8</w:t>
            </w:r>
          </w:p>
        </w:tc>
        <w:tc>
          <w:tcPr>
            <w:tcW w:w="2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60" w:type="dxa"/>
            <w:vAlign w:val="bottom"/>
            <w:tcBorders>
              <w:left w:val="single" w:sz="8" w:color="B6B6B6"/>
              <w:bottom w:val="single" w:sz="8" w:color="DADAE7"/>
            </w:tcBorders>
          </w:tcPr>
          <w:p>
            <w:pPr>
              <w:ind w:left="40"/>
              <w:spacing w:after="0"/>
              <w:rPr>
                <w:sz w:val="20"/>
                <w:szCs w:val="20"/>
                <w:color w:val="auto"/>
              </w:rPr>
            </w:pPr>
            <w:r>
              <w:rPr>
                <w:rFonts w:ascii="Arial" w:cs="Arial" w:eastAsia="Arial" w:hAnsi="Arial"/>
                <w:sz w:val="15"/>
                <w:szCs w:val="15"/>
                <w:color w:val="auto"/>
              </w:rPr>
              <w:t>designated at FVTPL due to own credit risk</w:t>
            </w:r>
          </w:p>
        </w:tc>
        <w:tc>
          <w:tcPr>
            <w:tcW w:w="1000" w:type="dxa"/>
            <w:vAlign w:val="bottom"/>
            <w:tcBorders>
              <w:bottom w:val="single" w:sz="8" w:color="DADAE7"/>
            </w:tcBorders>
            <w:vMerge w:val="continue"/>
          </w:tcPr>
          <w:p>
            <w:pPr>
              <w:spacing w:after="0"/>
              <w:rPr>
                <w:sz w:val="18"/>
                <w:szCs w:val="18"/>
                <w:color w:val="auto"/>
              </w:rPr>
            </w:pPr>
          </w:p>
        </w:tc>
        <w:tc>
          <w:tcPr>
            <w:tcW w:w="1020" w:type="dxa"/>
            <w:vAlign w:val="bottom"/>
            <w:tcBorders>
              <w:bottom w:val="single" w:sz="8" w:color="DADAE7"/>
            </w:tcBorders>
            <w:vMerge w:val="continue"/>
          </w:tcPr>
          <w:p>
            <w:pPr>
              <w:spacing w:after="0"/>
              <w:rPr>
                <w:sz w:val="18"/>
                <w:szCs w:val="18"/>
                <w:color w:val="auto"/>
              </w:rPr>
            </w:pPr>
          </w:p>
        </w:tc>
        <w:tc>
          <w:tcPr>
            <w:tcW w:w="1000" w:type="dxa"/>
            <w:vAlign w:val="bottom"/>
            <w:tcBorders>
              <w:bottom w:val="single" w:sz="8" w:color="DADAE7"/>
            </w:tcBorders>
            <w:vMerge w:val="continue"/>
          </w:tcPr>
          <w:p>
            <w:pPr>
              <w:spacing w:after="0"/>
              <w:rPr>
                <w:sz w:val="18"/>
                <w:szCs w:val="18"/>
                <w:color w:val="auto"/>
              </w:rPr>
            </w:pPr>
          </w:p>
        </w:tc>
        <w:tc>
          <w:tcPr>
            <w:tcW w:w="1020" w:type="dxa"/>
            <w:vAlign w:val="bottom"/>
            <w:tcBorders>
              <w:bottom w:val="single" w:sz="8" w:color="DADAE7"/>
            </w:tcBorders>
            <w:vMerge w:val="continue"/>
          </w:tcPr>
          <w:p>
            <w:pPr>
              <w:spacing w:after="0"/>
              <w:rPr>
                <w:sz w:val="18"/>
                <w:szCs w:val="18"/>
                <w:color w:val="auto"/>
              </w:rPr>
            </w:pPr>
          </w:p>
        </w:tc>
        <w:tc>
          <w:tcPr>
            <w:tcW w:w="1020" w:type="dxa"/>
            <w:vAlign w:val="bottom"/>
            <w:tcBorders>
              <w:bottom w:val="single" w:sz="8" w:color="DADAE7"/>
            </w:tcBorders>
            <w:vMerge w:val="continue"/>
          </w:tcPr>
          <w:p>
            <w:pPr>
              <w:spacing w:after="0"/>
              <w:rPr>
                <w:sz w:val="18"/>
                <w:szCs w:val="18"/>
                <w:color w:val="auto"/>
              </w:rPr>
            </w:pPr>
          </w:p>
        </w:tc>
        <w:tc>
          <w:tcPr>
            <w:tcW w:w="1000" w:type="dxa"/>
            <w:vAlign w:val="bottom"/>
            <w:tcBorders>
              <w:bottom w:val="single" w:sz="8" w:color="DADAE7"/>
            </w:tcBorders>
            <w:vMerge w:val="continue"/>
          </w:tcPr>
          <w:p>
            <w:pPr>
              <w:spacing w:after="0"/>
              <w:rPr>
                <w:sz w:val="18"/>
                <w:szCs w:val="18"/>
                <w:color w:val="auto"/>
              </w:rPr>
            </w:pPr>
          </w:p>
        </w:tc>
        <w:tc>
          <w:tcPr>
            <w:tcW w:w="40" w:type="dxa"/>
            <w:vAlign w:val="bottom"/>
            <w:tcBorders>
              <w:bottom w:val="single" w:sz="8" w:color="DADAE7"/>
            </w:tcBorders>
          </w:tcPr>
          <w:p>
            <w:pPr>
              <w:spacing w:after="0"/>
              <w:rPr>
                <w:sz w:val="18"/>
                <w:szCs w:val="18"/>
                <w:color w:val="auto"/>
              </w:rPr>
            </w:pPr>
          </w:p>
        </w:tc>
        <w:tc>
          <w:tcPr>
            <w:tcW w:w="960" w:type="dxa"/>
            <w:vAlign w:val="bottom"/>
            <w:tcBorders>
              <w:bottom w:val="single" w:sz="8" w:color="DADAE7"/>
            </w:tcBorders>
            <w:vMerge w:val="continue"/>
          </w:tcPr>
          <w:p>
            <w:pPr>
              <w:spacing w:after="0"/>
              <w:rPr>
                <w:sz w:val="18"/>
                <w:szCs w:val="18"/>
                <w:color w:val="auto"/>
              </w:rPr>
            </w:pPr>
          </w:p>
        </w:tc>
        <w:tc>
          <w:tcPr>
            <w:tcW w:w="2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60" w:type="dxa"/>
            <w:vAlign w:val="bottom"/>
            <w:tcBorders>
              <w:left w:val="single" w:sz="8" w:color="B6B6B6"/>
            </w:tcBorders>
          </w:tcPr>
          <w:p>
            <w:pPr>
              <w:ind w:left="40"/>
              <w:spacing w:after="0"/>
              <w:rPr>
                <w:sz w:val="20"/>
                <w:szCs w:val="20"/>
                <w:color w:val="auto"/>
              </w:rPr>
            </w:pPr>
            <w:r>
              <w:rPr>
                <w:rFonts w:ascii="Arial" w:cs="Arial" w:eastAsia="Arial" w:hAnsi="Arial"/>
                <w:sz w:val="15"/>
                <w:szCs w:val="15"/>
                <w:color w:val="auto"/>
              </w:rPr>
              <w:t>Fair value gain on investments in equity instruments</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2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2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1.2</w:t>
            </w:r>
          </w:p>
        </w:tc>
        <w:tc>
          <w:tcPr>
            <w:tcW w:w="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1.2</w:t>
            </w:r>
          </w:p>
        </w:tc>
        <w:tc>
          <w:tcPr>
            <w:tcW w:w="2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60" w:type="dxa"/>
            <w:vAlign w:val="bottom"/>
            <w:tcBorders>
              <w:left w:val="single" w:sz="8" w:color="B6B6B6"/>
              <w:bottom w:val="single" w:sz="8" w:color="DADAE7"/>
            </w:tcBorders>
          </w:tcPr>
          <w:p>
            <w:pPr>
              <w:ind w:left="40"/>
              <w:spacing w:after="0"/>
              <w:rPr>
                <w:sz w:val="20"/>
                <w:szCs w:val="20"/>
                <w:color w:val="auto"/>
              </w:rPr>
            </w:pPr>
            <w:r>
              <w:rPr>
                <w:rFonts w:ascii="Arial" w:cs="Arial" w:eastAsia="Arial" w:hAnsi="Arial"/>
                <w:sz w:val="15"/>
                <w:szCs w:val="15"/>
                <w:color w:val="auto"/>
              </w:rPr>
              <w:t>designated at FVTOCI</w:t>
            </w:r>
          </w:p>
        </w:tc>
        <w:tc>
          <w:tcPr>
            <w:tcW w:w="1000" w:type="dxa"/>
            <w:vAlign w:val="bottom"/>
            <w:tcBorders>
              <w:bottom w:val="single" w:sz="8" w:color="DADAE7"/>
            </w:tcBorders>
            <w:vMerge w:val="continue"/>
          </w:tcPr>
          <w:p>
            <w:pPr>
              <w:spacing w:after="0"/>
              <w:rPr>
                <w:sz w:val="18"/>
                <w:szCs w:val="18"/>
                <w:color w:val="auto"/>
              </w:rPr>
            </w:pPr>
          </w:p>
        </w:tc>
        <w:tc>
          <w:tcPr>
            <w:tcW w:w="1020" w:type="dxa"/>
            <w:vAlign w:val="bottom"/>
            <w:tcBorders>
              <w:bottom w:val="single" w:sz="8" w:color="DADAE7"/>
            </w:tcBorders>
            <w:vMerge w:val="continue"/>
          </w:tcPr>
          <w:p>
            <w:pPr>
              <w:spacing w:after="0"/>
              <w:rPr>
                <w:sz w:val="18"/>
                <w:szCs w:val="18"/>
                <w:color w:val="auto"/>
              </w:rPr>
            </w:pPr>
          </w:p>
        </w:tc>
        <w:tc>
          <w:tcPr>
            <w:tcW w:w="1000" w:type="dxa"/>
            <w:vAlign w:val="bottom"/>
            <w:tcBorders>
              <w:bottom w:val="single" w:sz="8" w:color="DADAE7"/>
            </w:tcBorders>
            <w:vMerge w:val="continue"/>
          </w:tcPr>
          <w:p>
            <w:pPr>
              <w:spacing w:after="0"/>
              <w:rPr>
                <w:sz w:val="18"/>
                <w:szCs w:val="18"/>
                <w:color w:val="auto"/>
              </w:rPr>
            </w:pPr>
          </w:p>
        </w:tc>
        <w:tc>
          <w:tcPr>
            <w:tcW w:w="1020" w:type="dxa"/>
            <w:vAlign w:val="bottom"/>
            <w:tcBorders>
              <w:bottom w:val="single" w:sz="8" w:color="DADAE7"/>
            </w:tcBorders>
            <w:vMerge w:val="continue"/>
          </w:tcPr>
          <w:p>
            <w:pPr>
              <w:spacing w:after="0"/>
              <w:rPr>
                <w:sz w:val="18"/>
                <w:szCs w:val="18"/>
                <w:color w:val="auto"/>
              </w:rPr>
            </w:pPr>
          </w:p>
        </w:tc>
        <w:tc>
          <w:tcPr>
            <w:tcW w:w="1020" w:type="dxa"/>
            <w:vAlign w:val="bottom"/>
            <w:tcBorders>
              <w:bottom w:val="single" w:sz="8" w:color="DADAE7"/>
            </w:tcBorders>
            <w:vMerge w:val="continue"/>
          </w:tcPr>
          <w:p>
            <w:pPr>
              <w:spacing w:after="0"/>
              <w:rPr>
                <w:sz w:val="18"/>
                <w:szCs w:val="18"/>
                <w:color w:val="auto"/>
              </w:rPr>
            </w:pPr>
          </w:p>
        </w:tc>
        <w:tc>
          <w:tcPr>
            <w:tcW w:w="1000" w:type="dxa"/>
            <w:vAlign w:val="bottom"/>
            <w:tcBorders>
              <w:bottom w:val="single" w:sz="8" w:color="DADAE7"/>
            </w:tcBorders>
            <w:vMerge w:val="continue"/>
          </w:tcPr>
          <w:p>
            <w:pPr>
              <w:spacing w:after="0"/>
              <w:rPr>
                <w:sz w:val="18"/>
                <w:szCs w:val="18"/>
                <w:color w:val="auto"/>
              </w:rPr>
            </w:pPr>
          </w:p>
        </w:tc>
        <w:tc>
          <w:tcPr>
            <w:tcW w:w="40" w:type="dxa"/>
            <w:vAlign w:val="bottom"/>
            <w:tcBorders>
              <w:bottom w:val="single" w:sz="8" w:color="DADAE7"/>
            </w:tcBorders>
          </w:tcPr>
          <w:p>
            <w:pPr>
              <w:spacing w:after="0"/>
              <w:rPr>
                <w:sz w:val="18"/>
                <w:szCs w:val="18"/>
                <w:color w:val="auto"/>
              </w:rPr>
            </w:pPr>
          </w:p>
        </w:tc>
        <w:tc>
          <w:tcPr>
            <w:tcW w:w="960" w:type="dxa"/>
            <w:vAlign w:val="bottom"/>
            <w:tcBorders>
              <w:bottom w:val="single" w:sz="8" w:color="DADAE7"/>
            </w:tcBorders>
            <w:vMerge w:val="continue"/>
          </w:tcPr>
          <w:p>
            <w:pPr>
              <w:spacing w:after="0"/>
              <w:rPr>
                <w:sz w:val="18"/>
                <w:szCs w:val="18"/>
                <w:color w:val="auto"/>
              </w:rPr>
            </w:pPr>
          </w:p>
        </w:tc>
        <w:tc>
          <w:tcPr>
            <w:tcW w:w="2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60" w:type="dxa"/>
            <w:vAlign w:val="bottom"/>
            <w:tcBorders>
              <w:left w:val="single" w:sz="8" w:color="B6B6B6"/>
            </w:tcBorders>
          </w:tcPr>
          <w:p>
            <w:pPr>
              <w:ind w:left="40"/>
              <w:spacing w:after="0"/>
              <w:rPr>
                <w:sz w:val="20"/>
                <w:szCs w:val="20"/>
                <w:color w:val="auto"/>
              </w:rPr>
            </w:pPr>
            <w:r>
              <w:rPr>
                <w:rFonts w:ascii="Arial" w:cs="Arial" w:eastAsia="Arial" w:hAnsi="Arial"/>
                <w:sz w:val="15"/>
                <w:szCs w:val="15"/>
                <w:color w:val="auto"/>
              </w:rPr>
              <w:t>Deferred tax on revaluation of investments in equity</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2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2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(0.3)</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(0.3)</w:t>
            </w:r>
          </w:p>
        </w:tc>
        <w:tc>
          <w:tcPr>
            <w:tcW w:w="2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60" w:type="dxa"/>
            <w:vAlign w:val="bottom"/>
            <w:tcBorders>
              <w:left w:val="single" w:sz="8" w:color="B6B6B6"/>
              <w:bottom w:val="single" w:sz="8" w:color="DADAE7"/>
            </w:tcBorders>
          </w:tcPr>
          <w:p>
            <w:pPr>
              <w:ind w:left="40"/>
              <w:spacing w:after="0"/>
              <w:rPr>
                <w:sz w:val="20"/>
                <w:szCs w:val="20"/>
                <w:color w:val="auto"/>
              </w:rPr>
            </w:pPr>
            <w:r>
              <w:rPr>
                <w:rFonts w:ascii="Arial" w:cs="Arial" w:eastAsia="Arial" w:hAnsi="Arial"/>
                <w:sz w:val="15"/>
                <w:szCs w:val="15"/>
                <w:color w:val="auto"/>
              </w:rPr>
              <w:t>instruments designated at FVTOCI</w:t>
            </w:r>
          </w:p>
        </w:tc>
        <w:tc>
          <w:tcPr>
            <w:tcW w:w="1000" w:type="dxa"/>
            <w:vAlign w:val="bottom"/>
            <w:tcBorders>
              <w:bottom w:val="single" w:sz="8" w:color="DADAE7"/>
            </w:tcBorders>
            <w:vMerge w:val="continue"/>
          </w:tcPr>
          <w:p>
            <w:pPr>
              <w:spacing w:after="0"/>
              <w:rPr>
                <w:sz w:val="18"/>
                <w:szCs w:val="18"/>
                <w:color w:val="auto"/>
              </w:rPr>
            </w:pPr>
          </w:p>
        </w:tc>
        <w:tc>
          <w:tcPr>
            <w:tcW w:w="1020" w:type="dxa"/>
            <w:vAlign w:val="bottom"/>
            <w:tcBorders>
              <w:bottom w:val="single" w:sz="8" w:color="DADAE7"/>
            </w:tcBorders>
            <w:vMerge w:val="continue"/>
          </w:tcPr>
          <w:p>
            <w:pPr>
              <w:spacing w:after="0"/>
              <w:rPr>
                <w:sz w:val="18"/>
                <w:szCs w:val="18"/>
                <w:color w:val="auto"/>
              </w:rPr>
            </w:pPr>
          </w:p>
        </w:tc>
        <w:tc>
          <w:tcPr>
            <w:tcW w:w="1000" w:type="dxa"/>
            <w:vAlign w:val="bottom"/>
            <w:tcBorders>
              <w:bottom w:val="single" w:sz="8" w:color="DADAE7"/>
            </w:tcBorders>
            <w:vMerge w:val="continue"/>
          </w:tcPr>
          <w:p>
            <w:pPr>
              <w:spacing w:after="0"/>
              <w:rPr>
                <w:sz w:val="18"/>
                <w:szCs w:val="18"/>
                <w:color w:val="auto"/>
              </w:rPr>
            </w:pPr>
          </w:p>
        </w:tc>
        <w:tc>
          <w:tcPr>
            <w:tcW w:w="1020" w:type="dxa"/>
            <w:vAlign w:val="bottom"/>
            <w:tcBorders>
              <w:bottom w:val="single" w:sz="8" w:color="DADAE7"/>
            </w:tcBorders>
            <w:vMerge w:val="continue"/>
          </w:tcPr>
          <w:p>
            <w:pPr>
              <w:spacing w:after="0"/>
              <w:rPr>
                <w:sz w:val="18"/>
                <w:szCs w:val="18"/>
                <w:color w:val="auto"/>
              </w:rPr>
            </w:pPr>
          </w:p>
        </w:tc>
        <w:tc>
          <w:tcPr>
            <w:tcW w:w="1020" w:type="dxa"/>
            <w:vAlign w:val="bottom"/>
            <w:tcBorders>
              <w:bottom w:val="single" w:sz="8" w:color="DADAE7"/>
            </w:tcBorders>
            <w:vMerge w:val="continue"/>
          </w:tcPr>
          <w:p>
            <w:pPr>
              <w:spacing w:after="0"/>
              <w:rPr>
                <w:sz w:val="18"/>
                <w:szCs w:val="18"/>
                <w:color w:val="auto"/>
              </w:rPr>
            </w:pPr>
          </w:p>
        </w:tc>
        <w:tc>
          <w:tcPr>
            <w:tcW w:w="1040" w:type="dxa"/>
            <w:vAlign w:val="bottom"/>
            <w:tcBorders>
              <w:bottom w:val="single" w:sz="8" w:color="DADAE7"/>
            </w:tcBorders>
            <w:gridSpan w:val="2"/>
            <w:vMerge w:val="continue"/>
          </w:tcPr>
          <w:p>
            <w:pPr>
              <w:spacing w:after="0"/>
              <w:rPr>
                <w:sz w:val="18"/>
                <w:szCs w:val="18"/>
                <w:color w:val="auto"/>
              </w:rPr>
            </w:pPr>
          </w:p>
        </w:tc>
        <w:tc>
          <w:tcPr>
            <w:tcW w:w="960" w:type="dxa"/>
            <w:vAlign w:val="bottom"/>
            <w:tcBorders>
              <w:bottom w:val="single" w:sz="8" w:color="DADAE7"/>
            </w:tcBorders>
            <w:vMerge w:val="continue"/>
          </w:tcPr>
          <w:p>
            <w:pPr>
              <w:spacing w:after="0"/>
              <w:rPr>
                <w:sz w:val="18"/>
                <w:szCs w:val="18"/>
                <w:color w:val="auto"/>
              </w:rPr>
            </w:pPr>
          </w:p>
        </w:tc>
        <w:tc>
          <w:tcPr>
            <w:tcW w:w="2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left w:val="single" w:sz="8" w:color="B6B6B6"/>
            </w:tcBorders>
          </w:tcPr>
          <w:p>
            <w:pPr>
              <w:ind w:left="40"/>
              <w:spacing w:after="0"/>
              <w:rPr>
                <w:sz w:val="20"/>
                <w:szCs w:val="20"/>
                <w:color w:val="auto"/>
              </w:rPr>
            </w:pPr>
            <w:r>
              <w:rPr>
                <w:rFonts w:ascii="Arial" w:cs="Arial" w:eastAsia="Arial" w:hAnsi="Arial"/>
                <w:sz w:val="15"/>
                <w:szCs w:val="15"/>
                <w:color w:val="auto"/>
              </w:rPr>
              <w:t>Deferred tax on share-based payments</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2.5</w:t>
            </w: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2.5</w:t>
            </w:r>
          </w:p>
        </w:tc>
        <w:tc>
          <w:tcPr>
            <w:tcW w:w="2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60" w:type="dxa"/>
            <w:vAlign w:val="bottom"/>
            <w:tcBorders>
              <w:left w:val="single" w:sz="8" w:color="B6B6B6"/>
              <w:bottom w:val="single" w:sz="8" w:color="DADAE7"/>
            </w:tcBorders>
          </w:tcPr>
          <w:p>
            <w:pPr>
              <w:spacing w:after="0"/>
              <w:rPr>
                <w:sz w:val="2"/>
                <w:szCs w:val="2"/>
                <w:color w:val="auto"/>
              </w:rPr>
            </w:pPr>
          </w:p>
        </w:tc>
        <w:tc>
          <w:tcPr>
            <w:tcW w:w="100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0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00" w:type="dxa"/>
            <w:vAlign w:val="bottom"/>
            <w:tcBorders>
              <w:bottom w:val="single" w:sz="8" w:color="DADAE7"/>
            </w:tcBorders>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960" w:type="dxa"/>
            <w:vAlign w:val="bottom"/>
            <w:tcBorders>
              <w:bottom w:val="single" w:sz="8" w:color="DADAE7"/>
            </w:tcBorders>
          </w:tcPr>
          <w:p>
            <w:pPr>
              <w:spacing w:after="0"/>
              <w:rPr>
                <w:sz w:val="2"/>
                <w:szCs w:val="2"/>
                <w:color w:val="auto"/>
              </w:rPr>
            </w:pPr>
          </w:p>
        </w:tc>
        <w:tc>
          <w:tcPr>
            <w:tcW w:w="20" w:type="dxa"/>
            <w:vAlign w:val="bottom"/>
            <w:tcBorders>
              <w:bottom w:val="single" w:sz="8" w:color="B6B6B6"/>
            </w:tcBorders>
            <w:shd w:val="clear" w:color="auto" w:fill="B6B6B6"/>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60" w:type="dxa"/>
            <w:vAlign w:val="bottom"/>
            <w:tcBorders>
              <w:left w:val="single" w:sz="8" w:color="B6B6B6"/>
            </w:tcBorders>
          </w:tcPr>
          <w:p>
            <w:pPr>
              <w:ind w:left="40"/>
              <w:spacing w:after="0"/>
              <w:rPr>
                <w:sz w:val="20"/>
                <w:szCs w:val="20"/>
                <w:color w:val="auto"/>
              </w:rPr>
            </w:pPr>
            <w:r>
              <w:rPr>
                <w:rFonts w:ascii="Arial" w:cs="Arial" w:eastAsia="Arial" w:hAnsi="Arial"/>
                <w:sz w:val="15"/>
                <w:szCs w:val="15"/>
                <w:color w:val="auto"/>
              </w:rPr>
              <w:t>Current tax on share-based payments</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0.9</w:t>
            </w:r>
          </w:p>
        </w:tc>
        <w:tc>
          <w:tcPr>
            <w:tcW w:w="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0.9</w:t>
            </w:r>
          </w:p>
        </w:tc>
        <w:tc>
          <w:tcPr>
            <w:tcW w:w="2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160" w:type="dxa"/>
            <w:vAlign w:val="bottom"/>
            <w:tcBorders>
              <w:left w:val="single" w:sz="8" w:color="B6B6B6"/>
              <w:bottom w:val="single" w:sz="8" w:color="DADAE7"/>
            </w:tcBorders>
          </w:tcPr>
          <w:p>
            <w:pPr>
              <w:spacing w:after="0"/>
              <w:rPr>
                <w:sz w:val="2"/>
                <w:szCs w:val="2"/>
                <w:color w:val="auto"/>
              </w:rPr>
            </w:pPr>
          </w:p>
        </w:tc>
        <w:tc>
          <w:tcPr>
            <w:tcW w:w="100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0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40" w:type="dxa"/>
            <w:vAlign w:val="bottom"/>
            <w:tcBorders>
              <w:bottom w:val="single" w:sz="8" w:color="DADAE7"/>
            </w:tcBorders>
            <w:gridSpan w:val="2"/>
          </w:tcPr>
          <w:p>
            <w:pPr>
              <w:spacing w:after="0"/>
              <w:rPr>
                <w:sz w:val="2"/>
                <w:szCs w:val="2"/>
                <w:color w:val="auto"/>
              </w:rPr>
            </w:pPr>
          </w:p>
        </w:tc>
        <w:tc>
          <w:tcPr>
            <w:tcW w:w="960" w:type="dxa"/>
            <w:vAlign w:val="bottom"/>
            <w:tcBorders>
              <w:bottom w:val="single" w:sz="8" w:color="DADAE7"/>
            </w:tcBorders>
          </w:tcPr>
          <w:p>
            <w:pPr>
              <w:spacing w:after="0"/>
              <w:rPr>
                <w:sz w:val="2"/>
                <w:szCs w:val="2"/>
                <w:color w:val="auto"/>
              </w:rPr>
            </w:pPr>
          </w:p>
        </w:tc>
        <w:tc>
          <w:tcPr>
            <w:tcW w:w="20" w:type="dxa"/>
            <w:vAlign w:val="bottom"/>
            <w:tcBorders>
              <w:bottom w:val="single" w:sz="8" w:color="B6B6B6"/>
            </w:tcBorders>
            <w:shd w:val="clear" w:color="auto" w:fill="B6B6B6"/>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160" w:type="dxa"/>
            <w:vAlign w:val="bottom"/>
            <w:tcBorders>
              <w:left w:val="single" w:sz="8" w:color="B6B6B6"/>
            </w:tcBorders>
          </w:tcPr>
          <w:p>
            <w:pPr>
              <w:ind w:left="40"/>
              <w:spacing w:after="0"/>
              <w:rPr>
                <w:sz w:val="20"/>
                <w:szCs w:val="20"/>
                <w:color w:val="auto"/>
              </w:rPr>
            </w:pPr>
            <w:r>
              <w:rPr>
                <w:rFonts w:ascii="Arial" w:cs="Arial" w:eastAsia="Arial" w:hAnsi="Arial"/>
                <w:sz w:val="15"/>
                <w:szCs w:val="15"/>
                <w:color w:val="auto"/>
              </w:rPr>
              <w:t>Currency translation adjustments</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5"/>
                <w:szCs w:val="15"/>
                <w:color w:val="auto"/>
              </w:rPr>
              <w:t>(1.4)</w:t>
            </w:r>
          </w:p>
        </w:tc>
        <w:tc>
          <w:tcPr>
            <w:tcW w:w="960" w:type="dxa"/>
            <w:vAlign w:val="bottom"/>
          </w:tcPr>
          <w:p>
            <w:pPr>
              <w:jc w:val="right"/>
              <w:spacing w:after="0"/>
              <w:rPr>
                <w:sz w:val="20"/>
                <w:szCs w:val="20"/>
                <w:color w:val="auto"/>
              </w:rPr>
            </w:pPr>
            <w:r>
              <w:rPr>
                <w:rFonts w:ascii="Arial" w:cs="Arial" w:eastAsia="Arial" w:hAnsi="Arial"/>
                <w:sz w:val="15"/>
                <w:szCs w:val="15"/>
                <w:color w:val="auto"/>
              </w:rPr>
              <w:t>(1.4)</w:t>
            </w:r>
          </w:p>
        </w:tc>
        <w:tc>
          <w:tcPr>
            <w:tcW w:w="2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160" w:type="dxa"/>
            <w:vAlign w:val="bottom"/>
            <w:tcBorders>
              <w:left w:val="single" w:sz="8" w:color="B6B6B6"/>
              <w:bottom w:val="single" w:sz="8" w:color="B6B6B6"/>
            </w:tcBorders>
          </w:tcPr>
          <w:p>
            <w:pPr>
              <w:spacing w:after="0"/>
              <w:rPr>
                <w:sz w:val="2"/>
                <w:szCs w:val="2"/>
                <w:color w:val="auto"/>
              </w:rPr>
            </w:pPr>
          </w:p>
        </w:tc>
        <w:tc>
          <w:tcPr>
            <w:tcW w:w="1000" w:type="dxa"/>
            <w:vAlign w:val="bottom"/>
            <w:tcBorders>
              <w:bottom w:val="single" w:sz="8" w:color="B6B6B6"/>
            </w:tcBorders>
          </w:tcPr>
          <w:p>
            <w:pPr>
              <w:spacing w:after="0"/>
              <w:rPr>
                <w:sz w:val="2"/>
                <w:szCs w:val="2"/>
                <w:color w:val="auto"/>
              </w:rPr>
            </w:pPr>
          </w:p>
        </w:tc>
        <w:tc>
          <w:tcPr>
            <w:tcW w:w="1020" w:type="dxa"/>
            <w:vAlign w:val="bottom"/>
            <w:tcBorders>
              <w:bottom w:val="single" w:sz="8" w:color="B6B6B6"/>
            </w:tcBorders>
          </w:tcPr>
          <w:p>
            <w:pPr>
              <w:spacing w:after="0"/>
              <w:rPr>
                <w:sz w:val="2"/>
                <w:szCs w:val="2"/>
                <w:color w:val="auto"/>
              </w:rPr>
            </w:pPr>
          </w:p>
        </w:tc>
        <w:tc>
          <w:tcPr>
            <w:tcW w:w="1000" w:type="dxa"/>
            <w:vAlign w:val="bottom"/>
            <w:tcBorders>
              <w:bottom w:val="single" w:sz="8" w:color="B6B6B6"/>
            </w:tcBorders>
          </w:tcPr>
          <w:p>
            <w:pPr>
              <w:spacing w:after="0"/>
              <w:rPr>
                <w:sz w:val="2"/>
                <w:szCs w:val="2"/>
                <w:color w:val="auto"/>
              </w:rPr>
            </w:pPr>
          </w:p>
        </w:tc>
        <w:tc>
          <w:tcPr>
            <w:tcW w:w="1020" w:type="dxa"/>
            <w:vAlign w:val="bottom"/>
            <w:tcBorders>
              <w:bottom w:val="single" w:sz="8" w:color="B6B6B6"/>
            </w:tcBorders>
          </w:tcPr>
          <w:p>
            <w:pPr>
              <w:spacing w:after="0"/>
              <w:rPr>
                <w:sz w:val="2"/>
                <w:szCs w:val="2"/>
                <w:color w:val="auto"/>
              </w:rPr>
            </w:pPr>
          </w:p>
        </w:tc>
        <w:tc>
          <w:tcPr>
            <w:tcW w:w="1020" w:type="dxa"/>
            <w:vAlign w:val="bottom"/>
            <w:tcBorders>
              <w:bottom w:val="single" w:sz="8" w:color="B6B6B6"/>
            </w:tcBorders>
          </w:tcPr>
          <w:p>
            <w:pPr>
              <w:spacing w:after="0"/>
              <w:rPr>
                <w:sz w:val="2"/>
                <w:szCs w:val="2"/>
                <w:color w:val="auto"/>
              </w:rPr>
            </w:pPr>
          </w:p>
        </w:tc>
        <w:tc>
          <w:tcPr>
            <w:tcW w:w="1040" w:type="dxa"/>
            <w:vAlign w:val="bottom"/>
            <w:tcBorders>
              <w:bottom w:val="single" w:sz="8" w:color="B6B6B6"/>
            </w:tcBorders>
            <w:gridSpan w:val="2"/>
          </w:tcPr>
          <w:p>
            <w:pPr>
              <w:spacing w:after="0"/>
              <w:rPr>
                <w:sz w:val="2"/>
                <w:szCs w:val="2"/>
                <w:color w:val="auto"/>
              </w:rPr>
            </w:pPr>
          </w:p>
        </w:tc>
        <w:tc>
          <w:tcPr>
            <w:tcW w:w="960" w:type="dxa"/>
            <w:vAlign w:val="bottom"/>
            <w:tcBorders>
              <w:bottom w:val="single" w:sz="8" w:color="B6B6B6"/>
            </w:tcBorders>
          </w:tcPr>
          <w:p>
            <w:pPr>
              <w:spacing w:after="0"/>
              <w:rPr>
                <w:sz w:val="2"/>
                <w:szCs w:val="2"/>
                <w:color w:val="auto"/>
              </w:rPr>
            </w:pPr>
          </w:p>
        </w:tc>
        <w:tc>
          <w:tcPr>
            <w:tcW w:w="20" w:type="dxa"/>
            <w:vAlign w:val="bottom"/>
            <w:tcBorders>
              <w:bottom w:val="single" w:sz="8" w:color="B6B6B6"/>
            </w:tcBorders>
            <w:shd w:val="clear" w:color="auto" w:fill="B6B6B6"/>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20"/>
              <w:spacing w:after="0"/>
              <w:rPr>
                <w:sz w:val="20"/>
                <w:szCs w:val="20"/>
                <w:color w:val="auto"/>
              </w:rPr>
            </w:pPr>
            <w:r>
              <w:rPr>
                <w:rFonts w:ascii="Arial" w:cs="Arial" w:eastAsia="Arial" w:hAnsi="Arial"/>
                <w:sz w:val="15"/>
                <w:szCs w:val="15"/>
                <w:i w:val="1"/>
                <w:iCs w:val="1"/>
                <w:color w:val="auto"/>
              </w:rPr>
              <w:t>Total comprehensive income for the period</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6.6</w:t>
            </w:r>
          </w:p>
        </w:tc>
        <w:tc>
          <w:tcPr>
            <w:tcW w:w="1020" w:type="dxa"/>
            <w:vAlign w:val="bottom"/>
          </w:tcPr>
          <w:p>
            <w:pPr>
              <w:jc w:val="right"/>
              <w:spacing w:after="0"/>
              <w:rPr>
                <w:sz w:val="20"/>
                <w:szCs w:val="20"/>
                <w:color w:val="auto"/>
              </w:rPr>
            </w:pPr>
            <w:r>
              <w:rPr>
                <w:rFonts w:ascii="Arial" w:cs="Arial" w:eastAsia="Arial" w:hAnsi="Arial"/>
                <w:sz w:val="15"/>
                <w:szCs w:val="15"/>
                <w:color w:val="auto"/>
              </w:rPr>
              <w:t>96.3</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5"/>
                <w:szCs w:val="15"/>
                <w:color w:val="auto"/>
              </w:rPr>
              <w:t>(4.0)</w:t>
            </w:r>
          </w:p>
        </w:tc>
        <w:tc>
          <w:tcPr>
            <w:tcW w:w="960" w:type="dxa"/>
            <w:vAlign w:val="bottom"/>
          </w:tcPr>
          <w:p>
            <w:pPr>
              <w:jc w:val="right"/>
              <w:spacing w:after="0"/>
              <w:rPr>
                <w:sz w:val="20"/>
                <w:szCs w:val="20"/>
                <w:color w:val="auto"/>
              </w:rPr>
            </w:pPr>
            <w:r>
              <w:rPr>
                <w:rFonts w:ascii="Arial" w:cs="Arial" w:eastAsia="Arial" w:hAnsi="Arial"/>
                <w:sz w:val="15"/>
                <w:szCs w:val="15"/>
                <w:color w:val="auto"/>
              </w:rPr>
              <w:t>98.9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DADAE7"/>
            </w:tcBorders>
          </w:tcPr>
          <w:p>
            <w:pPr>
              <w:spacing w:after="0"/>
              <w:rPr>
                <w:sz w:val="2"/>
                <w:szCs w:val="2"/>
                <w:color w:val="auto"/>
              </w:rPr>
            </w:pPr>
          </w:p>
        </w:tc>
        <w:tc>
          <w:tcPr>
            <w:tcW w:w="100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0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40" w:type="dxa"/>
            <w:vAlign w:val="bottom"/>
            <w:tcBorders>
              <w:bottom w:val="single" w:sz="8" w:color="DADAE7"/>
            </w:tcBorders>
            <w:gridSpan w:val="2"/>
          </w:tcPr>
          <w:p>
            <w:pPr>
              <w:spacing w:after="0"/>
              <w:rPr>
                <w:sz w:val="2"/>
                <w:szCs w:val="2"/>
                <w:color w:val="auto"/>
              </w:rPr>
            </w:pPr>
          </w:p>
        </w:tc>
        <w:tc>
          <w:tcPr>
            <w:tcW w:w="960" w:type="dxa"/>
            <w:vAlign w:val="bottom"/>
            <w:tcBorders>
              <w:bottom w:val="single" w:sz="8" w:color="DADAE7"/>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60" w:type="dxa"/>
            <w:vAlign w:val="bottom"/>
          </w:tcPr>
          <w:p>
            <w:pPr>
              <w:ind w:left="20"/>
              <w:spacing w:after="0"/>
              <w:rPr>
                <w:sz w:val="20"/>
                <w:szCs w:val="20"/>
                <w:color w:val="auto"/>
              </w:rPr>
            </w:pPr>
            <w:r>
              <w:rPr>
                <w:rFonts w:ascii="Arial" w:cs="Arial" w:eastAsia="Arial" w:hAnsi="Arial"/>
                <w:sz w:val="15"/>
                <w:szCs w:val="15"/>
                <w:color w:val="auto"/>
              </w:rPr>
              <w:t>AT1 securities dividends paid</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(6.6)</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DADAE7"/>
            </w:tcBorders>
          </w:tcPr>
          <w:p>
            <w:pPr>
              <w:spacing w:after="0"/>
              <w:rPr>
                <w:sz w:val="2"/>
                <w:szCs w:val="2"/>
                <w:color w:val="auto"/>
              </w:rPr>
            </w:pPr>
          </w:p>
        </w:tc>
        <w:tc>
          <w:tcPr>
            <w:tcW w:w="100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0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40" w:type="dxa"/>
            <w:vAlign w:val="bottom"/>
            <w:tcBorders>
              <w:bottom w:val="single" w:sz="8" w:color="DADAE7"/>
            </w:tcBorders>
            <w:gridSpan w:val="2"/>
          </w:tcPr>
          <w:p>
            <w:pPr>
              <w:spacing w:after="0"/>
              <w:rPr>
                <w:sz w:val="2"/>
                <w:szCs w:val="2"/>
                <w:color w:val="auto"/>
              </w:rPr>
            </w:pPr>
          </w:p>
        </w:tc>
        <w:tc>
          <w:tcPr>
            <w:tcW w:w="960" w:type="dxa"/>
            <w:vAlign w:val="bottom"/>
            <w:tcBorders>
              <w:bottom w:val="single" w:sz="8" w:color="DADAE7"/>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20"/>
              <w:spacing w:after="0"/>
              <w:rPr>
                <w:sz w:val="20"/>
                <w:szCs w:val="20"/>
                <w:color w:val="auto"/>
              </w:rPr>
            </w:pPr>
            <w:r>
              <w:rPr>
                <w:rFonts w:ascii="Arial" w:cs="Arial" w:eastAsia="Arial" w:hAnsi="Arial"/>
                <w:sz w:val="15"/>
                <w:szCs w:val="15"/>
                <w:color w:val="auto"/>
              </w:rPr>
              <w:t>Ordinary dividends paid</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(44.1)</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(44.1)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DADAE7"/>
            </w:tcBorders>
          </w:tcPr>
          <w:p>
            <w:pPr>
              <w:spacing w:after="0"/>
              <w:rPr>
                <w:sz w:val="2"/>
                <w:szCs w:val="2"/>
                <w:color w:val="auto"/>
              </w:rPr>
            </w:pPr>
          </w:p>
        </w:tc>
        <w:tc>
          <w:tcPr>
            <w:tcW w:w="100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0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40" w:type="dxa"/>
            <w:vAlign w:val="bottom"/>
            <w:tcBorders>
              <w:bottom w:val="single" w:sz="8" w:color="DADAE7"/>
            </w:tcBorders>
            <w:gridSpan w:val="2"/>
          </w:tcPr>
          <w:p>
            <w:pPr>
              <w:spacing w:after="0"/>
              <w:rPr>
                <w:sz w:val="2"/>
                <w:szCs w:val="2"/>
                <w:color w:val="auto"/>
              </w:rPr>
            </w:pPr>
          </w:p>
        </w:tc>
        <w:tc>
          <w:tcPr>
            <w:tcW w:w="960" w:type="dxa"/>
            <w:vAlign w:val="bottom"/>
            <w:tcBorders>
              <w:bottom w:val="single" w:sz="8" w:color="DADAE7"/>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20"/>
              <w:spacing w:after="0"/>
              <w:rPr>
                <w:sz w:val="20"/>
                <w:szCs w:val="20"/>
                <w:color w:val="auto"/>
              </w:rPr>
            </w:pPr>
            <w:r>
              <w:rPr>
                <w:rFonts w:ascii="Arial" w:cs="Arial" w:eastAsia="Arial" w:hAnsi="Arial"/>
                <w:sz w:val="15"/>
                <w:szCs w:val="15"/>
                <w:color w:val="auto"/>
              </w:rPr>
              <w:t>Share premium</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68.3</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68.3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DADAE7"/>
            </w:tcBorders>
          </w:tcPr>
          <w:p>
            <w:pPr>
              <w:spacing w:after="0"/>
              <w:rPr>
                <w:sz w:val="2"/>
                <w:szCs w:val="2"/>
                <w:color w:val="auto"/>
              </w:rPr>
            </w:pPr>
          </w:p>
        </w:tc>
        <w:tc>
          <w:tcPr>
            <w:tcW w:w="100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0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40" w:type="dxa"/>
            <w:vAlign w:val="bottom"/>
            <w:tcBorders>
              <w:bottom w:val="single" w:sz="8" w:color="DADAE7"/>
            </w:tcBorders>
            <w:gridSpan w:val="2"/>
          </w:tcPr>
          <w:p>
            <w:pPr>
              <w:spacing w:after="0"/>
              <w:rPr>
                <w:sz w:val="2"/>
                <w:szCs w:val="2"/>
                <w:color w:val="auto"/>
              </w:rPr>
            </w:pPr>
          </w:p>
        </w:tc>
        <w:tc>
          <w:tcPr>
            <w:tcW w:w="960" w:type="dxa"/>
            <w:vAlign w:val="bottom"/>
            <w:tcBorders>
              <w:bottom w:val="single" w:sz="8" w:color="DADAE7"/>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60" w:type="dxa"/>
            <w:vAlign w:val="bottom"/>
          </w:tcPr>
          <w:p>
            <w:pPr>
              <w:ind w:left="20"/>
              <w:spacing w:after="0"/>
              <w:rPr>
                <w:sz w:val="20"/>
                <w:szCs w:val="20"/>
                <w:color w:val="auto"/>
              </w:rPr>
            </w:pPr>
            <w:r>
              <w:rPr>
                <w:rFonts w:ascii="Arial" w:cs="Arial" w:eastAsia="Arial" w:hAnsi="Arial"/>
                <w:sz w:val="15"/>
                <w:szCs w:val="15"/>
                <w:color w:val="auto"/>
              </w:rPr>
              <w:t>Repurchase of own shares</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(19.8)</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DADAE7"/>
            </w:tcBorders>
          </w:tcPr>
          <w:p>
            <w:pPr>
              <w:spacing w:after="0"/>
              <w:rPr>
                <w:sz w:val="2"/>
                <w:szCs w:val="2"/>
                <w:color w:val="auto"/>
              </w:rPr>
            </w:pPr>
          </w:p>
        </w:tc>
        <w:tc>
          <w:tcPr>
            <w:tcW w:w="100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0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00" w:type="dxa"/>
            <w:vAlign w:val="bottom"/>
            <w:tcBorders>
              <w:bottom w:val="single" w:sz="8" w:color="DADAE7"/>
            </w:tcBorders>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960" w:type="dxa"/>
            <w:vAlign w:val="bottom"/>
            <w:tcBorders>
              <w:bottom w:val="single" w:sz="8" w:color="DADAE7"/>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4160" w:type="dxa"/>
            <w:vAlign w:val="bottom"/>
          </w:tcPr>
          <w:p>
            <w:pPr>
              <w:ind w:left="20"/>
              <w:spacing w:after="0"/>
              <w:rPr>
                <w:sz w:val="20"/>
                <w:szCs w:val="20"/>
                <w:color w:val="auto"/>
              </w:rPr>
            </w:pPr>
            <w:r>
              <w:rPr>
                <w:rFonts w:ascii="Arial" w:cs="Arial" w:eastAsia="Arial" w:hAnsi="Arial"/>
                <w:sz w:val="15"/>
                <w:szCs w:val="15"/>
                <w:color w:val="auto"/>
              </w:rPr>
              <w:t>Fair value of the cash settlement option on the growth</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2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2.3</w:t>
            </w:r>
          </w:p>
        </w:tc>
        <w:tc>
          <w:tcPr>
            <w:tcW w:w="102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shares</w:t>
            </w:r>
          </w:p>
        </w:tc>
        <w:tc>
          <w:tcPr>
            <w:tcW w:w="1000" w:type="dxa"/>
            <w:vAlign w:val="bottom"/>
            <w:tcBorders>
              <w:bottom w:val="single" w:sz="8" w:color="DADAE7"/>
            </w:tcBorders>
            <w:vMerge w:val="continue"/>
          </w:tcPr>
          <w:p>
            <w:pPr>
              <w:spacing w:after="0"/>
              <w:rPr>
                <w:sz w:val="18"/>
                <w:szCs w:val="18"/>
                <w:color w:val="auto"/>
              </w:rPr>
            </w:pPr>
          </w:p>
        </w:tc>
        <w:tc>
          <w:tcPr>
            <w:tcW w:w="1020" w:type="dxa"/>
            <w:vAlign w:val="bottom"/>
            <w:tcBorders>
              <w:bottom w:val="single" w:sz="8" w:color="DADAE7"/>
            </w:tcBorders>
            <w:vMerge w:val="continue"/>
          </w:tcPr>
          <w:p>
            <w:pPr>
              <w:spacing w:after="0"/>
              <w:rPr>
                <w:sz w:val="18"/>
                <w:szCs w:val="18"/>
                <w:color w:val="auto"/>
              </w:rPr>
            </w:pPr>
          </w:p>
        </w:tc>
        <w:tc>
          <w:tcPr>
            <w:tcW w:w="1000" w:type="dxa"/>
            <w:vAlign w:val="bottom"/>
            <w:tcBorders>
              <w:bottom w:val="single" w:sz="8" w:color="DADAE7"/>
            </w:tcBorders>
            <w:vMerge w:val="continue"/>
          </w:tcPr>
          <w:p>
            <w:pPr>
              <w:spacing w:after="0"/>
              <w:rPr>
                <w:sz w:val="18"/>
                <w:szCs w:val="18"/>
                <w:color w:val="auto"/>
              </w:rPr>
            </w:pPr>
          </w:p>
        </w:tc>
        <w:tc>
          <w:tcPr>
            <w:tcW w:w="1020" w:type="dxa"/>
            <w:vAlign w:val="bottom"/>
            <w:tcBorders>
              <w:bottom w:val="single" w:sz="8" w:color="DADAE7"/>
            </w:tcBorders>
            <w:vMerge w:val="continue"/>
          </w:tcPr>
          <w:p>
            <w:pPr>
              <w:spacing w:after="0"/>
              <w:rPr>
                <w:sz w:val="18"/>
                <w:szCs w:val="18"/>
                <w:color w:val="auto"/>
              </w:rPr>
            </w:pPr>
          </w:p>
        </w:tc>
        <w:tc>
          <w:tcPr>
            <w:tcW w:w="1020" w:type="dxa"/>
            <w:vAlign w:val="bottom"/>
            <w:tcBorders>
              <w:bottom w:val="single" w:sz="8" w:color="DADAE7"/>
            </w:tcBorders>
            <w:vMerge w:val="continue"/>
          </w:tcPr>
          <w:p>
            <w:pPr>
              <w:spacing w:after="0"/>
              <w:rPr>
                <w:sz w:val="18"/>
                <w:szCs w:val="18"/>
                <w:color w:val="auto"/>
              </w:rPr>
            </w:pPr>
          </w:p>
        </w:tc>
        <w:tc>
          <w:tcPr>
            <w:tcW w:w="1040" w:type="dxa"/>
            <w:vAlign w:val="bottom"/>
            <w:tcBorders>
              <w:bottom w:val="single" w:sz="8" w:color="DADAE7"/>
            </w:tcBorders>
            <w:gridSpan w:val="2"/>
            <w:vMerge w:val="continue"/>
          </w:tcPr>
          <w:p>
            <w:pPr>
              <w:spacing w:after="0"/>
              <w:rPr>
                <w:sz w:val="18"/>
                <w:szCs w:val="18"/>
                <w:color w:val="auto"/>
              </w:rPr>
            </w:pPr>
          </w:p>
        </w:tc>
        <w:tc>
          <w:tcPr>
            <w:tcW w:w="960" w:type="dxa"/>
            <w:vAlign w:val="bottom"/>
            <w:tcBorders>
              <w:bottom w:val="single" w:sz="8" w:color="DADAE7"/>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20"/>
              <w:spacing w:after="0"/>
              <w:rPr>
                <w:sz w:val="20"/>
                <w:szCs w:val="20"/>
                <w:color w:val="auto"/>
              </w:rPr>
            </w:pPr>
            <w:r>
              <w:rPr>
                <w:rFonts w:ascii="Arial" w:cs="Arial" w:eastAsia="Arial" w:hAnsi="Arial"/>
                <w:sz w:val="15"/>
                <w:szCs w:val="15"/>
                <w:color w:val="auto"/>
              </w:rPr>
              <w:t>Share-based payments</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7.4</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DADAE7"/>
            </w:tcBorders>
          </w:tcPr>
          <w:p>
            <w:pPr>
              <w:spacing w:after="0"/>
              <w:rPr>
                <w:sz w:val="2"/>
                <w:szCs w:val="2"/>
                <w:color w:val="auto"/>
              </w:rPr>
            </w:pPr>
          </w:p>
        </w:tc>
        <w:tc>
          <w:tcPr>
            <w:tcW w:w="100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0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40" w:type="dxa"/>
            <w:vAlign w:val="bottom"/>
            <w:tcBorders>
              <w:bottom w:val="single" w:sz="8" w:color="DADAE7"/>
            </w:tcBorders>
            <w:gridSpan w:val="2"/>
          </w:tcPr>
          <w:p>
            <w:pPr>
              <w:spacing w:after="0"/>
              <w:rPr>
                <w:sz w:val="2"/>
                <w:szCs w:val="2"/>
                <w:color w:val="auto"/>
              </w:rPr>
            </w:pPr>
          </w:p>
        </w:tc>
        <w:tc>
          <w:tcPr>
            <w:tcW w:w="960" w:type="dxa"/>
            <w:vAlign w:val="bottom"/>
            <w:tcBorders>
              <w:bottom w:val="single" w:sz="8" w:color="DADAE7"/>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20"/>
              <w:spacing w:after="0"/>
              <w:rPr>
                <w:sz w:val="20"/>
                <w:szCs w:val="20"/>
                <w:color w:val="auto"/>
              </w:rPr>
            </w:pPr>
            <w:r>
              <w:rPr>
                <w:rFonts w:ascii="Arial" w:cs="Arial" w:eastAsia="Arial" w:hAnsi="Arial"/>
                <w:sz w:val="15"/>
                <w:szCs w:val="15"/>
                <w:color w:val="auto"/>
              </w:rPr>
              <w:t>Share settlement of share-based awards</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(6.4)</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6.4</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DADAE7"/>
            </w:tcBorders>
          </w:tcPr>
          <w:p>
            <w:pPr>
              <w:spacing w:after="0"/>
              <w:rPr>
                <w:sz w:val="2"/>
                <w:szCs w:val="2"/>
                <w:color w:val="auto"/>
              </w:rPr>
            </w:pPr>
          </w:p>
        </w:tc>
        <w:tc>
          <w:tcPr>
            <w:tcW w:w="100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0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20" w:type="dxa"/>
            <w:vAlign w:val="bottom"/>
            <w:tcBorders>
              <w:bottom w:val="single" w:sz="8" w:color="DADAE7"/>
            </w:tcBorders>
          </w:tcPr>
          <w:p>
            <w:pPr>
              <w:spacing w:after="0"/>
              <w:rPr>
                <w:sz w:val="2"/>
                <w:szCs w:val="2"/>
                <w:color w:val="auto"/>
              </w:rPr>
            </w:pPr>
          </w:p>
        </w:tc>
        <w:tc>
          <w:tcPr>
            <w:tcW w:w="1040" w:type="dxa"/>
            <w:vAlign w:val="bottom"/>
            <w:tcBorders>
              <w:bottom w:val="single" w:sz="8" w:color="DADAE7"/>
            </w:tcBorders>
            <w:gridSpan w:val="2"/>
          </w:tcPr>
          <w:p>
            <w:pPr>
              <w:spacing w:after="0"/>
              <w:rPr>
                <w:sz w:val="2"/>
                <w:szCs w:val="2"/>
                <w:color w:val="auto"/>
              </w:rPr>
            </w:pPr>
          </w:p>
        </w:tc>
        <w:tc>
          <w:tcPr>
            <w:tcW w:w="960" w:type="dxa"/>
            <w:vAlign w:val="bottom"/>
            <w:tcBorders>
              <w:bottom w:val="single" w:sz="8" w:color="DADAE7"/>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20"/>
              <w:spacing w:after="0"/>
              <w:rPr>
                <w:sz w:val="20"/>
                <w:szCs w:val="20"/>
                <w:color w:val="auto"/>
              </w:rPr>
            </w:pPr>
            <w:r>
              <w:rPr>
                <w:rFonts w:ascii="Arial" w:cs="Arial" w:eastAsia="Arial" w:hAnsi="Arial"/>
                <w:sz w:val="15"/>
                <w:szCs w:val="15"/>
                <w:color w:val="auto"/>
              </w:rPr>
              <w:t>Other movements</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0.4</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5"/>
                <w:szCs w:val="15"/>
                <w:color w:val="auto"/>
              </w:rPr>
              <w:t>(0.4)</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793690"/>
            </w:tcBorders>
          </w:tcPr>
          <w:p>
            <w:pPr>
              <w:spacing w:after="0"/>
              <w:rPr>
                <w:sz w:val="2"/>
                <w:szCs w:val="2"/>
                <w:color w:val="auto"/>
              </w:rPr>
            </w:pPr>
          </w:p>
        </w:tc>
        <w:tc>
          <w:tcPr>
            <w:tcW w:w="1000" w:type="dxa"/>
            <w:vAlign w:val="bottom"/>
            <w:tcBorders>
              <w:bottom w:val="single" w:sz="8" w:color="793690"/>
            </w:tcBorders>
          </w:tcPr>
          <w:p>
            <w:pPr>
              <w:spacing w:after="0"/>
              <w:rPr>
                <w:sz w:val="2"/>
                <w:szCs w:val="2"/>
                <w:color w:val="auto"/>
              </w:rPr>
            </w:pPr>
          </w:p>
        </w:tc>
        <w:tc>
          <w:tcPr>
            <w:tcW w:w="1020" w:type="dxa"/>
            <w:vAlign w:val="bottom"/>
            <w:tcBorders>
              <w:bottom w:val="single" w:sz="8" w:color="793690"/>
            </w:tcBorders>
          </w:tcPr>
          <w:p>
            <w:pPr>
              <w:spacing w:after="0"/>
              <w:rPr>
                <w:sz w:val="2"/>
                <w:szCs w:val="2"/>
                <w:color w:val="auto"/>
              </w:rPr>
            </w:pPr>
          </w:p>
        </w:tc>
        <w:tc>
          <w:tcPr>
            <w:tcW w:w="1000" w:type="dxa"/>
            <w:vAlign w:val="bottom"/>
            <w:tcBorders>
              <w:bottom w:val="single" w:sz="8" w:color="793690"/>
            </w:tcBorders>
          </w:tcPr>
          <w:p>
            <w:pPr>
              <w:spacing w:after="0"/>
              <w:rPr>
                <w:sz w:val="2"/>
                <w:szCs w:val="2"/>
                <w:color w:val="auto"/>
              </w:rPr>
            </w:pPr>
          </w:p>
        </w:tc>
        <w:tc>
          <w:tcPr>
            <w:tcW w:w="1020" w:type="dxa"/>
            <w:vAlign w:val="bottom"/>
            <w:tcBorders>
              <w:bottom w:val="single" w:sz="8" w:color="793690"/>
            </w:tcBorders>
          </w:tcPr>
          <w:p>
            <w:pPr>
              <w:spacing w:after="0"/>
              <w:rPr>
                <w:sz w:val="2"/>
                <w:szCs w:val="2"/>
                <w:color w:val="auto"/>
              </w:rPr>
            </w:pPr>
          </w:p>
        </w:tc>
        <w:tc>
          <w:tcPr>
            <w:tcW w:w="1020" w:type="dxa"/>
            <w:vAlign w:val="bottom"/>
            <w:tcBorders>
              <w:bottom w:val="single" w:sz="8" w:color="793690"/>
            </w:tcBorders>
          </w:tcPr>
          <w:p>
            <w:pPr>
              <w:spacing w:after="0"/>
              <w:rPr>
                <w:sz w:val="2"/>
                <w:szCs w:val="2"/>
                <w:color w:val="auto"/>
              </w:rPr>
            </w:pPr>
          </w:p>
        </w:tc>
        <w:tc>
          <w:tcPr>
            <w:tcW w:w="1040" w:type="dxa"/>
            <w:vAlign w:val="bottom"/>
            <w:tcBorders>
              <w:bottom w:val="single" w:sz="8" w:color="793690"/>
            </w:tcBorders>
            <w:gridSpan w:val="2"/>
          </w:tcPr>
          <w:p>
            <w:pPr>
              <w:spacing w:after="0"/>
              <w:rPr>
                <w:sz w:val="2"/>
                <w:szCs w:val="2"/>
                <w:color w:val="auto"/>
              </w:rPr>
            </w:pPr>
          </w:p>
        </w:tc>
        <w:tc>
          <w:tcPr>
            <w:tcW w:w="960" w:type="dxa"/>
            <w:vAlign w:val="bottom"/>
            <w:tcBorders>
              <w:bottom w:val="single" w:sz="8" w:color="79369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20"/>
              <w:spacing w:after="0"/>
              <w:rPr>
                <w:sz w:val="20"/>
                <w:szCs w:val="20"/>
                <w:color w:val="auto"/>
              </w:rPr>
            </w:pPr>
            <w:r>
              <w:rPr>
                <w:rFonts w:ascii="Arial" w:cs="Arial" w:eastAsia="Arial" w:hAnsi="Arial"/>
                <w:sz w:val="15"/>
                <w:szCs w:val="15"/>
                <w:color w:val="auto"/>
              </w:rPr>
              <w:t>At 30 June 2024</w:t>
            </w:r>
          </w:p>
        </w:tc>
        <w:tc>
          <w:tcPr>
            <w:tcW w:w="1000" w:type="dxa"/>
            <w:vAlign w:val="bottom"/>
          </w:tcPr>
          <w:p>
            <w:pPr>
              <w:jc w:val="right"/>
              <w:spacing w:after="0"/>
              <w:rPr>
                <w:sz w:val="20"/>
                <w:szCs w:val="20"/>
                <w:color w:val="auto"/>
              </w:rPr>
            </w:pPr>
            <w:r>
              <w:rPr>
                <w:rFonts w:ascii="Arial" w:cs="Arial" w:eastAsia="Arial" w:hAnsi="Arial"/>
                <w:sz w:val="15"/>
                <w:szCs w:val="15"/>
                <w:color w:val="auto"/>
              </w:rPr>
              <w:t>0.1</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202.6</w:t>
            </w:r>
          </w:p>
        </w:tc>
        <w:tc>
          <w:tcPr>
            <w:tcW w:w="1000" w:type="dxa"/>
            <w:vAlign w:val="bottom"/>
          </w:tcPr>
          <w:p>
            <w:pPr>
              <w:jc w:val="right"/>
              <w:spacing w:after="0"/>
              <w:rPr>
                <w:sz w:val="20"/>
                <w:szCs w:val="20"/>
                <w:color w:val="auto"/>
              </w:rPr>
            </w:pPr>
            <w:r>
              <w:rPr>
                <w:rFonts w:ascii="Arial" w:cs="Arial" w:eastAsia="Arial" w:hAnsi="Arial"/>
                <w:sz w:val="15"/>
                <w:szCs w:val="15"/>
                <w:color w:val="auto"/>
              </w:rPr>
              <w:t>97.6</w:t>
            </w:r>
          </w:p>
        </w:tc>
        <w:tc>
          <w:tcPr>
            <w:tcW w:w="1020" w:type="dxa"/>
            <w:vAlign w:val="bottom"/>
          </w:tcPr>
          <w:p>
            <w:pPr>
              <w:jc w:val="right"/>
              <w:spacing w:after="0"/>
              <w:rPr>
                <w:sz w:val="20"/>
                <w:szCs w:val="20"/>
                <w:color w:val="auto"/>
              </w:rPr>
            </w:pPr>
            <w:r>
              <w:rPr>
                <w:rFonts w:ascii="Arial" w:cs="Arial" w:eastAsia="Arial" w:hAnsi="Arial"/>
                <w:sz w:val="15"/>
                <w:szCs w:val="15"/>
                <w:color w:val="auto"/>
              </w:rPr>
              <w:t>611.2</w:t>
            </w:r>
          </w:p>
        </w:tc>
        <w:tc>
          <w:tcPr>
            <w:tcW w:w="1020" w:type="dxa"/>
            <w:vAlign w:val="bottom"/>
          </w:tcPr>
          <w:p>
            <w:pPr>
              <w:jc w:val="right"/>
              <w:spacing w:after="0"/>
              <w:rPr>
                <w:sz w:val="20"/>
                <w:szCs w:val="20"/>
                <w:color w:val="auto"/>
              </w:rPr>
            </w:pPr>
            <w:r>
              <w:rPr>
                <w:rFonts w:ascii="Arial" w:cs="Arial" w:eastAsia="Arial" w:hAnsi="Arial"/>
                <w:sz w:val="15"/>
                <w:szCs w:val="15"/>
                <w:color w:val="auto"/>
              </w:rPr>
              <w:t>(23.2)</w:t>
            </w:r>
          </w:p>
        </w:tc>
        <w:tc>
          <w:tcPr>
            <w:tcW w:w="1040" w:type="dxa"/>
            <w:vAlign w:val="bottom"/>
            <w:gridSpan w:val="2"/>
          </w:tcPr>
          <w:p>
            <w:pPr>
              <w:jc w:val="right"/>
              <w:ind w:right="40"/>
              <w:spacing w:after="0"/>
              <w:rPr>
                <w:sz w:val="20"/>
                <w:szCs w:val="20"/>
                <w:color w:val="auto"/>
              </w:rPr>
            </w:pPr>
            <w:r>
              <w:rPr>
                <w:rFonts w:ascii="Arial" w:cs="Arial" w:eastAsia="Arial" w:hAnsi="Arial"/>
                <w:sz w:val="15"/>
                <w:szCs w:val="15"/>
                <w:color w:val="auto"/>
              </w:rPr>
              <w:t>(6.0)</w:t>
            </w:r>
          </w:p>
        </w:tc>
        <w:tc>
          <w:tcPr>
            <w:tcW w:w="960" w:type="dxa"/>
            <w:vAlign w:val="bottom"/>
          </w:tcPr>
          <w:p>
            <w:pPr>
              <w:jc w:val="right"/>
              <w:spacing w:after="0"/>
              <w:rPr>
                <w:sz w:val="20"/>
                <w:szCs w:val="20"/>
                <w:color w:val="auto"/>
              </w:rPr>
            </w:pPr>
            <w:r>
              <w:rPr>
                <w:rFonts w:ascii="Arial" w:cs="Arial" w:eastAsia="Arial" w:hAnsi="Arial"/>
                <w:sz w:val="15"/>
                <w:szCs w:val="15"/>
                <w:color w:val="auto"/>
              </w:rPr>
              <w:t>882.3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793690"/>
            </w:tcBorders>
          </w:tcPr>
          <w:p>
            <w:pPr>
              <w:spacing w:after="0"/>
              <w:rPr>
                <w:sz w:val="2"/>
                <w:szCs w:val="2"/>
                <w:color w:val="auto"/>
              </w:rPr>
            </w:pPr>
          </w:p>
        </w:tc>
        <w:tc>
          <w:tcPr>
            <w:tcW w:w="1000" w:type="dxa"/>
            <w:vAlign w:val="bottom"/>
            <w:tcBorders>
              <w:bottom w:val="single" w:sz="8" w:color="793690"/>
            </w:tcBorders>
          </w:tcPr>
          <w:p>
            <w:pPr>
              <w:spacing w:after="0"/>
              <w:rPr>
                <w:sz w:val="2"/>
                <w:szCs w:val="2"/>
                <w:color w:val="auto"/>
              </w:rPr>
            </w:pPr>
          </w:p>
        </w:tc>
        <w:tc>
          <w:tcPr>
            <w:tcW w:w="1020" w:type="dxa"/>
            <w:vAlign w:val="bottom"/>
            <w:tcBorders>
              <w:bottom w:val="single" w:sz="8" w:color="793690"/>
            </w:tcBorders>
          </w:tcPr>
          <w:p>
            <w:pPr>
              <w:spacing w:after="0"/>
              <w:rPr>
                <w:sz w:val="2"/>
                <w:szCs w:val="2"/>
                <w:color w:val="auto"/>
              </w:rPr>
            </w:pPr>
          </w:p>
        </w:tc>
        <w:tc>
          <w:tcPr>
            <w:tcW w:w="1000" w:type="dxa"/>
            <w:vAlign w:val="bottom"/>
            <w:tcBorders>
              <w:bottom w:val="single" w:sz="8" w:color="793690"/>
            </w:tcBorders>
          </w:tcPr>
          <w:p>
            <w:pPr>
              <w:spacing w:after="0"/>
              <w:rPr>
                <w:sz w:val="2"/>
                <w:szCs w:val="2"/>
                <w:color w:val="auto"/>
              </w:rPr>
            </w:pPr>
          </w:p>
        </w:tc>
        <w:tc>
          <w:tcPr>
            <w:tcW w:w="1020" w:type="dxa"/>
            <w:vAlign w:val="bottom"/>
            <w:tcBorders>
              <w:bottom w:val="single" w:sz="8" w:color="793690"/>
            </w:tcBorders>
          </w:tcPr>
          <w:p>
            <w:pPr>
              <w:spacing w:after="0"/>
              <w:rPr>
                <w:sz w:val="2"/>
                <w:szCs w:val="2"/>
                <w:color w:val="auto"/>
              </w:rPr>
            </w:pPr>
          </w:p>
        </w:tc>
        <w:tc>
          <w:tcPr>
            <w:tcW w:w="1020" w:type="dxa"/>
            <w:vAlign w:val="bottom"/>
            <w:tcBorders>
              <w:bottom w:val="single" w:sz="8" w:color="793690"/>
            </w:tcBorders>
          </w:tcPr>
          <w:p>
            <w:pPr>
              <w:spacing w:after="0"/>
              <w:rPr>
                <w:sz w:val="2"/>
                <w:szCs w:val="2"/>
                <w:color w:val="auto"/>
              </w:rPr>
            </w:pPr>
          </w:p>
        </w:tc>
        <w:tc>
          <w:tcPr>
            <w:tcW w:w="1000" w:type="dxa"/>
            <w:vAlign w:val="bottom"/>
            <w:tcBorders>
              <w:bottom w:val="single" w:sz="8" w:color="793690"/>
            </w:tcBorders>
          </w:tcPr>
          <w:p>
            <w:pPr>
              <w:spacing w:after="0"/>
              <w:rPr>
                <w:sz w:val="2"/>
                <w:szCs w:val="2"/>
                <w:color w:val="auto"/>
              </w:rPr>
            </w:pPr>
          </w:p>
        </w:tc>
        <w:tc>
          <w:tcPr>
            <w:tcW w:w="40" w:type="dxa"/>
            <w:vAlign w:val="bottom"/>
            <w:tcBorders>
              <w:bottom w:val="single" w:sz="8" w:color="793690"/>
            </w:tcBorders>
          </w:tcPr>
          <w:p>
            <w:pPr>
              <w:spacing w:after="0"/>
              <w:rPr>
                <w:sz w:val="2"/>
                <w:szCs w:val="2"/>
                <w:color w:val="auto"/>
              </w:rPr>
            </w:pPr>
          </w:p>
        </w:tc>
        <w:tc>
          <w:tcPr>
            <w:tcW w:w="960" w:type="dxa"/>
            <w:vAlign w:val="bottom"/>
            <w:tcBorders>
              <w:bottom w:val="single" w:sz="8" w:color="79369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160" w:type="dxa"/>
            <w:vAlign w:val="bottom"/>
            <w:tcBorders>
              <w:bottom w:val="single" w:sz="8" w:color="793690"/>
            </w:tcBorders>
          </w:tcPr>
          <w:p>
            <w:pPr>
              <w:spacing w:after="0"/>
              <w:rPr>
                <w:sz w:val="17"/>
                <w:szCs w:val="17"/>
                <w:color w:val="auto"/>
              </w:rPr>
            </w:pPr>
          </w:p>
        </w:tc>
        <w:tc>
          <w:tcPr>
            <w:tcW w:w="1000" w:type="dxa"/>
            <w:vAlign w:val="bottom"/>
            <w:tcBorders>
              <w:bottom w:val="single" w:sz="8" w:color="793690"/>
            </w:tcBorders>
          </w:tcPr>
          <w:p>
            <w:pPr>
              <w:spacing w:after="0"/>
              <w:rPr>
                <w:sz w:val="17"/>
                <w:szCs w:val="17"/>
                <w:color w:val="auto"/>
              </w:rPr>
            </w:pPr>
          </w:p>
        </w:tc>
        <w:tc>
          <w:tcPr>
            <w:tcW w:w="1020" w:type="dxa"/>
            <w:vAlign w:val="bottom"/>
            <w:tcBorders>
              <w:bottom w:val="single" w:sz="8" w:color="793690"/>
            </w:tcBorders>
          </w:tcPr>
          <w:p>
            <w:pPr>
              <w:spacing w:after="0"/>
              <w:rPr>
                <w:sz w:val="17"/>
                <w:szCs w:val="17"/>
                <w:color w:val="auto"/>
              </w:rPr>
            </w:pPr>
          </w:p>
        </w:tc>
        <w:tc>
          <w:tcPr>
            <w:tcW w:w="1000" w:type="dxa"/>
            <w:vAlign w:val="bottom"/>
            <w:tcBorders>
              <w:bottom w:val="single" w:sz="8" w:color="793690"/>
            </w:tcBorders>
          </w:tcPr>
          <w:p>
            <w:pPr>
              <w:spacing w:after="0"/>
              <w:rPr>
                <w:sz w:val="17"/>
                <w:szCs w:val="17"/>
                <w:color w:val="auto"/>
              </w:rPr>
            </w:pPr>
          </w:p>
        </w:tc>
        <w:tc>
          <w:tcPr>
            <w:tcW w:w="1020" w:type="dxa"/>
            <w:vAlign w:val="bottom"/>
            <w:tcBorders>
              <w:bottom w:val="single" w:sz="8" w:color="793690"/>
            </w:tcBorders>
          </w:tcPr>
          <w:p>
            <w:pPr>
              <w:spacing w:after="0"/>
              <w:rPr>
                <w:sz w:val="17"/>
                <w:szCs w:val="17"/>
                <w:color w:val="auto"/>
              </w:rPr>
            </w:pPr>
          </w:p>
        </w:tc>
        <w:tc>
          <w:tcPr>
            <w:tcW w:w="1020" w:type="dxa"/>
            <w:vAlign w:val="bottom"/>
            <w:tcBorders>
              <w:bottom w:val="single" w:sz="8" w:color="793690"/>
            </w:tcBorders>
          </w:tcPr>
          <w:p>
            <w:pPr>
              <w:spacing w:after="0"/>
              <w:rPr>
                <w:sz w:val="17"/>
                <w:szCs w:val="17"/>
                <w:color w:val="auto"/>
              </w:rPr>
            </w:pPr>
          </w:p>
        </w:tc>
        <w:tc>
          <w:tcPr>
            <w:tcW w:w="1000" w:type="dxa"/>
            <w:vAlign w:val="bottom"/>
            <w:tcBorders>
              <w:bottom w:val="single" w:sz="8" w:color="793690"/>
            </w:tcBorders>
          </w:tcPr>
          <w:p>
            <w:pPr>
              <w:spacing w:after="0"/>
              <w:rPr>
                <w:sz w:val="17"/>
                <w:szCs w:val="17"/>
                <w:color w:val="auto"/>
              </w:rPr>
            </w:pPr>
          </w:p>
        </w:tc>
        <w:tc>
          <w:tcPr>
            <w:tcW w:w="40" w:type="dxa"/>
            <w:vAlign w:val="bottom"/>
            <w:tcBorders>
              <w:bottom w:val="single" w:sz="8" w:color="793690"/>
            </w:tcBorders>
          </w:tcPr>
          <w:p>
            <w:pPr>
              <w:spacing w:after="0"/>
              <w:rPr>
                <w:sz w:val="17"/>
                <w:szCs w:val="17"/>
                <w:color w:val="auto"/>
              </w:rPr>
            </w:pPr>
          </w:p>
        </w:tc>
        <w:tc>
          <w:tcPr>
            <w:tcW w:w="960" w:type="dxa"/>
            <w:vAlign w:val="bottom"/>
            <w:tcBorders>
              <w:bottom w:val="single" w:sz="8" w:color="793690"/>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20"/>
              <w:spacing w:after="0"/>
              <w:rPr>
                <w:sz w:val="20"/>
                <w:szCs w:val="20"/>
                <w:color w:val="auto"/>
              </w:rPr>
            </w:pPr>
            <w:r>
              <w:rPr>
                <w:rFonts w:ascii="Arial" w:cs="Arial" w:eastAsia="Arial" w:hAnsi="Arial"/>
                <w:sz w:val="15"/>
                <w:szCs w:val="15"/>
                <w:b w:val="1"/>
                <w:bCs w:val="1"/>
                <w:color w:val="auto"/>
              </w:rPr>
              <w:t>At 1 January 2025</w:t>
            </w:r>
          </w:p>
        </w:tc>
        <w:tc>
          <w:tcPr>
            <w:tcW w:w="100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0.1</w:t>
            </w:r>
          </w:p>
        </w:tc>
        <w:tc>
          <w:tcPr>
            <w:tcW w:w="1020" w:type="dxa"/>
            <w:vAlign w:val="bottom"/>
            <w:tcBorders>
              <w:bottom w:val="single" w:sz="8" w:color="F4EFF6"/>
            </w:tcBorders>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202.6</w:t>
            </w:r>
          </w:p>
        </w:tc>
        <w:tc>
          <w:tcPr>
            <w:tcW w:w="100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97.6</w:t>
            </w:r>
          </w:p>
        </w:tc>
        <w:tc>
          <w:tcPr>
            <w:tcW w:w="10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722.4</w:t>
            </w:r>
          </w:p>
        </w:tc>
        <w:tc>
          <w:tcPr>
            <w:tcW w:w="10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(23.2)</w:t>
            </w:r>
          </w:p>
        </w:tc>
        <w:tc>
          <w:tcPr>
            <w:tcW w:w="1040" w:type="dxa"/>
            <w:vAlign w:val="bottom"/>
            <w:tcBorders>
              <w:bottom w:val="single" w:sz="8" w:color="F4EFF6"/>
            </w:tcBorders>
            <w:gridSpan w:val="2"/>
            <w:shd w:val="clear" w:color="auto" w:fill="F4EFF6"/>
          </w:tcPr>
          <w:p>
            <w:pPr>
              <w:jc w:val="right"/>
              <w:ind w:right="40"/>
              <w:spacing w:after="0"/>
              <w:rPr>
                <w:sz w:val="20"/>
                <w:szCs w:val="20"/>
                <w:color w:val="auto"/>
              </w:rPr>
            </w:pPr>
            <w:r>
              <w:rPr>
                <w:rFonts w:ascii="Arial" w:cs="Arial" w:eastAsia="Arial" w:hAnsi="Arial"/>
                <w:sz w:val="15"/>
                <w:szCs w:val="15"/>
                <w:b w:val="1"/>
                <w:bCs w:val="1"/>
                <w:color w:val="auto"/>
              </w:rPr>
              <w:t>(22.6)</w:t>
            </w:r>
          </w:p>
        </w:tc>
        <w:tc>
          <w:tcPr>
            <w:tcW w:w="96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976.9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160" w:type="dxa"/>
            <w:vAlign w:val="bottom"/>
            <w:tcBorders>
              <w:top w:val="single" w:sz="8" w:color="B6B6B6"/>
              <w:left w:val="single" w:sz="8" w:color="B6B6B6"/>
            </w:tcBorders>
          </w:tcPr>
          <w:p>
            <w:pPr>
              <w:ind w:left="40"/>
              <w:spacing w:after="0"/>
              <w:rPr>
                <w:sz w:val="20"/>
                <w:szCs w:val="20"/>
                <w:color w:val="auto"/>
              </w:rPr>
            </w:pPr>
            <w:r>
              <w:rPr>
                <w:rFonts w:ascii="Arial" w:cs="Arial" w:eastAsia="Arial" w:hAnsi="Arial"/>
                <w:sz w:val="15"/>
                <w:szCs w:val="15"/>
                <w:color w:val="auto"/>
              </w:rPr>
              <w:t>Profit after tax for the period</w:t>
            </w:r>
          </w:p>
        </w:tc>
        <w:tc>
          <w:tcPr>
            <w:tcW w:w="1000" w:type="dxa"/>
            <w:vAlign w:val="bottom"/>
            <w:tcBorders>
              <w:top w:val="single" w:sz="8" w:color="B6B6B6"/>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B6B6B6"/>
              <w:bottom w:val="single" w:sz="8" w:color="F4EFF6"/>
            </w:tcBorders>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top w:val="single" w:sz="8" w:color="B6B6B6"/>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6.6</w:t>
            </w:r>
          </w:p>
        </w:tc>
        <w:tc>
          <w:tcPr>
            <w:tcW w:w="1020" w:type="dxa"/>
            <w:vAlign w:val="bottom"/>
            <w:tcBorders>
              <w:top w:val="single" w:sz="8" w:color="B6B6B6"/>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142.6</w:t>
            </w:r>
          </w:p>
        </w:tc>
        <w:tc>
          <w:tcPr>
            <w:tcW w:w="1020" w:type="dxa"/>
            <w:vAlign w:val="bottom"/>
            <w:tcBorders>
              <w:top w:val="single" w:sz="8" w:color="B6B6B6"/>
              <w:bottom w:val="single" w:sz="8" w:color="F4EFF6"/>
            </w:tcBorders>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w:t>
            </w:r>
          </w:p>
        </w:tc>
        <w:tc>
          <w:tcPr>
            <w:tcW w:w="1040" w:type="dxa"/>
            <w:vAlign w:val="bottom"/>
            <w:tcBorders>
              <w:top w:val="single" w:sz="8" w:color="B6B6B6"/>
              <w:bottom w:val="single" w:sz="8" w:color="F4EFF6"/>
            </w:tcBorders>
            <w:gridSpan w:val="2"/>
            <w:shd w:val="clear" w:color="auto" w:fill="F4EFF6"/>
          </w:tcPr>
          <w:p>
            <w:pPr>
              <w:jc w:val="right"/>
              <w:ind w:right="80"/>
              <w:spacing w:after="0"/>
              <w:rPr>
                <w:sz w:val="20"/>
                <w:szCs w:val="20"/>
                <w:color w:val="auto"/>
              </w:rPr>
            </w:pPr>
            <w:r>
              <w:rPr>
                <w:rFonts w:ascii="Arial" w:cs="Arial" w:eastAsia="Arial" w:hAnsi="Arial"/>
                <w:sz w:val="15"/>
                <w:szCs w:val="15"/>
                <w:b w:val="1"/>
                <w:bCs w:val="1"/>
                <w:color w:val="auto"/>
              </w:rPr>
              <w:t>—</w:t>
            </w:r>
          </w:p>
        </w:tc>
        <w:tc>
          <w:tcPr>
            <w:tcW w:w="960" w:type="dxa"/>
            <w:vAlign w:val="bottom"/>
            <w:tcBorders>
              <w:top w:val="single" w:sz="8" w:color="B6B6B6"/>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149.2</w:t>
            </w:r>
          </w:p>
        </w:tc>
        <w:tc>
          <w:tcPr>
            <w:tcW w:w="20" w:type="dxa"/>
            <w:vAlign w:val="bottom"/>
            <w:tcBorders>
              <w:top w:val="single" w:sz="8" w:color="B6B6B6"/>
              <w:bottom w:val="single" w:sz="8" w:color="B6B6B6"/>
            </w:tcBorders>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60" w:type="dxa"/>
            <w:vAlign w:val="bottom"/>
            <w:tcBorders>
              <w:top w:val="single" w:sz="8" w:color="DADAE7"/>
              <w:left w:val="single" w:sz="8" w:color="B6B6B6"/>
            </w:tcBorders>
          </w:tcPr>
          <w:p>
            <w:pPr>
              <w:ind w:left="40"/>
              <w:spacing w:after="0"/>
              <w:rPr>
                <w:sz w:val="20"/>
                <w:szCs w:val="20"/>
                <w:color w:val="auto"/>
              </w:rPr>
            </w:pPr>
            <w:r>
              <w:rPr>
                <w:rFonts w:ascii="Arial" w:cs="Arial" w:eastAsia="Arial" w:hAnsi="Arial"/>
                <w:sz w:val="15"/>
                <w:szCs w:val="15"/>
                <w:color w:val="auto"/>
              </w:rPr>
              <w:t>Fair value gain on hedging instruments in cash flow hedges</w:t>
            </w:r>
          </w:p>
        </w:tc>
        <w:tc>
          <w:tcPr>
            <w:tcW w:w="10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DADAE7"/>
              <w:bottom w:val="single" w:sz="8" w:color="F4EFF6"/>
            </w:tcBorders>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DADAE7"/>
              <w:bottom w:val="single" w:sz="8" w:color="F4EFF6"/>
            </w:tcBorders>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41.0</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9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41.0</w:t>
            </w:r>
          </w:p>
        </w:tc>
        <w:tc>
          <w:tcPr>
            <w:tcW w:w="20" w:type="dxa"/>
            <w:vAlign w:val="bottom"/>
            <w:tcBorders>
              <w:top w:val="single" w:sz="8" w:color="B6B6B6"/>
              <w:bottom w:val="single" w:sz="8" w:color="B6B6B6"/>
            </w:tcBorders>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160" w:type="dxa"/>
            <w:vAlign w:val="bottom"/>
            <w:tcBorders>
              <w:top w:val="single" w:sz="8" w:color="DADAE7"/>
              <w:left w:val="single" w:sz="8" w:color="B6B6B6"/>
            </w:tcBorders>
          </w:tcPr>
          <w:p>
            <w:pPr>
              <w:ind w:left="40"/>
              <w:spacing w:after="0"/>
              <w:rPr>
                <w:sz w:val="20"/>
                <w:szCs w:val="20"/>
                <w:color w:val="auto"/>
              </w:rPr>
            </w:pPr>
            <w:r>
              <w:rPr>
                <w:rFonts w:ascii="Arial" w:cs="Arial" w:eastAsia="Arial" w:hAnsi="Arial"/>
                <w:sz w:val="15"/>
                <w:szCs w:val="15"/>
                <w:color w:val="auto"/>
              </w:rPr>
              <w:t>Deferred tax on hedging instruments</w:t>
            </w:r>
          </w:p>
        </w:tc>
        <w:tc>
          <w:tcPr>
            <w:tcW w:w="10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DADAE7"/>
              <w:bottom w:val="single" w:sz="8" w:color="F4EFF6"/>
            </w:tcBorders>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DADAE7"/>
              <w:bottom w:val="single" w:sz="8" w:color="F4EFF6"/>
            </w:tcBorders>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w:t>
            </w:r>
          </w:p>
        </w:tc>
        <w:tc>
          <w:tcPr>
            <w:tcW w:w="1040" w:type="dxa"/>
            <w:vAlign w:val="bottom"/>
            <w:tcBorders>
              <w:top w:val="single" w:sz="8" w:color="DADAE7"/>
              <w:bottom w:val="single" w:sz="8" w:color="F4EFF6"/>
            </w:tcBorders>
            <w:gridSpan w:val="2"/>
            <w:shd w:val="clear" w:color="auto" w:fill="F4EFF6"/>
          </w:tcPr>
          <w:p>
            <w:pPr>
              <w:jc w:val="right"/>
              <w:ind w:right="40"/>
              <w:spacing w:after="0"/>
              <w:rPr>
                <w:sz w:val="20"/>
                <w:szCs w:val="20"/>
                <w:color w:val="auto"/>
              </w:rPr>
            </w:pPr>
            <w:r>
              <w:rPr>
                <w:rFonts w:ascii="Arial" w:cs="Arial" w:eastAsia="Arial" w:hAnsi="Arial"/>
                <w:sz w:val="15"/>
                <w:szCs w:val="15"/>
                <w:b w:val="1"/>
                <w:bCs w:val="1"/>
                <w:color w:val="auto"/>
              </w:rPr>
              <w:t>(10.7)</w:t>
            </w:r>
          </w:p>
        </w:tc>
        <w:tc>
          <w:tcPr>
            <w:tcW w:w="9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(10.7)</w:t>
            </w:r>
          </w:p>
        </w:tc>
        <w:tc>
          <w:tcPr>
            <w:tcW w:w="20" w:type="dxa"/>
            <w:vAlign w:val="bottom"/>
            <w:tcBorders>
              <w:top w:val="single" w:sz="8" w:color="B6B6B6"/>
              <w:bottom w:val="single" w:sz="8" w:color="B6B6B6"/>
            </w:tcBorders>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4160" w:type="dxa"/>
            <w:vAlign w:val="bottom"/>
            <w:tcBorders>
              <w:top w:val="single" w:sz="8" w:color="DADAE7"/>
              <w:left w:val="single" w:sz="8" w:color="B6B6B6"/>
            </w:tcBorders>
          </w:tcPr>
          <w:p>
            <w:pPr>
              <w:ind w:left="40"/>
              <w:spacing w:after="0"/>
              <w:rPr>
                <w:sz w:val="20"/>
                <w:szCs w:val="20"/>
                <w:color w:val="auto"/>
              </w:rPr>
            </w:pPr>
            <w:r>
              <w:rPr>
                <w:rFonts w:ascii="Arial" w:cs="Arial" w:eastAsia="Arial" w:hAnsi="Arial"/>
                <w:sz w:val="15"/>
                <w:szCs w:val="15"/>
                <w:color w:val="auto"/>
              </w:rPr>
              <w:t>Change in fair value of financial liabilities designated at</w:t>
            </w:r>
          </w:p>
        </w:tc>
        <w:tc>
          <w:tcPr>
            <w:tcW w:w="1000" w:type="dxa"/>
            <w:vAlign w:val="bottom"/>
            <w:tcBorders>
              <w:top w:val="single" w:sz="8" w:color="DADAE7"/>
            </w:tcBorders>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DADAE7"/>
            </w:tcBorders>
            <w:vMerge w:val="restart"/>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top w:val="single" w:sz="8" w:color="DADAE7"/>
            </w:tcBorders>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DADAE7"/>
            </w:tcBorders>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DADAE7"/>
            </w:tcBorders>
            <w:vMerge w:val="restart"/>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w:t>
            </w:r>
          </w:p>
        </w:tc>
        <w:tc>
          <w:tcPr>
            <w:tcW w:w="1040" w:type="dxa"/>
            <w:vAlign w:val="bottom"/>
            <w:tcBorders>
              <w:top w:val="single" w:sz="8" w:color="DADAE7"/>
            </w:tcBorders>
            <w:gridSpan w:val="2"/>
            <w:vMerge w:val="restart"/>
            <w:shd w:val="clear" w:color="auto" w:fill="F4EFF6"/>
          </w:tcPr>
          <w:p>
            <w:pPr>
              <w:jc w:val="right"/>
              <w:ind w:right="40"/>
              <w:spacing w:after="0"/>
              <w:rPr>
                <w:sz w:val="20"/>
                <w:szCs w:val="20"/>
                <w:color w:val="auto"/>
              </w:rPr>
            </w:pPr>
            <w:r>
              <w:rPr>
                <w:rFonts w:ascii="Arial" w:cs="Arial" w:eastAsia="Arial" w:hAnsi="Arial"/>
                <w:sz w:val="15"/>
                <w:szCs w:val="15"/>
                <w:b w:val="1"/>
                <w:bCs w:val="1"/>
                <w:color w:val="auto"/>
              </w:rPr>
              <w:t>(1.0)</w:t>
            </w:r>
          </w:p>
        </w:tc>
        <w:tc>
          <w:tcPr>
            <w:tcW w:w="960" w:type="dxa"/>
            <w:vAlign w:val="bottom"/>
            <w:tcBorders>
              <w:top w:val="single" w:sz="8" w:color="DADAE7"/>
            </w:tcBorders>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(1.0)</w:t>
            </w:r>
          </w:p>
        </w:tc>
        <w:tc>
          <w:tcPr>
            <w:tcW w:w="20" w:type="dxa"/>
            <w:vAlign w:val="bottom"/>
            <w:tcBorders>
              <w:top w:val="single" w:sz="8" w:color="B6B6B6"/>
            </w:tcBorders>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tcBorders>
              <w:left w:val="single" w:sz="8" w:color="B6B6B6"/>
              <w:bottom w:val="single" w:sz="8" w:color="DADAE7"/>
            </w:tcBorders>
          </w:tcPr>
          <w:p>
            <w:pPr>
              <w:ind w:left="40"/>
              <w:spacing w:after="0"/>
              <w:rPr>
                <w:sz w:val="20"/>
                <w:szCs w:val="20"/>
                <w:color w:val="auto"/>
              </w:rPr>
            </w:pPr>
            <w:r>
              <w:rPr>
                <w:rFonts w:ascii="Arial" w:cs="Arial" w:eastAsia="Arial" w:hAnsi="Arial"/>
                <w:sz w:val="15"/>
                <w:szCs w:val="15"/>
                <w:color w:val="auto"/>
              </w:rPr>
              <w:t>FVTPL due to own credit risk</w:t>
            </w:r>
          </w:p>
        </w:tc>
        <w:tc>
          <w:tcPr>
            <w:tcW w:w="1000" w:type="dxa"/>
            <w:vAlign w:val="bottom"/>
            <w:tcBorders>
              <w:bottom w:val="single" w:sz="8" w:color="DADAE7"/>
            </w:tcBorders>
            <w:vMerge w:val="continue"/>
            <w:shd w:val="clear" w:color="auto" w:fill="F4EFF6"/>
          </w:tcPr>
          <w:p>
            <w:pPr>
              <w:spacing w:after="0"/>
              <w:rPr>
                <w:sz w:val="18"/>
                <w:szCs w:val="18"/>
                <w:color w:val="auto"/>
              </w:rPr>
            </w:pPr>
          </w:p>
        </w:tc>
        <w:tc>
          <w:tcPr>
            <w:tcW w:w="1020" w:type="dxa"/>
            <w:vAlign w:val="bottom"/>
            <w:tcBorders>
              <w:bottom w:val="single" w:sz="8" w:color="DADAE7"/>
            </w:tcBorders>
            <w:vMerge w:val="continue"/>
            <w:shd w:val="clear" w:color="auto" w:fill="F4EFF6"/>
          </w:tcPr>
          <w:p>
            <w:pPr>
              <w:spacing w:after="0"/>
              <w:rPr>
                <w:sz w:val="18"/>
                <w:szCs w:val="18"/>
                <w:color w:val="auto"/>
              </w:rPr>
            </w:pPr>
          </w:p>
        </w:tc>
        <w:tc>
          <w:tcPr>
            <w:tcW w:w="1000" w:type="dxa"/>
            <w:vAlign w:val="bottom"/>
            <w:tcBorders>
              <w:bottom w:val="single" w:sz="8" w:color="DADAE7"/>
            </w:tcBorders>
            <w:vMerge w:val="continue"/>
            <w:shd w:val="clear" w:color="auto" w:fill="F4EFF6"/>
          </w:tcPr>
          <w:p>
            <w:pPr>
              <w:spacing w:after="0"/>
              <w:rPr>
                <w:sz w:val="18"/>
                <w:szCs w:val="18"/>
                <w:color w:val="auto"/>
              </w:rPr>
            </w:pPr>
          </w:p>
        </w:tc>
        <w:tc>
          <w:tcPr>
            <w:tcW w:w="1020" w:type="dxa"/>
            <w:vAlign w:val="bottom"/>
            <w:tcBorders>
              <w:bottom w:val="single" w:sz="8" w:color="DADAE7"/>
            </w:tcBorders>
            <w:vMerge w:val="continue"/>
            <w:shd w:val="clear" w:color="auto" w:fill="F4EFF6"/>
          </w:tcPr>
          <w:p>
            <w:pPr>
              <w:spacing w:after="0"/>
              <w:rPr>
                <w:sz w:val="18"/>
                <w:szCs w:val="18"/>
                <w:color w:val="auto"/>
              </w:rPr>
            </w:pPr>
          </w:p>
        </w:tc>
        <w:tc>
          <w:tcPr>
            <w:tcW w:w="1020" w:type="dxa"/>
            <w:vAlign w:val="bottom"/>
            <w:tcBorders>
              <w:bottom w:val="single" w:sz="8" w:color="DADAE7"/>
            </w:tcBorders>
            <w:vMerge w:val="continue"/>
            <w:shd w:val="clear" w:color="auto" w:fill="F4EFF6"/>
          </w:tcPr>
          <w:p>
            <w:pPr>
              <w:spacing w:after="0"/>
              <w:rPr>
                <w:sz w:val="18"/>
                <w:szCs w:val="18"/>
                <w:color w:val="auto"/>
              </w:rPr>
            </w:pPr>
          </w:p>
        </w:tc>
        <w:tc>
          <w:tcPr>
            <w:tcW w:w="1040" w:type="dxa"/>
            <w:vAlign w:val="bottom"/>
            <w:tcBorders>
              <w:bottom w:val="single" w:sz="8" w:color="DADAE7"/>
            </w:tcBorders>
            <w:gridSpan w:val="2"/>
            <w:vMerge w:val="continue"/>
            <w:shd w:val="clear" w:color="auto" w:fill="F4EFF6"/>
          </w:tcPr>
          <w:p>
            <w:pPr>
              <w:spacing w:after="0"/>
              <w:rPr>
                <w:sz w:val="18"/>
                <w:szCs w:val="18"/>
                <w:color w:val="auto"/>
              </w:rPr>
            </w:pPr>
          </w:p>
        </w:tc>
        <w:tc>
          <w:tcPr>
            <w:tcW w:w="960" w:type="dxa"/>
            <w:vAlign w:val="bottom"/>
            <w:tcBorders>
              <w:bottom w:val="single" w:sz="8" w:color="DADAE7"/>
            </w:tcBorders>
            <w:vMerge w:val="continue"/>
            <w:shd w:val="clear" w:color="auto" w:fill="F4EFF6"/>
          </w:tcPr>
          <w:p>
            <w:pPr>
              <w:spacing w:after="0"/>
              <w:rPr>
                <w:sz w:val="18"/>
                <w:szCs w:val="18"/>
                <w:color w:val="auto"/>
              </w:rPr>
            </w:pPr>
          </w:p>
        </w:tc>
        <w:tc>
          <w:tcPr>
            <w:tcW w:w="2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60" w:type="dxa"/>
            <w:vAlign w:val="bottom"/>
            <w:tcBorders>
              <w:left w:val="single" w:sz="8" w:color="B6B6B6"/>
            </w:tcBorders>
          </w:tcPr>
          <w:p>
            <w:pPr>
              <w:ind w:left="40"/>
              <w:spacing w:after="0"/>
              <w:rPr>
                <w:sz w:val="20"/>
                <w:szCs w:val="20"/>
                <w:color w:val="auto"/>
              </w:rPr>
            </w:pPr>
            <w:r>
              <w:rPr>
                <w:rFonts w:ascii="Arial" w:cs="Arial" w:eastAsia="Arial" w:hAnsi="Arial"/>
                <w:sz w:val="15"/>
                <w:szCs w:val="15"/>
                <w:color w:val="auto"/>
              </w:rPr>
              <w:t>Deferred tax on change in fair value of financial liabilities</w:t>
            </w:r>
          </w:p>
        </w:tc>
        <w:tc>
          <w:tcPr>
            <w:tcW w:w="1000" w:type="dxa"/>
            <w:vAlign w:val="bottom"/>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vMerge w:val="restart"/>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w:t>
            </w:r>
          </w:p>
        </w:tc>
        <w:tc>
          <w:tcPr>
            <w:tcW w:w="1000" w:type="dxa"/>
            <w:vAlign w:val="bottom"/>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vMerge w:val="restart"/>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w:t>
            </w:r>
          </w:p>
        </w:tc>
        <w:tc>
          <w:tcPr>
            <w:tcW w:w="1000" w:type="dxa"/>
            <w:vAlign w:val="bottom"/>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0.2</w:t>
            </w:r>
          </w:p>
        </w:tc>
        <w:tc>
          <w:tcPr>
            <w:tcW w:w="40" w:type="dxa"/>
            <w:vAlign w:val="bottom"/>
            <w:shd w:val="clear" w:color="auto" w:fill="F4EFF6"/>
          </w:tcPr>
          <w:p>
            <w:pPr>
              <w:spacing w:after="0"/>
              <w:rPr>
                <w:sz w:val="17"/>
                <w:szCs w:val="17"/>
                <w:color w:val="auto"/>
              </w:rPr>
            </w:pPr>
          </w:p>
        </w:tc>
        <w:tc>
          <w:tcPr>
            <w:tcW w:w="960" w:type="dxa"/>
            <w:vAlign w:val="bottom"/>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0.2</w:t>
            </w:r>
          </w:p>
        </w:tc>
        <w:tc>
          <w:tcPr>
            <w:tcW w:w="2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60" w:type="dxa"/>
            <w:vAlign w:val="bottom"/>
            <w:tcBorders>
              <w:left w:val="single" w:sz="8" w:color="B6B6B6"/>
              <w:bottom w:val="single" w:sz="8" w:color="DADAE7"/>
            </w:tcBorders>
          </w:tcPr>
          <w:p>
            <w:pPr>
              <w:ind w:left="40"/>
              <w:spacing w:after="0"/>
              <w:rPr>
                <w:sz w:val="20"/>
                <w:szCs w:val="20"/>
                <w:color w:val="auto"/>
              </w:rPr>
            </w:pPr>
            <w:r>
              <w:rPr>
                <w:rFonts w:ascii="Arial" w:cs="Arial" w:eastAsia="Arial" w:hAnsi="Arial"/>
                <w:sz w:val="15"/>
                <w:szCs w:val="15"/>
                <w:color w:val="auto"/>
              </w:rPr>
              <w:t>designated at FVTPL due to own credit risk</w:t>
            </w:r>
          </w:p>
        </w:tc>
        <w:tc>
          <w:tcPr>
            <w:tcW w:w="1000" w:type="dxa"/>
            <w:vAlign w:val="bottom"/>
            <w:tcBorders>
              <w:bottom w:val="single" w:sz="8" w:color="DADAE7"/>
            </w:tcBorders>
            <w:vMerge w:val="continue"/>
            <w:shd w:val="clear" w:color="auto" w:fill="F4EFF6"/>
          </w:tcPr>
          <w:p>
            <w:pPr>
              <w:spacing w:after="0"/>
              <w:rPr>
                <w:sz w:val="18"/>
                <w:szCs w:val="18"/>
                <w:color w:val="auto"/>
              </w:rPr>
            </w:pPr>
          </w:p>
        </w:tc>
        <w:tc>
          <w:tcPr>
            <w:tcW w:w="1020" w:type="dxa"/>
            <w:vAlign w:val="bottom"/>
            <w:tcBorders>
              <w:bottom w:val="single" w:sz="8" w:color="DADAE7"/>
            </w:tcBorders>
            <w:vMerge w:val="continue"/>
            <w:shd w:val="clear" w:color="auto" w:fill="F4EFF6"/>
          </w:tcPr>
          <w:p>
            <w:pPr>
              <w:spacing w:after="0"/>
              <w:rPr>
                <w:sz w:val="18"/>
                <w:szCs w:val="18"/>
                <w:color w:val="auto"/>
              </w:rPr>
            </w:pPr>
          </w:p>
        </w:tc>
        <w:tc>
          <w:tcPr>
            <w:tcW w:w="1000" w:type="dxa"/>
            <w:vAlign w:val="bottom"/>
            <w:tcBorders>
              <w:bottom w:val="single" w:sz="8" w:color="DADAE7"/>
            </w:tcBorders>
            <w:vMerge w:val="continue"/>
            <w:shd w:val="clear" w:color="auto" w:fill="F4EFF6"/>
          </w:tcPr>
          <w:p>
            <w:pPr>
              <w:spacing w:after="0"/>
              <w:rPr>
                <w:sz w:val="18"/>
                <w:szCs w:val="18"/>
                <w:color w:val="auto"/>
              </w:rPr>
            </w:pPr>
          </w:p>
        </w:tc>
        <w:tc>
          <w:tcPr>
            <w:tcW w:w="1020" w:type="dxa"/>
            <w:vAlign w:val="bottom"/>
            <w:tcBorders>
              <w:bottom w:val="single" w:sz="8" w:color="DADAE7"/>
            </w:tcBorders>
            <w:vMerge w:val="continue"/>
            <w:shd w:val="clear" w:color="auto" w:fill="F4EFF6"/>
          </w:tcPr>
          <w:p>
            <w:pPr>
              <w:spacing w:after="0"/>
              <w:rPr>
                <w:sz w:val="18"/>
                <w:szCs w:val="18"/>
                <w:color w:val="auto"/>
              </w:rPr>
            </w:pPr>
          </w:p>
        </w:tc>
        <w:tc>
          <w:tcPr>
            <w:tcW w:w="1020" w:type="dxa"/>
            <w:vAlign w:val="bottom"/>
            <w:tcBorders>
              <w:bottom w:val="single" w:sz="8" w:color="DADAE7"/>
            </w:tcBorders>
            <w:vMerge w:val="continue"/>
            <w:shd w:val="clear" w:color="auto" w:fill="F4EFF6"/>
          </w:tcPr>
          <w:p>
            <w:pPr>
              <w:spacing w:after="0"/>
              <w:rPr>
                <w:sz w:val="18"/>
                <w:szCs w:val="18"/>
                <w:color w:val="auto"/>
              </w:rPr>
            </w:pPr>
          </w:p>
        </w:tc>
        <w:tc>
          <w:tcPr>
            <w:tcW w:w="1000" w:type="dxa"/>
            <w:vAlign w:val="bottom"/>
            <w:tcBorders>
              <w:bottom w:val="single" w:sz="8" w:color="DADAE7"/>
            </w:tcBorders>
            <w:vMerge w:val="continue"/>
            <w:shd w:val="clear" w:color="auto" w:fill="F4EFF6"/>
          </w:tcPr>
          <w:p>
            <w:pPr>
              <w:spacing w:after="0"/>
              <w:rPr>
                <w:sz w:val="18"/>
                <w:szCs w:val="18"/>
                <w:color w:val="auto"/>
              </w:rPr>
            </w:pPr>
          </w:p>
        </w:tc>
        <w:tc>
          <w:tcPr>
            <w:tcW w:w="40" w:type="dxa"/>
            <w:vAlign w:val="bottom"/>
            <w:tcBorders>
              <w:bottom w:val="single" w:sz="8" w:color="DADAE7"/>
            </w:tcBorders>
            <w:shd w:val="clear" w:color="auto" w:fill="F4EFF6"/>
          </w:tcPr>
          <w:p>
            <w:pPr>
              <w:spacing w:after="0"/>
              <w:rPr>
                <w:sz w:val="18"/>
                <w:szCs w:val="18"/>
                <w:color w:val="auto"/>
              </w:rPr>
            </w:pPr>
          </w:p>
        </w:tc>
        <w:tc>
          <w:tcPr>
            <w:tcW w:w="960" w:type="dxa"/>
            <w:vAlign w:val="bottom"/>
            <w:tcBorders>
              <w:bottom w:val="single" w:sz="8" w:color="DADAE7"/>
            </w:tcBorders>
            <w:vMerge w:val="continue"/>
            <w:shd w:val="clear" w:color="auto" w:fill="F4EFF6"/>
          </w:tcPr>
          <w:p>
            <w:pPr>
              <w:spacing w:after="0"/>
              <w:rPr>
                <w:sz w:val="18"/>
                <w:szCs w:val="18"/>
                <w:color w:val="auto"/>
              </w:rPr>
            </w:pPr>
          </w:p>
        </w:tc>
        <w:tc>
          <w:tcPr>
            <w:tcW w:w="2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60" w:type="dxa"/>
            <w:vAlign w:val="bottom"/>
            <w:tcBorders>
              <w:left w:val="single" w:sz="8" w:color="B6B6B6"/>
            </w:tcBorders>
          </w:tcPr>
          <w:p>
            <w:pPr>
              <w:ind w:left="40"/>
              <w:spacing w:after="0"/>
              <w:rPr>
                <w:sz w:val="20"/>
                <w:szCs w:val="20"/>
                <w:color w:val="auto"/>
              </w:rPr>
            </w:pPr>
            <w:r>
              <w:rPr>
                <w:rFonts w:ascii="Arial" w:cs="Arial" w:eastAsia="Arial" w:hAnsi="Arial"/>
                <w:sz w:val="15"/>
                <w:szCs w:val="15"/>
                <w:color w:val="auto"/>
              </w:rPr>
              <w:t>Fair value gain on investments in equity instruments</w:t>
            </w:r>
          </w:p>
        </w:tc>
        <w:tc>
          <w:tcPr>
            <w:tcW w:w="1000" w:type="dxa"/>
            <w:vAlign w:val="bottom"/>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vMerge w:val="restart"/>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w:t>
            </w:r>
          </w:p>
        </w:tc>
        <w:tc>
          <w:tcPr>
            <w:tcW w:w="1000" w:type="dxa"/>
            <w:vAlign w:val="bottom"/>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vMerge w:val="restart"/>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w:t>
            </w:r>
          </w:p>
        </w:tc>
        <w:tc>
          <w:tcPr>
            <w:tcW w:w="1000" w:type="dxa"/>
            <w:vAlign w:val="bottom"/>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4.8</w:t>
            </w:r>
          </w:p>
        </w:tc>
        <w:tc>
          <w:tcPr>
            <w:tcW w:w="40" w:type="dxa"/>
            <w:vAlign w:val="bottom"/>
            <w:shd w:val="clear" w:color="auto" w:fill="F4EFF6"/>
          </w:tcPr>
          <w:p>
            <w:pPr>
              <w:spacing w:after="0"/>
              <w:rPr>
                <w:sz w:val="17"/>
                <w:szCs w:val="17"/>
                <w:color w:val="auto"/>
              </w:rPr>
            </w:pPr>
          </w:p>
        </w:tc>
        <w:tc>
          <w:tcPr>
            <w:tcW w:w="960" w:type="dxa"/>
            <w:vAlign w:val="bottom"/>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4.8</w:t>
            </w:r>
          </w:p>
        </w:tc>
        <w:tc>
          <w:tcPr>
            <w:tcW w:w="2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60" w:type="dxa"/>
            <w:vAlign w:val="bottom"/>
            <w:tcBorders>
              <w:left w:val="single" w:sz="8" w:color="B6B6B6"/>
              <w:bottom w:val="single" w:sz="8" w:color="DADAE7"/>
            </w:tcBorders>
          </w:tcPr>
          <w:p>
            <w:pPr>
              <w:ind w:left="40"/>
              <w:spacing w:after="0"/>
              <w:rPr>
                <w:sz w:val="20"/>
                <w:szCs w:val="20"/>
                <w:color w:val="auto"/>
              </w:rPr>
            </w:pPr>
            <w:r>
              <w:rPr>
                <w:rFonts w:ascii="Arial" w:cs="Arial" w:eastAsia="Arial" w:hAnsi="Arial"/>
                <w:sz w:val="15"/>
                <w:szCs w:val="15"/>
                <w:color w:val="auto"/>
              </w:rPr>
              <w:t>designated at FVTOCI</w:t>
            </w:r>
          </w:p>
        </w:tc>
        <w:tc>
          <w:tcPr>
            <w:tcW w:w="1000" w:type="dxa"/>
            <w:vAlign w:val="bottom"/>
            <w:tcBorders>
              <w:bottom w:val="single" w:sz="8" w:color="DADAE7"/>
            </w:tcBorders>
            <w:vMerge w:val="continue"/>
            <w:shd w:val="clear" w:color="auto" w:fill="F4EFF6"/>
          </w:tcPr>
          <w:p>
            <w:pPr>
              <w:spacing w:after="0"/>
              <w:rPr>
                <w:sz w:val="18"/>
                <w:szCs w:val="18"/>
                <w:color w:val="auto"/>
              </w:rPr>
            </w:pPr>
          </w:p>
        </w:tc>
        <w:tc>
          <w:tcPr>
            <w:tcW w:w="1020" w:type="dxa"/>
            <w:vAlign w:val="bottom"/>
            <w:tcBorders>
              <w:bottom w:val="single" w:sz="8" w:color="DADAE7"/>
            </w:tcBorders>
            <w:vMerge w:val="continue"/>
            <w:shd w:val="clear" w:color="auto" w:fill="F4EFF6"/>
          </w:tcPr>
          <w:p>
            <w:pPr>
              <w:spacing w:after="0"/>
              <w:rPr>
                <w:sz w:val="18"/>
                <w:szCs w:val="18"/>
                <w:color w:val="auto"/>
              </w:rPr>
            </w:pPr>
          </w:p>
        </w:tc>
        <w:tc>
          <w:tcPr>
            <w:tcW w:w="1000" w:type="dxa"/>
            <w:vAlign w:val="bottom"/>
            <w:tcBorders>
              <w:bottom w:val="single" w:sz="8" w:color="DADAE7"/>
            </w:tcBorders>
            <w:vMerge w:val="continue"/>
            <w:shd w:val="clear" w:color="auto" w:fill="F4EFF6"/>
          </w:tcPr>
          <w:p>
            <w:pPr>
              <w:spacing w:after="0"/>
              <w:rPr>
                <w:sz w:val="18"/>
                <w:szCs w:val="18"/>
                <w:color w:val="auto"/>
              </w:rPr>
            </w:pPr>
          </w:p>
        </w:tc>
        <w:tc>
          <w:tcPr>
            <w:tcW w:w="1020" w:type="dxa"/>
            <w:vAlign w:val="bottom"/>
            <w:tcBorders>
              <w:bottom w:val="single" w:sz="8" w:color="DADAE7"/>
            </w:tcBorders>
            <w:vMerge w:val="continue"/>
            <w:shd w:val="clear" w:color="auto" w:fill="F4EFF6"/>
          </w:tcPr>
          <w:p>
            <w:pPr>
              <w:spacing w:after="0"/>
              <w:rPr>
                <w:sz w:val="18"/>
                <w:szCs w:val="18"/>
                <w:color w:val="auto"/>
              </w:rPr>
            </w:pPr>
          </w:p>
        </w:tc>
        <w:tc>
          <w:tcPr>
            <w:tcW w:w="1020" w:type="dxa"/>
            <w:vAlign w:val="bottom"/>
            <w:tcBorders>
              <w:bottom w:val="single" w:sz="8" w:color="DADAE7"/>
            </w:tcBorders>
            <w:vMerge w:val="continue"/>
            <w:shd w:val="clear" w:color="auto" w:fill="F4EFF6"/>
          </w:tcPr>
          <w:p>
            <w:pPr>
              <w:spacing w:after="0"/>
              <w:rPr>
                <w:sz w:val="18"/>
                <w:szCs w:val="18"/>
                <w:color w:val="auto"/>
              </w:rPr>
            </w:pPr>
          </w:p>
        </w:tc>
        <w:tc>
          <w:tcPr>
            <w:tcW w:w="1000" w:type="dxa"/>
            <w:vAlign w:val="bottom"/>
            <w:tcBorders>
              <w:bottom w:val="single" w:sz="8" w:color="DADAE7"/>
            </w:tcBorders>
            <w:vMerge w:val="continue"/>
            <w:shd w:val="clear" w:color="auto" w:fill="F4EFF6"/>
          </w:tcPr>
          <w:p>
            <w:pPr>
              <w:spacing w:after="0"/>
              <w:rPr>
                <w:sz w:val="18"/>
                <w:szCs w:val="18"/>
                <w:color w:val="auto"/>
              </w:rPr>
            </w:pPr>
          </w:p>
        </w:tc>
        <w:tc>
          <w:tcPr>
            <w:tcW w:w="40" w:type="dxa"/>
            <w:vAlign w:val="bottom"/>
            <w:tcBorders>
              <w:bottom w:val="single" w:sz="8" w:color="DADAE7"/>
            </w:tcBorders>
            <w:shd w:val="clear" w:color="auto" w:fill="F4EFF6"/>
          </w:tcPr>
          <w:p>
            <w:pPr>
              <w:spacing w:after="0"/>
              <w:rPr>
                <w:sz w:val="18"/>
                <w:szCs w:val="18"/>
                <w:color w:val="auto"/>
              </w:rPr>
            </w:pPr>
          </w:p>
        </w:tc>
        <w:tc>
          <w:tcPr>
            <w:tcW w:w="960" w:type="dxa"/>
            <w:vAlign w:val="bottom"/>
            <w:tcBorders>
              <w:bottom w:val="single" w:sz="8" w:color="DADAE7"/>
            </w:tcBorders>
            <w:vMerge w:val="continue"/>
            <w:shd w:val="clear" w:color="auto" w:fill="F4EFF6"/>
          </w:tcPr>
          <w:p>
            <w:pPr>
              <w:spacing w:after="0"/>
              <w:rPr>
                <w:sz w:val="18"/>
                <w:szCs w:val="18"/>
                <w:color w:val="auto"/>
              </w:rPr>
            </w:pPr>
          </w:p>
        </w:tc>
        <w:tc>
          <w:tcPr>
            <w:tcW w:w="2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60" w:type="dxa"/>
            <w:vAlign w:val="bottom"/>
            <w:tcBorders>
              <w:left w:val="single" w:sz="8" w:color="B6B6B6"/>
            </w:tcBorders>
          </w:tcPr>
          <w:p>
            <w:pPr>
              <w:ind w:left="40"/>
              <w:spacing w:after="0"/>
              <w:rPr>
                <w:sz w:val="20"/>
                <w:szCs w:val="20"/>
                <w:color w:val="auto"/>
              </w:rPr>
            </w:pPr>
            <w:r>
              <w:rPr>
                <w:rFonts w:ascii="Arial" w:cs="Arial" w:eastAsia="Arial" w:hAnsi="Arial"/>
                <w:sz w:val="15"/>
                <w:szCs w:val="15"/>
                <w:color w:val="auto"/>
              </w:rPr>
              <w:t>Deferred tax on revaluation of investments in equity</w:t>
            </w:r>
          </w:p>
        </w:tc>
        <w:tc>
          <w:tcPr>
            <w:tcW w:w="1000" w:type="dxa"/>
            <w:vAlign w:val="bottom"/>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vMerge w:val="restart"/>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w:t>
            </w:r>
          </w:p>
        </w:tc>
        <w:tc>
          <w:tcPr>
            <w:tcW w:w="1000" w:type="dxa"/>
            <w:vAlign w:val="bottom"/>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vMerge w:val="restart"/>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w:t>
            </w:r>
          </w:p>
        </w:tc>
        <w:tc>
          <w:tcPr>
            <w:tcW w:w="1040" w:type="dxa"/>
            <w:vAlign w:val="bottom"/>
            <w:gridSpan w:val="2"/>
            <w:vMerge w:val="restart"/>
            <w:shd w:val="clear" w:color="auto" w:fill="F4EFF6"/>
          </w:tcPr>
          <w:p>
            <w:pPr>
              <w:jc w:val="right"/>
              <w:ind w:right="40"/>
              <w:spacing w:after="0"/>
              <w:rPr>
                <w:sz w:val="20"/>
                <w:szCs w:val="20"/>
                <w:color w:val="auto"/>
              </w:rPr>
            </w:pPr>
            <w:r>
              <w:rPr>
                <w:rFonts w:ascii="Arial" w:cs="Arial" w:eastAsia="Arial" w:hAnsi="Arial"/>
                <w:sz w:val="15"/>
                <w:szCs w:val="15"/>
                <w:b w:val="1"/>
                <w:bCs w:val="1"/>
                <w:color w:val="auto"/>
              </w:rPr>
              <w:t>(1.2)</w:t>
            </w:r>
          </w:p>
        </w:tc>
        <w:tc>
          <w:tcPr>
            <w:tcW w:w="960" w:type="dxa"/>
            <w:vAlign w:val="bottom"/>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(1.2)</w:t>
            </w:r>
          </w:p>
        </w:tc>
        <w:tc>
          <w:tcPr>
            <w:tcW w:w="2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60" w:type="dxa"/>
            <w:vAlign w:val="bottom"/>
            <w:tcBorders>
              <w:left w:val="single" w:sz="8" w:color="B6B6B6"/>
              <w:bottom w:val="single" w:sz="8" w:color="DADAE7"/>
            </w:tcBorders>
          </w:tcPr>
          <w:p>
            <w:pPr>
              <w:ind w:left="40"/>
              <w:spacing w:after="0"/>
              <w:rPr>
                <w:sz w:val="20"/>
                <w:szCs w:val="20"/>
                <w:color w:val="auto"/>
              </w:rPr>
            </w:pPr>
            <w:r>
              <w:rPr>
                <w:rFonts w:ascii="Arial" w:cs="Arial" w:eastAsia="Arial" w:hAnsi="Arial"/>
                <w:sz w:val="15"/>
                <w:szCs w:val="15"/>
                <w:color w:val="auto"/>
              </w:rPr>
              <w:t>instruments designated at FVTOCI</w:t>
            </w:r>
          </w:p>
        </w:tc>
        <w:tc>
          <w:tcPr>
            <w:tcW w:w="1000" w:type="dxa"/>
            <w:vAlign w:val="bottom"/>
            <w:tcBorders>
              <w:bottom w:val="single" w:sz="8" w:color="DADAE7"/>
            </w:tcBorders>
            <w:vMerge w:val="continue"/>
            <w:shd w:val="clear" w:color="auto" w:fill="F4EFF6"/>
          </w:tcPr>
          <w:p>
            <w:pPr>
              <w:spacing w:after="0"/>
              <w:rPr>
                <w:sz w:val="18"/>
                <w:szCs w:val="18"/>
                <w:color w:val="auto"/>
              </w:rPr>
            </w:pPr>
          </w:p>
        </w:tc>
        <w:tc>
          <w:tcPr>
            <w:tcW w:w="1020" w:type="dxa"/>
            <w:vAlign w:val="bottom"/>
            <w:tcBorders>
              <w:bottom w:val="single" w:sz="8" w:color="DADAE7"/>
            </w:tcBorders>
            <w:vMerge w:val="continue"/>
            <w:shd w:val="clear" w:color="auto" w:fill="F4EFF6"/>
          </w:tcPr>
          <w:p>
            <w:pPr>
              <w:spacing w:after="0"/>
              <w:rPr>
                <w:sz w:val="18"/>
                <w:szCs w:val="18"/>
                <w:color w:val="auto"/>
              </w:rPr>
            </w:pPr>
          </w:p>
        </w:tc>
        <w:tc>
          <w:tcPr>
            <w:tcW w:w="1000" w:type="dxa"/>
            <w:vAlign w:val="bottom"/>
            <w:tcBorders>
              <w:bottom w:val="single" w:sz="8" w:color="DADAE7"/>
            </w:tcBorders>
            <w:vMerge w:val="continue"/>
            <w:shd w:val="clear" w:color="auto" w:fill="F4EFF6"/>
          </w:tcPr>
          <w:p>
            <w:pPr>
              <w:spacing w:after="0"/>
              <w:rPr>
                <w:sz w:val="18"/>
                <w:szCs w:val="18"/>
                <w:color w:val="auto"/>
              </w:rPr>
            </w:pPr>
          </w:p>
        </w:tc>
        <w:tc>
          <w:tcPr>
            <w:tcW w:w="1020" w:type="dxa"/>
            <w:vAlign w:val="bottom"/>
            <w:tcBorders>
              <w:bottom w:val="single" w:sz="8" w:color="DADAE7"/>
            </w:tcBorders>
            <w:vMerge w:val="continue"/>
            <w:shd w:val="clear" w:color="auto" w:fill="F4EFF6"/>
          </w:tcPr>
          <w:p>
            <w:pPr>
              <w:spacing w:after="0"/>
              <w:rPr>
                <w:sz w:val="18"/>
                <w:szCs w:val="18"/>
                <w:color w:val="auto"/>
              </w:rPr>
            </w:pPr>
          </w:p>
        </w:tc>
        <w:tc>
          <w:tcPr>
            <w:tcW w:w="1020" w:type="dxa"/>
            <w:vAlign w:val="bottom"/>
            <w:tcBorders>
              <w:bottom w:val="single" w:sz="8" w:color="DADAE7"/>
            </w:tcBorders>
            <w:vMerge w:val="continue"/>
            <w:shd w:val="clear" w:color="auto" w:fill="F4EFF6"/>
          </w:tcPr>
          <w:p>
            <w:pPr>
              <w:spacing w:after="0"/>
              <w:rPr>
                <w:sz w:val="18"/>
                <w:szCs w:val="18"/>
                <w:color w:val="auto"/>
              </w:rPr>
            </w:pPr>
          </w:p>
        </w:tc>
        <w:tc>
          <w:tcPr>
            <w:tcW w:w="1040" w:type="dxa"/>
            <w:vAlign w:val="bottom"/>
            <w:tcBorders>
              <w:bottom w:val="single" w:sz="8" w:color="DADAE7"/>
            </w:tcBorders>
            <w:gridSpan w:val="2"/>
            <w:vMerge w:val="continue"/>
            <w:shd w:val="clear" w:color="auto" w:fill="F4EFF6"/>
          </w:tcPr>
          <w:p>
            <w:pPr>
              <w:spacing w:after="0"/>
              <w:rPr>
                <w:sz w:val="18"/>
                <w:szCs w:val="18"/>
                <w:color w:val="auto"/>
              </w:rPr>
            </w:pPr>
          </w:p>
        </w:tc>
        <w:tc>
          <w:tcPr>
            <w:tcW w:w="960" w:type="dxa"/>
            <w:vAlign w:val="bottom"/>
            <w:tcBorders>
              <w:bottom w:val="single" w:sz="8" w:color="DADAE7"/>
            </w:tcBorders>
            <w:vMerge w:val="continue"/>
            <w:shd w:val="clear" w:color="auto" w:fill="F4EFF6"/>
          </w:tcPr>
          <w:p>
            <w:pPr>
              <w:spacing w:after="0"/>
              <w:rPr>
                <w:sz w:val="18"/>
                <w:szCs w:val="18"/>
                <w:color w:val="auto"/>
              </w:rPr>
            </w:pPr>
          </w:p>
        </w:tc>
        <w:tc>
          <w:tcPr>
            <w:tcW w:w="2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60" w:type="dxa"/>
            <w:vAlign w:val="bottom"/>
            <w:tcBorders>
              <w:left w:val="single" w:sz="8" w:color="B6B6B6"/>
            </w:tcBorders>
          </w:tcPr>
          <w:p>
            <w:pPr>
              <w:ind w:left="40"/>
              <w:spacing w:after="0"/>
              <w:rPr>
                <w:sz w:val="20"/>
                <w:szCs w:val="20"/>
                <w:color w:val="auto"/>
              </w:rPr>
            </w:pPr>
            <w:r>
              <w:rPr>
                <w:rFonts w:ascii="Arial" w:cs="Arial" w:eastAsia="Arial" w:hAnsi="Arial"/>
                <w:sz w:val="15"/>
                <w:szCs w:val="15"/>
                <w:color w:val="auto"/>
              </w:rPr>
              <w:t>Currency translation adjustments</w:t>
            </w:r>
          </w:p>
        </w:tc>
        <w:tc>
          <w:tcPr>
            <w:tcW w:w="100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F4EFF6"/>
            </w:tcBorders>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F4EFF6"/>
            </w:tcBorders>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4.4</w:t>
            </w:r>
          </w:p>
        </w:tc>
        <w:tc>
          <w:tcPr>
            <w:tcW w:w="40" w:type="dxa"/>
            <w:vAlign w:val="bottom"/>
            <w:tcBorders>
              <w:bottom w:val="single" w:sz="8" w:color="F4EFF6"/>
            </w:tcBorders>
            <w:shd w:val="clear" w:color="auto" w:fill="F4EFF6"/>
          </w:tcPr>
          <w:p>
            <w:pPr>
              <w:spacing w:after="0"/>
              <w:rPr>
                <w:sz w:val="21"/>
                <w:szCs w:val="21"/>
                <w:color w:val="auto"/>
              </w:rPr>
            </w:pPr>
          </w:p>
        </w:tc>
        <w:tc>
          <w:tcPr>
            <w:tcW w:w="96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4.4</w:t>
            </w:r>
          </w:p>
        </w:tc>
        <w:tc>
          <w:tcPr>
            <w:tcW w:w="20" w:type="dxa"/>
            <w:vAlign w:val="bottom"/>
            <w:tcBorders>
              <w:bottom w:val="single" w:sz="8" w:color="B6B6B6"/>
            </w:tcBorders>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160" w:type="dxa"/>
            <w:vAlign w:val="bottom"/>
            <w:tcBorders>
              <w:top w:val="single" w:sz="8" w:color="B6B6B6"/>
            </w:tcBorders>
          </w:tcPr>
          <w:p>
            <w:pPr>
              <w:ind w:left="20"/>
              <w:spacing w:after="0"/>
              <w:rPr>
                <w:sz w:val="20"/>
                <w:szCs w:val="20"/>
                <w:color w:val="auto"/>
              </w:rPr>
            </w:pPr>
            <w:r>
              <w:rPr>
                <w:rFonts w:ascii="Arial" w:cs="Arial" w:eastAsia="Arial" w:hAnsi="Arial"/>
                <w:sz w:val="15"/>
                <w:szCs w:val="15"/>
                <w:i w:val="1"/>
                <w:iCs w:val="1"/>
                <w:color w:val="auto"/>
              </w:rPr>
              <w:t>Total comprehensive income for the period</w:t>
            </w:r>
          </w:p>
        </w:tc>
        <w:tc>
          <w:tcPr>
            <w:tcW w:w="1000" w:type="dxa"/>
            <w:vAlign w:val="bottom"/>
            <w:tcBorders>
              <w:top w:val="single" w:sz="8" w:color="B6B6B6"/>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B6B6B6"/>
              <w:bottom w:val="single" w:sz="8" w:color="F4EFF6"/>
            </w:tcBorders>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top w:val="single" w:sz="8" w:color="B6B6B6"/>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6.6</w:t>
            </w:r>
          </w:p>
        </w:tc>
        <w:tc>
          <w:tcPr>
            <w:tcW w:w="1020" w:type="dxa"/>
            <w:vAlign w:val="bottom"/>
            <w:tcBorders>
              <w:top w:val="single" w:sz="8" w:color="B6B6B6"/>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142.6</w:t>
            </w:r>
          </w:p>
        </w:tc>
        <w:tc>
          <w:tcPr>
            <w:tcW w:w="1020" w:type="dxa"/>
            <w:vAlign w:val="bottom"/>
            <w:tcBorders>
              <w:top w:val="single" w:sz="8" w:color="B6B6B6"/>
              <w:bottom w:val="single" w:sz="8" w:color="F4EFF6"/>
            </w:tcBorders>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top w:val="single" w:sz="8" w:color="B6B6B6"/>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37.5</w:t>
            </w:r>
          </w:p>
        </w:tc>
        <w:tc>
          <w:tcPr>
            <w:tcW w:w="40" w:type="dxa"/>
            <w:vAlign w:val="bottom"/>
            <w:tcBorders>
              <w:top w:val="single" w:sz="8" w:color="B6B6B6"/>
              <w:bottom w:val="single" w:sz="8" w:color="F4EFF6"/>
            </w:tcBorders>
            <w:shd w:val="clear" w:color="auto" w:fill="F4EFF6"/>
          </w:tcPr>
          <w:p>
            <w:pPr>
              <w:spacing w:after="0"/>
              <w:rPr>
                <w:sz w:val="20"/>
                <w:szCs w:val="20"/>
                <w:color w:val="auto"/>
              </w:rPr>
            </w:pPr>
          </w:p>
        </w:tc>
        <w:tc>
          <w:tcPr>
            <w:tcW w:w="960" w:type="dxa"/>
            <w:vAlign w:val="bottom"/>
            <w:tcBorders>
              <w:top w:val="single" w:sz="8" w:color="B6B6B6"/>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186.7</w:t>
            </w:r>
          </w:p>
        </w:tc>
        <w:tc>
          <w:tcPr>
            <w:tcW w:w="20" w:type="dxa"/>
            <w:vAlign w:val="bottom"/>
            <w:tcBorders>
              <w:top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1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AT1 securities dividends paid</w:t>
            </w:r>
          </w:p>
        </w:tc>
        <w:tc>
          <w:tcPr>
            <w:tcW w:w="10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DADAE7"/>
              <w:bottom w:val="single" w:sz="8" w:color="F4EFF6"/>
            </w:tcBorders>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(6.6)</w:t>
            </w:r>
          </w:p>
        </w:tc>
        <w:tc>
          <w:tcPr>
            <w:tcW w:w="10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DADAE7"/>
              <w:bottom w:val="single" w:sz="8" w:color="F4EFF6"/>
            </w:tcBorders>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9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1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Ordinary dividends paid</w:t>
            </w:r>
          </w:p>
        </w:tc>
        <w:tc>
          <w:tcPr>
            <w:tcW w:w="10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DADAE7"/>
              <w:bottom w:val="single" w:sz="8" w:color="F4EFF6"/>
            </w:tcBorders>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(20.7)</w:t>
            </w:r>
          </w:p>
        </w:tc>
        <w:tc>
          <w:tcPr>
            <w:tcW w:w="1020" w:type="dxa"/>
            <w:vAlign w:val="bottom"/>
            <w:tcBorders>
              <w:top w:val="single" w:sz="8" w:color="DADAE7"/>
              <w:bottom w:val="single" w:sz="8" w:color="F4EFF6"/>
            </w:tcBorders>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9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1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Share premium</w:t>
            </w:r>
          </w:p>
        </w:tc>
        <w:tc>
          <w:tcPr>
            <w:tcW w:w="10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DADAE7"/>
              <w:bottom w:val="single" w:sz="8" w:color="F4EFF6"/>
            </w:tcBorders>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23.4</w:t>
            </w:r>
          </w:p>
        </w:tc>
        <w:tc>
          <w:tcPr>
            <w:tcW w:w="10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(23.4)</w:t>
            </w:r>
          </w:p>
        </w:tc>
        <w:tc>
          <w:tcPr>
            <w:tcW w:w="10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9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1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Purchase of Treasury Shares</w:t>
            </w:r>
          </w:p>
        </w:tc>
        <w:tc>
          <w:tcPr>
            <w:tcW w:w="10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DADAE7"/>
              <w:bottom w:val="single" w:sz="8" w:color="F4EFF6"/>
            </w:tcBorders>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(44.3)</w:t>
            </w:r>
          </w:p>
        </w:tc>
        <w:tc>
          <w:tcPr>
            <w:tcW w:w="10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9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1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Share-based payments</w:t>
            </w:r>
          </w:p>
        </w:tc>
        <w:tc>
          <w:tcPr>
            <w:tcW w:w="10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DADAE7"/>
              <w:bottom w:val="single" w:sz="8" w:color="F4EFF6"/>
            </w:tcBorders>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16.5</w:t>
            </w:r>
          </w:p>
        </w:tc>
        <w:tc>
          <w:tcPr>
            <w:tcW w:w="1020" w:type="dxa"/>
            <w:vAlign w:val="bottom"/>
            <w:tcBorders>
              <w:top w:val="single" w:sz="8" w:color="DADAE7"/>
              <w:bottom w:val="single" w:sz="8" w:color="F4EFF6"/>
            </w:tcBorders>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9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1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Deferred tax on share-based payments</w:t>
            </w:r>
          </w:p>
        </w:tc>
        <w:tc>
          <w:tcPr>
            <w:tcW w:w="10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DADAE7"/>
              <w:bottom w:val="single" w:sz="8" w:color="F4EFF6"/>
            </w:tcBorders>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DADAE7"/>
              <w:bottom w:val="single" w:sz="8" w:color="F4EFF6"/>
            </w:tcBorders>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(6.3)</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9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Current tax on share-based payments</w:t>
            </w:r>
          </w:p>
        </w:tc>
        <w:tc>
          <w:tcPr>
            <w:tcW w:w="10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DADAE7"/>
              <w:bottom w:val="single" w:sz="8" w:color="F4EFF6"/>
            </w:tcBorders>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DADAE7"/>
              <w:bottom w:val="single" w:sz="8" w:color="F4EFF6"/>
            </w:tcBorders>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9.0</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9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1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Share settlement of share-based awards</w:t>
            </w:r>
          </w:p>
        </w:tc>
        <w:tc>
          <w:tcPr>
            <w:tcW w:w="10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DADAE7"/>
              <w:bottom w:val="single" w:sz="8" w:color="F4EFF6"/>
            </w:tcBorders>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(32.6)</w:t>
            </w:r>
          </w:p>
        </w:tc>
        <w:tc>
          <w:tcPr>
            <w:tcW w:w="1020" w:type="dxa"/>
            <w:vAlign w:val="bottom"/>
            <w:tcBorders>
              <w:top w:val="single" w:sz="8" w:color="DADAE7"/>
              <w:bottom w:val="single" w:sz="8" w:color="F4EFF6"/>
            </w:tcBorders>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32.6</w:t>
            </w:r>
          </w:p>
        </w:tc>
        <w:tc>
          <w:tcPr>
            <w:tcW w:w="10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9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tcBorders>
              <w:top w:val="single" w:sz="8" w:color="A172B1"/>
            </w:tcBorders>
          </w:tcPr>
          <w:p>
            <w:pPr>
              <w:ind w:left="20"/>
              <w:spacing w:after="0"/>
              <w:rPr>
                <w:sz w:val="20"/>
                <w:szCs w:val="20"/>
                <w:color w:val="auto"/>
              </w:rPr>
            </w:pPr>
            <w:r>
              <w:rPr>
                <w:rFonts w:ascii="Arial" w:cs="Arial" w:eastAsia="Arial" w:hAnsi="Arial"/>
                <w:sz w:val="15"/>
                <w:szCs w:val="15"/>
                <w:b w:val="1"/>
                <w:bCs w:val="1"/>
                <w:color w:val="auto"/>
              </w:rPr>
              <w:t>At 30 June 2025</w:t>
            </w:r>
          </w:p>
        </w:tc>
        <w:tc>
          <w:tcPr>
            <w:tcW w:w="1000" w:type="dxa"/>
            <w:vAlign w:val="bottom"/>
            <w:tcBorders>
              <w:top w:val="single" w:sz="8" w:color="A172B1"/>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0.1</w:t>
            </w:r>
          </w:p>
        </w:tc>
        <w:tc>
          <w:tcPr>
            <w:tcW w:w="1020" w:type="dxa"/>
            <w:vAlign w:val="bottom"/>
            <w:tcBorders>
              <w:top w:val="single" w:sz="8" w:color="A172B1"/>
              <w:bottom w:val="single" w:sz="8" w:color="F4EFF6"/>
            </w:tcBorders>
            <w:shd w:val="clear" w:color="auto" w:fill="F4EFF6"/>
          </w:tcPr>
          <w:p>
            <w:pPr>
              <w:jc w:val="right"/>
              <w:ind w:right="4"/>
              <w:spacing w:after="0"/>
              <w:rPr>
                <w:sz w:val="20"/>
                <w:szCs w:val="20"/>
                <w:color w:val="auto"/>
              </w:rPr>
            </w:pPr>
            <w:r>
              <w:rPr>
                <w:rFonts w:ascii="Arial" w:cs="Arial" w:eastAsia="Arial" w:hAnsi="Arial"/>
                <w:sz w:val="15"/>
                <w:szCs w:val="15"/>
                <w:b w:val="1"/>
                <w:bCs w:val="1"/>
                <w:color w:val="auto"/>
              </w:rPr>
              <w:t>226.0</w:t>
            </w:r>
          </w:p>
        </w:tc>
        <w:tc>
          <w:tcPr>
            <w:tcW w:w="1000" w:type="dxa"/>
            <w:vAlign w:val="bottom"/>
            <w:tcBorders>
              <w:top w:val="single" w:sz="8" w:color="A172B1"/>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97.6</w:t>
            </w:r>
          </w:p>
        </w:tc>
        <w:tc>
          <w:tcPr>
            <w:tcW w:w="1020" w:type="dxa"/>
            <w:vAlign w:val="bottom"/>
            <w:tcBorders>
              <w:top w:val="single" w:sz="8" w:color="A172B1"/>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828.2</w:t>
            </w:r>
          </w:p>
        </w:tc>
        <w:tc>
          <w:tcPr>
            <w:tcW w:w="1020" w:type="dxa"/>
            <w:vAlign w:val="bottom"/>
            <w:tcBorders>
              <w:top w:val="single" w:sz="8" w:color="A172B1"/>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(58.3)</w:t>
            </w:r>
          </w:p>
        </w:tc>
        <w:tc>
          <w:tcPr>
            <w:tcW w:w="1000" w:type="dxa"/>
            <w:vAlign w:val="bottom"/>
            <w:tcBorders>
              <w:top w:val="single" w:sz="8" w:color="A172B1"/>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17.6</w:t>
            </w:r>
          </w:p>
        </w:tc>
        <w:tc>
          <w:tcPr>
            <w:tcW w:w="40" w:type="dxa"/>
            <w:vAlign w:val="bottom"/>
            <w:tcBorders>
              <w:top w:val="single" w:sz="8" w:color="A172B1"/>
              <w:bottom w:val="single" w:sz="8" w:color="F4EFF6"/>
            </w:tcBorders>
            <w:shd w:val="clear" w:color="auto" w:fill="F4EFF6"/>
          </w:tcPr>
          <w:p>
            <w:pPr>
              <w:spacing w:after="0"/>
              <w:rPr>
                <w:sz w:val="18"/>
                <w:szCs w:val="18"/>
                <w:color w:val="auto"/>
              </w:rPr>
            </w:pPr>
          </w:p>
        </w:tc>
        <w:tc>
          <w:tcPr>
            <w:tcW w:w="960" w:type="dxa"/>
            <w:vAlign w:val="bottom"/>
            <w:tcBorders>
              <w:top w:val="single" w:sz="8" w:color="A172B1"/>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1,111.2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Borders>
              <w:left w:val="single" w:sz="8" w:color="793690"/>
            </w:tcBorders>
            <w:shd w:val="clear" w:color="auto" w:fill="793690"/>
          </w:tcPr>
          <w:p>
            <w:pPr>
              <w:spacing w:after="0" w:line="20" w:lineRule="exact"/>
              <w:rPr>
                <w:sz w:val="1"/>
                <w:szCs w:val="1"/>
                <w:color w:val="auto"/>
              </w:rPr>
            </w:pPr>
          </w:p>
        </w:tc>
        <w:tc>
          <w:tcPr>
            <w:tcW w:w="1000" w:type="dxa"/>
            <w:vAlign w:val="bottom"/>
            <w:shd w:val="clear" w:color="auto" w:fill="793690"/>
          </w:tcPr>
          <w:p>
            <w:pPr>
              <w:spacing w:after="0" w:line="20" w:lineRule="exact"/>
              <w:rPr>
                <w:sz w:val="1"/>
                <w:szCs w:val="1"/>
                <w:color w:val="auto"/>
              </w:rPr>
            </w:pPr>
          </w:p>
        </w:tc>
        <w:tc>
          <w:tcPr>
            <w:tcW w:w="1020" w:type="dxa"/>
            <w:vAlign w:val="bottom"/>
            <w:shd w:val="clear" w:color="auto" w:fill="793690"/>
          </w:tcPr>
          <w:p>
            <w:pPr>
              <w:spacing w:after="0" w:line="20" w:lineRule="exact"/>
              <w:rPr>
                <w:sz w:val="1"/>
                <w:szCs w:val="1"/>
                <w:color w:val="auto"/>
              </w:rPr>
            </w:pPr>
          </w:p>
        </w:tc>
        <w:tc>
          <w:tcPr>
            <w:tcW w:w="1000" w:type="dxa"/>
            <w:vAlign w:val="bottom"/>
            <w:shd w:val="clear" w:color="auto" w:fill="793690"/>
          </w:tcPr>
          <w:p>
            <w:pPr>
              <w:spacing w:after="0" w:line="20" w:lineRule="exact"/>
              <w:rPr>
                <w:sz w:val="1"/>
                <w:szCs w:val="1"/>
                <w:color w:val="auto"/>
              </w:rPr>
            </w:pPr>
          </w:p>
        </w:tc>
        <w:tc>
          <w:tcPr>
            <w:tcW w:w="1020" w:type="dxa"/>
            <w:vAlign w:val="bottom"/>
            <w:shd w:val="clear" w:color="auto" w:fill="793690"/>
          </w:tcPr>
          <w:p>
            <w:pPr>
              <w:spacing w:after="0" w:line="20" w:lineRule="exact"/>
              <w:rPr>
                <w:sz w:val="1"/>
                <w:szCs w:val="1"/>
                <w:color w:val="auto"/>
              </w:rPr>
            </w:pPr>
          </w:p>
        </w:tc>
        <w:tc>
          <w:tcPr>
            <w:tcW w:w="1020" w:type="dxa"/>
            <w:vAlign w:val="bottom"/>
            <w:shd w:val="clear" w:color="auto" w:fill="793690"/>
          </w:tcPr>
          <w:p>
            <w:pPr>
              <w:spacing w:after="0" w:line="20" w:lineRule="exact"/>
              <w:rPr>
                <w:sz w:val="1"/>
                <w:szCs w:val="1"/>
                <w:color w:val="auto"/>
              </w:rPr>
            </w:pPr>
          </w:p>
        </w:tc>
        <w:tc>
          <w:tcPr>
            <w:tcW w:w="1000" w:type="dxa"/>
            <w:vAlign w:val="bottom"/>
            <w:shd w:val="clear" w:color="auto" w:fill="793690"/>
          </w:tcPr>
          <w:p>
            <w:pPr>
              <w:spacing w:after="0" w:line="20" w:lineRule="exact"/>
              <w:rPr>
                <w:sz w:val="1"/>
                <w:szCs w:val="1"/>
                <w:color w:val="auto"/>
              </w:rPr>
            </w:pPr>
          </w:p>
        </w:tc>
        <w:tc>
          <w:tcPr>
            <w:tcW w:w="40" w:type="dxa"/>
            <w:vAlign w:val="bottom"/>
            <w:shd w:val="clear" w:color="auto" w:fill="793690"/>
          </w:tcPr>
          <w:p>
            <w:pPr>
              <w:spacing w:after="0" w:line="20" w:lineRule="exact"/>
              <w:rPr>
                <w:sz w:val="1"/>
                <w:szCs w:val="1"/>
                <w:color w:val="auto"/>
              </w:rPr>
            </w:pPr>
          </w:p>
        </w:tc>
        <w:tc>
          <w:tcPr>
            <w:tcW w:w="960" w:type="dxa"/>
            <w:vAlign w:val="bottom"/>
            <w:shd w:val="clear" w:color="auto" w:fill="79369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53" w:right="339" w:bottom="5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6</w:t>
      </w:r>
    </w:p>
    <w:p>
      <w:pPr>
        <w:sectPr>
          <w:pgSz w:w="11900" w:h="16838" w:orient="portrait"/>
          <w:cols w:equalWidth="0" w:num="1">
            <w:col w:w="11240"/>
          </w:cols>
          <w:pgMar w:left="320" w:top="1353" w:right="339" w:bottom="511" w:gutter="0" w:footer="0" w:header="0"/>
          <w:type w:val="continuous"/>
        </w:sectPr>
      </w:pPr>
    </w:p>
    <w:bookmarkStart w:id="27" w:name="page28"/>
    <w:bookmarkEnd w:id="27"/>
    <w:p>
      <w:pPr>
        <w:spacing w:after="0"/>
        <w:rPr>
          <w:sz w:val="20"/>
          <w:szCs w:val="20"/>
          <w:color w:val="auto"/>
        </w:rPr>
      </w:pPr>
      <w:r>
        <w:rPr>
          <w:rFonts w:ascii="Arial" w:cs="Arial" w:eastAsia="Arial" w:hAnsi="Arial"/>
          <w:sz w:val="22"/>
          <w:szCs w:val="22"/>
          <w:b w:val="1"/>
          <w:bCs w:val="1"/>
          <w:color w:val="793690"/>
        </w:rPr>
        <w:t>Unaudited Condensed Consolidated Statement of Cash Flows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the six months ended 30 June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6 months ended</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6 months ended</w:t>
            </w:r>
          </w:p>
        </w:tc>
      </w:tr>
      <w:tr>
        <w:trPr>
          <w:trHeight w:val="183"/>
        </w:trPr>
        <w:tc>
          <w:tcPr>
            <w:tcW w:w="58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30 June 2024</w:t>
            </w:r>
          </w:p>
        </w:tc>
      </w:tr>
      <w:tr>
        <w:trPr>
          <w:trHeight w:val="373"/>
        </w:trPr>
        <w:tc>
          <w:tcPr>
            <w:tcW w:w="584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3"/>
                <w:szCs w:val="13"/>
                <w:b w:val="1"/>
                <w:bCs w:val="1"/>
                <w:color w:val="auto"/>
              </w:rPr>
              <w:t>Notes</w:t>
            </w:r>
          </w:p>
        </w:tc>
        <w:tc>
          <w:tcPr>
            <w:tcW w:w="16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$m</w:t>
            </w:r>
          </w:p>
        </w:tc>
      </w:tr>
      <w:tr>
        <w:trPr>
          <w:trHeight w:val="237"/>
        </w:trPr>
        <w:tc>
          <w:tcPr>
            <w:tcW w:w="584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Profit before tax</w:t>
            </w:r>
          </w:p>
        </w:tc>
        <w:tc>
          <w:tcPr>
            <w:tcW w:w="2020" w:type="dxa"/>
            <w:vAlign w:val="bottom"/>
            <w:tcBorders>
              <w:top w:val="single" w:sz="8" w:color="793690"/>
            </w:tcBorders>
          </w:tcPr>
          <w:p>
            <w:pPr>
              <w:spacing w:after="0"/>
              <w:rPr>
                <w:sz w:val="20"/>
                <w:szCs w:val="20"/>
                <w:color w:val="auto"/>
              </w:rPr>
            </w:pPr>
          </w:p>
        </w:tc>
        <w:tc>
          <w:tcPr>
            <w:tcW w:w="162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201.6</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139.0</w:t>
            </w:r>
          </w:p>
        </w:tc>
      </w:tr>
      <w:tr>
        <w:trPr>
          <w:trHeight w:val="236"/>
        </w:trPr>
        <w:tc>
          <w:tcPr>
            <w:tcW w:w="5840" w:type="dxa"/>
            <w:vAlign w:val="bottom"/>
            <w:tcBorders>
              <w:top w:val="single" w:sz="8" w:color="DADAE7"/>
            </w:tcBorders>
          </w:tcPr>
          <w:p>
            <w:pPr>
              <w:ind w:left="20"/>
              <w:spacing w:after="0"/>
              <w:rPr>
                <w:sz w:val="20"/>
                <w:szCs w:val="20"/>
                <w:color w:val="auto"/>
              </w:rPr>
            </w:pPr>
            <w:r>
              <w:rPr>
                <w:rFonts w:ascii="Arial" w:cs="Arial" w:eastAsia="Arial" w:hAnsi="Arial"/>
                <w:sz w:val="15"/>
                <w:szCs w:val="15"/>
                <w:b w:val="1"/>
                <w:bCs w:val="1"/>
                <w:color w:val="auto"/>
              </w:rPr>
              <w:t>Adjustments for:</w:t>
            </w:r>
          </w:p>
        </w:tc>
        <w:tc>
          <w:tcPr>
            <w:tcW w:w="202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spacing w:after="0"/>
              <w:rPr>
                <w:sz w:val="20"/>
                <w:szCs w:val="20"/>
                <w:color w:val="auto"/>
              </w:rPr>
            </w:pPr>
          </w:p>
        </w:tc>
        <w:tc>
          <w:tcPr>
            <w:tcW w:w="1740" w:type="dxa"/>
            <w:vAlign w:val="bottom"/>
            <w:tcBorders>
              <w:top w:val="single" w:sz="8" w:color="DADAE7"/>
            </w:tcBorders>
          </w:tcPr>
          <w:p>
            <w:pPr>
              <w:spacing w:after="0"/>
              <w:rPr>
                <w:sz w:val="20"/>
                <w:szCs w:val="20"/>
                <w:color w:val="auto"/>
              </w:rPr>
            </w:pPr>
          </w:p>
        </w:tc>
      </w:tr>
      <w:tr>
        <w:trPr>
          <w:trHeight w:val="237"/>
        </w:trPr>
        <w:tc>
          <w:tcPr>
            <w:tcW w:w="58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Amortisation of intangible assets</w:t>
            </w:r>
          </w:p>
        </w:tc>
        <w:tc>
          <w:tcPr>
            <w:tcW w:w="202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6.3</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6.5</w:t>
            </w:r>
          </w:p>
        </w:tc>
      </w:tr>
      <w:tr>
        <w:trPr>
          <w:trHeight w:val="237"/>
        </w:trPr>
        <w:tc>
          <w:tcPr>
            <w:tcW w:w="58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Depreciation of property, plant and equipment</w:t>
            </w:r>
          </w:p>
        </w:tc>
        <w:tc>
          <w:tcPr>
            <w:tcW w:w="202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4.5</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3.5</w:t>
            </w:r>
          </w:p>
        </w:tc>
      </w:tr>
      <w:tr>
        <w:trPr>
          <w:trHeight w:val="237"/>
        </w:trPr>
        <w:tc>
          <w:tcPr>
            <w:tcW w:w="58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Depreciation of right-of-use asset</w:t>
            </w:r>
          </w:p>
        </w:tc>
        <w:tc>
          <w:tcPr>
            <w:tcW w:w="202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5.7</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5.4</w:t>
            </w:r>
          </w:p>
        </w:tc>
      </w:tr>
      <w:tr>
        <w:trPr>
          <w:trHeight w:val="237"/>
        </w:trPr>
        <w:tc>
          <w:tcPr>
            <w:tcW w:w="58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Impairment of right-of-use asset</w:t>
            </w:r>
          </w:p>
        </w:tc>
        <w:tc>
          <w:tcPr>
            <w:tcW w:w="202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0.1</w:t>
            </w:r>
          </w:p>
        </w:tc>
      </w:tr>
      <w:tr>
        <w:trPr>
          <w:trHeight w:val="236"/>
        </w:trPr>
        <w:tc>
          <w:tcPr>
            <w:tcW w:w="58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Gain on sale of subsidiary</w:t>
            </w:r>
          </w:p>
        </w:tc>
        <w:tc>
          <w:tcPr>
            <w:tcW w:w="202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(2.5)</w:t>
            </w:r>
          </w:p>
        </w:tc>
      </w:tr>
      <w:tr>
        <w:trPr>
          <w:trHeight w:val="237"/>
        </w:trPr>
        <w:tc>
          <w:tcPr>
            <w:tcW w:w="58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Bargain purchase gain on acquisitions</w:t>
            </w:r>
          </w:p>
        </w:tc>
        <w:tc>
          <w:tcPr>
            <w:tcW w:w="202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6</w:t>
            </w:r>
          </w:p>
        </w:tc>
        <w:tc>
          <w:tcPr>
            <w:tcW w:w="16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(3.6)</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w:t>
            </w:r>
          </w:p>
        </w:tc>
      </w:tr>
      <w:tr>
        <w:trPr>
          <w:trHeight w:val="237"/>
        </w:trPr>
        <w:tc>
          <w:tcPr>
            <w:tcW w:w="58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Increase in provisions</w:t>
            </w:r>
          </w:p>
        </w:tc>
        <w:tc>
          <w:tcPr>
            <w:tcW w:w="202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0.1</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0.1</w:t>
            </w:r>
          </w:p>
        </w:tc>
      </w:tr>
      <w:tr>
        <w:trPr>
          <w:trHeight w:val="237"/>
        </w:trPr>
        <w:tc>
          <w:tcPr>
            <w:tcW w:w="58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Provision for credit losses</w:t>
            </w:r>
          </w:p>
        </w:tc>
        <w:tc>
          <w:tcPr>
            <w:tcW w:w="202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1.1</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(2.2)</w:t>
            </w:r>
          </w:p>
        </w:tc>
      </w:tr>
      <w:tr>
        <w:trPr>
          <w:trHeight w:val="236"/>
        </w:trPr>
        <w:tc>
          <w:tcPr>
            <w:tcW w:w="58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Lease liability foreign exchange revaluation</w:t>
            </w:r>
          </w:p>
        </w:tc>
        <w:tc>
          <w:tcPr>
            <w:tcW w:w="202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4.5</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(0.2)</w:t>
            </w:r>
          </w:p>
        </w:tc>
      </w:tr>
      <w:tr>
        <w:trPr>
          <w:trHeight w:val="237"/>
        </w:trPr>
        <w:tc>
          <w:tcPr>
            <w:tcW w:w="58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Movement in fair value of derivative instruments</w:t>
            </w:r>
          </w:p>
        </w:tc>
        <w:tc>
          <w:tcPr>
            <w:tcW w:w="202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10</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84.4</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19.4</w:t>
            </w:r>
          </w:p>
        </w:tc>
      </w:tr>
      <w:tr>
        <w:trPr>
          <w:trHeight w:val="237"/>
        </w:trPr>
        <w:tc>
          <w:tcPr>
            <w:tcW w:w="58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Foreign exchange revaluations</w:t>
            </w:r>
          </w:p>
        </w:tc>
        <w:tc>
          <w:tcPr>
            <w:tcW w:w="202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(37.2)</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6.0</w:t>
            </w:r>
          </w:p>
        </w:tc>
      </w:tr>
      <w:tr>
        <w:trPr>
          <w:trHeight w:val="237"/>
        </w:trPr>
        <w:tc>
          <w:tcPr>
            <w:tcW w:w="58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Other non-cash movements</w:t>
            </w:r>
          </w:p>
        </w:tc>
        <w:tc>
          <w:tcPr>
            <w:tcW w:w="202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1.0</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(4.5)</w:t>
            </w:r>
          </w:p>
        </w:tc>
      </w:tr>
      <w:tr>
        <w:trPr>
          <w:trHeight w:val="237"/>
        </w:trPr>
        <w:tc>
          <w:tcPr>
            <w:tcW w:w="58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Fair value of the cash settlement option on the growth shares</w:t>
            </w:r>
          </w:p>
        </w:tc>
        <w:tc>
          <w:tcPr>
            <w:tcW w:w="202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2.3</w:t>
            </w:r>
          </w:p>
        </w:tc>
      </w:tr>
      <w:tr>
        <w:trPr>
          <w:trHeight w:val="236"/>
        </w:trPr>
        <w:tc>
          <w:tcPr>
            <w:tcW w:w="58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Share-based compensation expense</w:t>
            </w:r>
          </w:p>
        </w:tc>
        <w:tc>
          <w:tcPr>
            <w:tcW w:w="202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17</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16.5</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7.4</w:t>
            </w:r>
          </w:p>
        </w:tc>
      </w:tr>
      <w:tr>
        <w:trPr>
          <w:trHeight w:val="236"/>
        </w:trPr>
        <w:tc>
          <w:tcPr>
            <w:tcW w:w="584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Operating cash flow before changes in working capital</w:t>
            </w:r>
          </w:p>
        </w:tc>
        <w:tc>
          <w:tcPr>
            <w:tcW w:w="2020" w:type="dxa"/>
            <w:vAlign w:val="bottom"/>
            <w:tcBorders>
              <w:top w:val="single" w:sz="8" w:color="793690"/>
            </w:tcBorders>
          </w:tcPr>
          <w:p>
            <w:pPr>
              <w:spacing w:after="0"/>
              <w:rPr>
                <w:sz w:val="20"/>
                <w:szCs w:val="20"/>
                <w:color w:val="auto"/>
              </w:rPr>
            </w:pPr>
          </w:p>
        </w:tc>
        <w:tc>
          <w:tcPr>
            <w:tcW w:w="162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284.9</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180.3</w:t>
            </w:r>
          </w:p>
        </w:tc>
      </w:tr>
      <w:tr>
        <w:trPr>
          <w:trHeight w:val="237"/>
        </w:trPr>
        <w:tc>
          <w:tcPr>
            <w:tcW w:w="5840" w:type="dxa"/>
            <w:vAlign w:val="bottom"/>
            <w:tcBorders>
              <w:top w:val="single" w:sz="8" w:color="DADAE7"/>
            </w:tcBorders>
          </w:tcPr>
          <w:p>
            <w:pPr>
              <w:ind w:left="20"/>
              <w:spacing w:after="0"/>
              <w:rPr>
                <w:sz w:val="20"/>
                <w:szCs w:val="20"/>
                <w:color w:val="auto"/>
              </w:rPr>
            </w:pPr>
            <w:r>
              <w:rPr>
                <w:rFonts w:ascii="Arial" w:cs="Arial" w:eastAsia="Arial" w:hAnsi="Arial"/>
                <w:sz w:val="15"/>
                <w:szCs w:val="15"/>
                <w:b w:val="1"/>
                <w:bCs w:val="1"/>
                <w:color w:val="auto"/>
              </w:rPr>
              <w:t>Working capital adjustments:</w:t>
            </w:r>
          </w:p>
        </w:tc>
        <w:tc>
          <w:tcPr>
            <w:tcW w:w="202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spacing w:after="0"/>
              <w:rPr>
                <w:sz w:val="20"/>
                <w:szCs w:val="20"/>
                <w:color w:val="auto"/>
              </w:rPr>
            </w:pPr>
          </w:p>
        </w:tc>
        <w:tc>
          <w:tcPr>
            <w:tcW w:w="1740" w:type="dxa"/>
            <w:vAlign w:val="bottom"/>
            <w:tcBorders>
              <w:top w:val="single" w:sz="8" w:color="DADAE7"/>
            </w:tcBorders>
          </w:tcPr>
          <w:p>
            <w:pPr>
              <w:spacing w:after="0"/>
              <w:rPr>
                <w:sz w:val="20"/>
                <w:szCs w:val="20"/>
                <w:color w:val="auto"/>
              </w:rPr>
            </w:pPr>
          </w:p>
        </w:tc>
      </w:tr>
      <w:tr>
        <w:trPr>
          <w:trHeight w:val="236"/>
        </w:trPr>
        <w:tc>
          <w:tcPr>
            <w:tcW w:w="58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(Increase)/decrease in trade and other receivables</w:t>
            </w:r>
          </w:p>
        </w:tc>
        <w:tc>
          <w:tcPr>
            <w:tcW w:w="202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(3,227.5)</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380.4</w:t>
            </w:r>
          </w:p>
        </w:tc>
      </w:tr>
      <w:tr>
        <w:trPr>
          <w:trHeight w:val="237"/>
        </w:trPr>
        <w:tc>
          <w:tcPr>
            <w:tcW w:w="58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Increase in trade and other payables</w:t>
            </w:r>
          </w:p>
        </w:tc>
        <w:tc>
          <w:tcPr>
            <w:tcW w:w="202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3,459.2</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341.9</w:t>
            </w:r>
          </w:p>
        </w:tc>
      </w:tr>
      <w:tr>
        <w:trPr>
          <w:trHeight w:val="236"/>
        </w:trPr>
        <w:tc>
          <w:tcPr>
            <w:tcW w:w="58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(Increase) in fixed income securities</w:t>
            </w:r>
          </w:p>
        </w:tc>
        <w:tc>
          <w:tcPr>
            <w:tcW w:w="202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(17.7)</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w:t>
            </w:r>
          </w:p>
        </w:tc>
      </w:tr>
      <w:tr>
        <w:trPr>
          <w:trHeight w:val="237"/>
        </w:trPr>
        <w:tc>
          <w:tcPr>
            <w:tcW w:w="58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Decrease/(increase) in treasury instruments</w:t>
            </w:r>
          </w:p>
        </w:tc>
        <w:tc>
          <w:tcPr>
            <w:tcW w:w="202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140.7</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(238.7)</w:t>
            </w:r>
          </w:p>
        </w:tc>
      </w:tr>
      <w:tr>
        <w:trPr>
          <w:trHeight w:val="237"/>
        </w:trPr>
        <w:tc>
          <w:tcPr>
            <w:tcW w:w="58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(Increase) in equity instruments</w:t>
            </w:r>
          </w:p>
        </w:tc>
        <w:tc>
          <w:tcPr>
            <w:tcW w:w="202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(888.5)</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(1,213.4)</w:t>
            </w:r>
          </w:p>
        </w:tc>
      </w:tr>
      <w:tr>
        <w:trPr>
          <w:trHeight w:val="236"/>
        </w:trPr>
        <w:tc>
          <w:tcPr>
            <w:tcW w:w="58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Increase in debt securities</w:t>
            </w:r>
            <w:r>
              <w:rPr>
                <w:rFonts w:ascii="Arial" w:cs="Arial" w:eastAsia="Arial" w:hAnsi="Arial"/>
                <w:sz w:val="9"/>
                <w:szCs w:val="9"/>
                <w:color w:val="auto"/>
              </w:rPr>
              <w:t>1</w:t>
            </w:r>
          </w:p>
        </w:tc>
        <w:tc>
          <w:tcPr>
            <w:tcW w:w="202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1,652.3</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226.6</w:t>
            </w:r>
          </w:p>
        </w:tc>
      </w:tr>
      <w:tr>
        <w:trPr>
          <w:trHeight w:val="237"/>
        </w:trPr>
        <w:tc>
          <w:tcPr>
            <w:tcW w:w="58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Net repayment of borrowings</w:t>
            </w:r>
          </w:p>
        </w:tc>
        <w:tc>
          <w:tcPr>
            <w:tcW w:w="202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(39.2)</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w:t>
            </w:r>
          </w:p>
        </w:tc>
      </w:tr>
      <w:tr>
        <w:trPr>
          <w:trHeight w:val="236"/>
        </w:trPr>
        <w:tc>
          <w:tcPr>
            <w:tcW w:w="58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(Increase)/decrease in inventory</w:t>
            </w:r>
          </w:p>
        </w:tc>
        <w:tc>
          <w:tcPr>
            <w:tcW w:w="202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(198.8)</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40.4</w:t>
            </w:r>
          </w:p>
        </w:tc>
      </w:tr>
      <w:tr>
        <w:trPr>
          <w:trHeight w:val="237"/>
        </w:trPr>
        <w:tc>
          <w:tcPr>
            <w:tcW w:w="58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Decrease/(increase) in net repurchase agreements</w:t>
            </w:r>
          </w:p>
        </w:tc>
        <w:tc>
          <w:tcPr>
            <w:tcW w:w="202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868.1</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(179.0)</w:t>
            </w:r>
          </w:p>
        </w:tc>
      </w:tr>
      <w:tr>
        <w:trPr>
          <w:trHeight w:val="236"/>
        </w:trPr>
        <w:tc>
          <w:tcPr>
            <w:tcW w:w="58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(Decrease)/increase in net stock borrowing and lending</w:t>
            </w:r>
          </w:p>
        </w:tc>
        <w:tc>
          <w:tcPr>
            <w:tcW w:w="202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(1,015.6)</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945.7</w:t>
            </w:r>
          </w:p>
        </w:tc>
      </w:tr>
      <w:tr>
        <w:trPr>
          <w:trHeight w:val="237"/>
        </w:trPr>
        <w:tc>
          <w:tcPr>
            <w:tcW w:w="584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Cash inflow from operating activities</w:t>
            </w:r>
          </w:p>
        </w:tc>
        <w:tc>
          <w:tcPr>
            <w:tcW w:w="2020" w:type="dxa"/>
            <w:vAlign w:val="bottom"/>
            <w:tcBorders>
              <w:top w:val="single" w:sz="8" w:color="793690"/>
            </w:tcBorders>
          </w:tcPr>
          <w:p>
            <w:pPr>
              <w:spacing w:after="0"/>
              <w:rPr>
                <w:sz w:val="20"/>
                <w:szCs w:val="20"/>
                <w:color w:val="auto"/>
              </w:rPr>
            </w:pPr>
          </w:p>
        </w:tc>
        <w:tc>
          <w:tcPr>
            <w:tcW w:w="162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1,017.9</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484.2</w:t>
            </w:r>
          </w:p>
        </w:tc>
      </w:tr>
      <w:tr>
        <w:trPr>
          <w:trHeight w:val="236"/>
        </w:trPr>
        <w:tc>
          <w:tcPr>
            <w:tcW w:w="58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Corporation tax paid</w:t>
            </w:r>
          </w:p>
        </w:tc>
        <w:tc>
          <w:tcPr>
            <w:tcW w:w="202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(90.2)</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(31.7)</w:t>
            </w:r>
          </w:p>
        </w:tc>
      </w:tr>
      <w:tr>
        <w:trPr>
          <w:trHeight w:val="217"/>
        </w:trPr>
        <w:tc>
          <w:tcPr>
            <w:tcW w:w="584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Net cash inflow from operating activities</w:t>
            </w:r>
          </w:p>
        </w:tc>
        <w:tc>
          <w:tcPr>
            <w:tcW w:w="2020" w:type="dxa"/>
            <w:vAlign w:val="bottom"/>
            <w:tcBorders>
              <w:top w:val="single" w:sz="8" w:color="793690"/>
            </w:tcBorders>
          </w:tcPr>
          <w:p>
            <w:pPr>
              <w:spacing w:after="0"/>
              <w:rPr>
                <w:sz w:val="18"/>
                <w:szCs w:val="18"/>
                <w:color w:val="auto"/>
              </w:rPr>
            </w:pPr>
          </w:p>
        </w:tc>
        <w:tc>
          <w:tcPr>
            <w:tcW w:w="162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927.7</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452.5</w:t>
            </w:r>
          </w:p>
        </w:tc>
      </w:tr>
      <w:tr>
        <w:trPr>
          <w:trHeight w:val="20"/>
        </w:trPr>
        <w:tc>
          <w:tcPr>
            <w:tcW w:w="5840" w:type="dxa"/>
            <w:vAlign w:val="bottom"/>
            <w:shd w:val="clear" w:color="auto" w:fill="793690"/>
          </w:tcPr>
          <w:p>
            <w:pPr>
              <w:spacing w:after="0" w:line="20" w:lineRule="exact"/>
              <w:rPr>
                <w:sz w:val="1"/>
                <w:szCs w:val="1"/>
                <w:color w:val="auto"/>
              </w:rPr>
            </w:pPr>
          </w:p>
        </w:tc>
        <w:tc>
          <w:tcPr>
            <w:tcW w:w="2020" w:type="dxa"/>
            <w:vAlign w:val="bottom"/>
            <w:shd w:val="clear" w:color="auto" w:fill="793690"/>
          </w:tcPr>
          <w:p>
            <w:pPr>
              <w:spacing w:after="0" w:line="20" w:lineRule="exact"/>
              <w:rPr>
                <w:sz w:val="1"/>
                <w:szCs w:val="1"/>
                <w:color w:val="auto"/>
              </w:rPr>
            </w:pPr>
          </w:p>
        </w:tc>
        <w:tc>
          <w:tcPr>
            <w:tcW w:w="1620" w:type="dxa"/>
            <w:vAlign w:val="bottom"/>
            <w:shd w:val="clear" w:color="auto" w:fill="793690"/>
          </w:tcPr>
          <w:p>
            <w:pPr>
              <w:spacing w:after="0" w:line="20" w:lineRule="exact"/>
              <w:rPr>
                <w:sz w:val="1"/>
                <w:szCs w:val="1"/>
                <w:color w:val="auto"/>
              </w:rPr>
            </w:pPr>
          </w:p>
        </w:tc>
        <w:tc>
          <w:tcPr>
            <w:tcW w:w="1740" w:type="dxa"/>
            <w:vAlign w:val="bottom"/>
            <w:shd w:val="clear" w:color="auto" w:fill="793690"/>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auto"/>
        </w:rPr>
        <w:t>For the six months ended 30 June 2025, interest received was $421.9m (six months ended 30 June 2024: $348.3m), interest paid was $317.1m (six months ended 30</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June 2024: $238.6m) and dividends received were $nil (six months ended 30 June 2024: $nil).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7</w:t>
      </w:r>
    </w:p>
    <w:p>
      <w:pPr>
        <w:sectPr>
          <w:pgSz w:w="11900" w:h="16838" w:orient="portrait"/>
          <w:cols w:equalWidth="0" w:num="1">
            <w:col w:w="11220"/>
          </w:cols>
          <w:pgMar w:left="320" w:top="1353" w:right="359" w:bottom="1440" w:gutter="0" w:footer="0" w:header="0"/>
        </w:sectPr>
      </w:pPr>
    </w:p>
    <w:bookmarkStart w:id="28" w:name="page29"/>
    <w:bookmarkEnd w:id="28"/>
    <w:p>
      <w:pPr>
        <w:spacing w:after="0"/>
        <w:rPr>
          <w:sz w:val="20"/>
          <w:szCs w:val="20"/>
          <w:color w:val="auto"/>
        </w:rPr>
      </w:pPr>
      <w:r>
        <w:rPr>
          <w:rFonts w:ascii="Arial" w:cs="Arial" w:eastAsia="Arial" w:hAnsi="Arial"/>
          <w:sz w:val="22"/>
          <w:szCs w:val="22"/>
          <w:b w:val="1"/>
          <w:bCs w:val="1"/>
          <w:color w:val="793690"/>
        </w:rPr>
        <w:t xml:space="preserve">Unaudited Condensed Consolidated Statement of Cash Flows </w:t>
      </w:r>
      <w:r>
        <w:rPr>
          <w:rFonts w:ascii="Arial" w:cs="Arial" w:eastAsia="Arial" w:hAnsi="Arial"/>
          <w:sz w:val="22"/>
          <w:szCs w:val="22"/>
          <w:color w:val="793690"/>
        </w:rPr>
        <w:t>(continued)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the six months ended 30 June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6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6 months ended</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6 months ended</w:t>
            </w:r>
          </w:p>
        </w:tc>
      </w:tr>
      <w:tr>
        <w:trPr>
          <w:trHeight w:val="183"/>
        </w:trPr>
        <w:tc>
          <w:tcPr>
            <w:tcW w:w="54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30 June 2024</w:t>
            </w:r>
          </w:p>
        </w:tc>
      </w:tr>
      <w:tr>
        <w:trPr>
          <w:trHeight w:val="373"/>
        </w:trPr>
        <w:tc>
          <w:tcPr>
            <w:tcW w:w="540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3"/>
                <w:szCs w:val="13"/>
                <w:b w:val="1"/>
                <w:bCs w:val="1"/>
                <w:color w:val="auto"/>
              </w:rPr>
              <w:t>Notes</w:t>
            </w:r>
          </w:p>
        </w:tc>
        <w:tc>
          <w:tcPr>
            <w:tcW w:w="16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$m</w:t>
            </w:r>
          </w:p>
        </w:tc>
      </w:tr>
      <w:tr>
        <w:trPr>
          <w:trHeight w:val="237"/>
        </w:trPr>
        <w:tc>
          <w:tcPr>
            <w:tcW w:w="540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2460" w:type="dxa"/>
            <w:vAlign w:val="bottom"/>
            <w:tcBorders>
              <w:top w:val="single" w:sz="8" w:color="793690"/>
            </w:tcBorders>
          </w:tcPr>
          <w:p>
            <w:pPr>
              <w:spacing w:after="0"/>
              <w:rPr>
                <w:sz w:val="20"/>
                <w:szCs w:val="20"/>
                <w:color w:val="auto"/>
              </w:rPr>
            </w:pPr>
          </w:p>
        </w:tc>
        <w:tc>
          <w:tcPr>
            <w:tcW w:w="1620" w:type="dxa"/>
            <w:vAlign w:val="bottom"/>
            <w:tcBorders>
              <w:top w:val="single" w:sz="8" w:color="793690"/>
              <w:bottom w:val="single" w:sz="8" w:color="F4EFF6"/>
            </w:tcBorders>
            <w:shd w:val="clear" w:color="auto" w:fill="F4EFF6"/>
          </w:tcPr>
          <w:p>
            <w:pPr>
              <w:spacing w:after="0"/>
              <w:rPr>
                <w:sz w:val="20"/>
                <w:szCs w:val="20"/>
                <w:color w:val="auto"/>
              </w:rPr>
            </w:pPr>
          </w:p>
        </w:tc>
        <w:tc>
          <w:tcPr>
            <w:tcW w:w="1740" w:type="dxa"/>
            <w:vAlign w:val="bottom"/>
            <w:tcBorders>
              <w:top w:val="single" w:sz="8" w:color="793690"/>
            </w:tcBorders>
          </w:tcPr>
          <w:p>
            <w:pPr>
              <w:spacing w:after="0"/>
              <w:rPr>
                <w:sz w:val="20"/>
                <w:szCs w:val="20"/>
                <w:color w:val="auto"/>
              </w:rPr>
            </w:pPr>
          </w:p>
        </w:tc>
      </w:tr>
      <w:tr>
        <w:trPr>
          <w:trHeight w:val="237"/>
        </w:trPr>
        <w:tc>
          <w:tcPr>
            <w:tcW w:w="54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 xml:space="preserve">Acquisition of businesses, net of cash acquired </w:t>
            </w:r>
            <w:r>
              <w:rPr>
                <w:rFonts w:ascii="Arial" w:cs="Arial" w:eastAsia="Arial" w:hAnsi="Arial"/>
                <w:sz w:val="9"/>
                <w:szCs w:val="9"/>
                <w:color w:val="auto"/>
              </w:rPr>
              <w:t>3</w:t>
            </w:r>
          </w:p>
        </w:tc>
        <w:tc>
          <w:tcPr>
            <w:tcW w:w="24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6</w:t>
            </w:r>
          </w:p>
        </w:tc>
        <w:tc>
          <w:tcPr>
            <w:tcW w:w="162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22.4</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(4.0)</w:t>
            </w:r>
          </w:p>
        </w:tc>
      </w:tr>
      <w:tr>
        <w:trPr>
          <w:trHeight w:val="236"/>
        </w:trPr>
        <w:tc>
          <w:tcPr>
            <w:tcW w:w="54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Payment to acquire subsidiaries</w:t>
            </w:r>
            <w:r>
              <w:rPr>
                <w:rFonts w:ascii="Arial" w:cs="Arial" w:eastAsia="Arial" w:hAnsi="Arial"/>
                <w:sz w:val="9"/>
                <w:szCs w:val="9"/>
                <w:color w:val="auto"/>
              </w:rPr>
              <w:t>2</w:t>
            </w:r>
          </w:p>
        </w:tc>
        <w:tc>
          <w:tcPr>
            <w:tcW w:w="24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18</w:t>
            </w:r>
          </w:p>
        </w:tc>
        <w:tc>
          <w:tcPr>
            <w:tcW w:w="16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(79.1)</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w:t>
            </w:r>
          </w:p>
        </w:tc>
      </w:tr>
      <w:tr>
        <w:trPr>
          <w:trHeight w:val="237"/>
        </w:trPr>
        <w:tc>
          <w:tcPr>
            <w:tcW w:w="54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Net proceeds from sale of subsidiary</w:t>
            </w:r>
          </w:p>
        </w:tc>
        <w:tc>
          <w:tcPr>
            <w:tcW w:w="24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6</w:t>
            </w:r>
          </w:p>
        </w:tc>
        <w:tc>
          <w:tcPr>
            <w:tcW w:w="162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2.5</w:t>
            </w:r>
          </w:p>
        </w:tc>
      </w:tr>
      <w:tr>
        <w:trPr>
          <w:trHeight w:val="237"/>
        </w:trPr>
        <w:tc>
          <w:tcPr>
            <w:tcW w:w="54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Purchase of intangible assets</w:t>
            </w:r>
          </w:p>
        </w:tc>
        <w:tc>
          <w:tcPr>
            <w:tcW w:w="246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(2.6)</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(3.9)</w:t>
            </w:r>
          </w:p>
        </w:tc>
      </w:tr>
      <w:tr>
        <w:trPr>
          <w:trHeight w:val="237"/>
        </w:trPr>
        <w:tc>
          <w:tcPr>
            <w:tcW w:w="54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Purchase of property, plant and equipment</w:t>
            </w:r>
          </w:p>
        </w:tc>
        <w:tc>
          <w:tcPr>
            <w:tcW w:w="246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(8.8)</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(5.3)</w:t>
            </w:r>
          </w:p>
        </w:tc>
      </w:tr>
      <w:tr>
        <w:trPr>
          <w:trHeight w:val="236"/>
        </w:trPr>
        <w:tc>
          <w:tcPr>
            <w:tcW w:w="540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Net cash used in investing activities</w:t>
            </w:r>
          </w:p>
        </w:tc>
        <w:tc>
          <w:tcPr>
            <w:tcW w:w="2460" w:type="dxa"/>
            <w:vAlign w:val="bottom"/>
            <w:tcBorders>
              <w:top w:val="single" w:sz="8" w:color="793690"/>
            </w:tcBorders>
          </w:tcPr>
          <w:p>
            <w:pPr>
              <w:spacing w:after="0"/>
              <w:rPr>
                <w:sz w:val="20"/>
                <w:szCs w:val="20"/>
                <w:color w:val="auto"/>
              </w:rPr>
            </w:pPr>
          </w:p>
        </w:tc>
        <w:tc>
          <w:tcPr>
            <w:tcW w:w="162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(68.1)</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(10.7)</w:t>
            </w:r>
          </w:p>
        </w:tc>
      </w:tr>
      <w:tr>
        <w:trPr>
          <w:trHeight w:val="196"/>
        </w:trPr>
        <w:tc>
          <w:tcPr>
            <w:tcW w:w="5400" w:type="dxa"/>
            <w:vAlign w:val="bottom"/>
            <w:tcBorders>
              <w:top w:val="single" w:sz="8" w:color="DADAE7"/>
              <w:bottom w:val="single" w:sz="8" w:color="DADAE7"/>
            </w:tcBorders>
          </w:tcPr>
          <w:p>
            <w:pPr>
              <w:spacing w:after="0"/>
              <w:rPr>
                <w:sz w:val="17"/>
                <w:szCs w:val="17"/>
                <w:color w:val="auto"/>
              </w:rPr>
            </w:pPr>
          </w:p>
        </w:tc>
        <w:tc>
          <w:tcPr>
            <w:tcW w:w="2460" w:type="dxa"/>
            <w:vAlign w:val="bottom"/>
            <w:tcBorders>
              <w:top w:val="single" w:sz="8" w:color="DADAE7"/>
              <w:bottom w:val="single" w:sz="8" w:color="DADAE7"/>
            </w:tcBorders>
          </w:tcPr>
          <w:p>
            <w:pPr>
              <w:spacing w:after="0"/>
              <w:rPr>
                <w:sz w:val="17"/>
                <w:szCs w:val="17"/>
                <w:color w:val="auto"/>
              </w:rPr>
            </w:pPr>
          </w:p>
        </w:tc>
        <w:tc>
          <w:tcPr>
            <w:tcW w:w="1620" w:type="dxa"/>
            <w:vAlign w:val="bottom"/>
            <w:tcBorders>
              <w:top w:val="single" w:sz="8" w:color="DADAE7"/>
              <w:bottom w:val="single" w:sz="8" w:color="DADAE7"/>
            </w:tcBorders>
            <w:shd w:val="clear" w:color="auto" w:fill="F4EFF6"/>
          </w:tcPr>
          <w:p>
            <w:pPr>
              <w:spacing w:after="0"/>
              <w:rPr>
                <w:sz w:val="17"/>
                <w:szCs w:val="17"/>
                <w:color w:val="auto"/>
              </w:rPr>
            </w:pPr>
          </w:p>
        </w:tc>
        <w:tc>
          <w:tcPr>
            <w:tcW w:w="1740" w:type="dxa"/>
            <w:vAlign w:val="bottom"/>
            <w:tcBorders>
              <w:top w:val="single" w:sz="8" w:color="DADAE7"/>
              <w:bottom w:val="single" w:sz="8" w:color="DADAE7"/>
            </w:tcBorders>
          </w:tcPr>
          <w:p>
            <w:pPr>
              <w:spacing w:after="0"/>
              <w:rPr>
                <w:sz w:val="17"/>
                <w:szCs w:val="17"/>
                <w:color w:val="auto"/>
              </w:rPr>
            </w:pPr>
          </w:p>
        </w:tc>
      </w:tr>
      <w:tr>
        <w:trPr>
          <w:trHeight w:val="236"/>
        </w:trPr>
        <w:tc>
          <w:tcPr>
            <w:tcW w:w="5400" w:type="dxa"/>
            <w:vAlign w:val="bottom"/>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2460" w:type="dxa"/>
            <w:vAlign w:val="bottom"/>
          </w:tcPr>
          <w:p>
            <w:pPr>
              <w:spacing w:after="0"/>
              <w:rPr>
                <w:sz w:val="20"/>
                <w:szCs w:val="20"/>
                <w:color w:val="auto"/>
              </w:rPr>
            </w:pPr>
          </w:p>
        </w:tc>
        <w:tc>
          <w:tcPr>
            <w:tcW w:w="1620" w:type="dxa"/>
            <w:vAlign w:val="bottom"/>
            <w:tcBorders>
              <w:bottom w:val="single" w:sz="8" w:color="F4EFF6"/>
            </w:tcBorders>
            <w:shd w:val="clear" w:color="auto" w:fill="F4EFF6"/>
          </w:tcPr>
          <w:p>
            <w:pPr>
              <w:spacing w:after="0"/>
              <w:rPr>
                <w:sz w:val="20"/>
                <w:szCs w:val="20"/>
                <w:color w:val="auto"/>
              </w:rPr>
            </w:pPr>
          </w:p>
        </w:tc>
        <w:tc>
          <w:tcPr>
            <w:tcW w:w="1740" w:type="dxa"/>
            <w:vAlign w:val="bottom"/>
          </w:tcPr>
          <w:p>
            <w:pPr>
              <w:spacing w:after="0"/>
              <w:rPr>
                <w:sz w:val="20"/>
                <w:szCs w:val="20"/>
                <w:color w:val="auto"/>
              </w:rPr>
            </w:pPr>
          </w:p>
        </w:tc>
      </w:tr>
      <w:tr>
        <w:trPr>
          <w:trHeight w:val="237"/>
        </w:trPr>
        <w:tc>
          <w:tcPr>
            <w:tcW w:w="54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Proceeds from issuance of ordinary shares</w:t>
            </w:r>
          </w:p>
        </w:tc>
        <w:tc>
          <w:tcPr>
            <w:tcW w:w="24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12</w:t>
            </w:r>
          </w:p>
        </w:tc>
        <w:tc>
          <w:tcPr>
            <w:tcW w:w="162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73.0</w:t>
            </w:r>
          </w:p>
        </w:tc>
      </w:tr>
      <w:tr>
        <w:trPr>
          <w:trHeight w:val="237"/>
        </w:trPr>
        <w:tc>
          <w:tcPr>
            <w:tcW w:w="54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Issuance costs of ordinary shares</w:t>
            </w:r>
          </w:p>
        </w:tc>
        <w:tc>
          <w:tcPr>
            <w:tcW w:w="24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12</w:t>
            </w:r>
          </w:p>
        </w:tc>
        <w:tc>
          <w:tcPr>
            <w:tcW w:w="162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(4.7)</w:t>
            </w:r>
          </w:p>
        </w:tc>
      </w:tr>
      <w:tr>
        <w:trPr>
          <w:trHeight w:val="237"/>
        </w:trPr>
        <w:tc>
          <w:tcPr>
            <w:tcW w:w="54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Purchase of treasury shares</w:t>
            </w:r>
          </w:p>
        </w:tc>
        <w:tc>
          <w:tcPr>
            <w:tcW w:w="246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(44.3)</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(19.8)</w:t>
            </w:r>
          </w:p>
        </w:tc>
      </w:tr>
      <w:tr>
        <w:trPr>
          <w:trHeight w:val="236"/>
        </w:trPr>
        <w:tc>
          <w:tcPr>
            <w:tcW w:w="54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Dividends paid</w:t>
            </w:r>
          </w:p>
        </w:tc>
        <w:tc>
          <w:tcPr>
            <w:tcW w:w="24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5</w:t>
            </w:r>
          </w:p>
        </w:tc>
        <w:tc>
          <w:tcPr>
            <w:tcW w:w="16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(27.3)</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(50.7)</w:t>
            </w:r>
          </w:p>
        </w:tc>
      </w:tr>
      <w:tr>
        <w:trPr>
          <w:trHeight w:val="237"/>
        </w:trPr>
        <w:tc>
          <w:tcPr>
            <w:tcW w:w="54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Payment of lease liabilities</w:t>
            </w:r>
          </w:p>
        </w:tc>
        <w:tc>
          <w:tcPr>
            <w:tcW w:w="246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(8.8)</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(1.6)</w:t>
            </w:r>
          </w:p>
        </w:tc>
      </w:tr>
      <w:tr>
        <w:trPr>
          <w:trHeight w:val="237"/>
        </w:trPr>
        <w:tc>
          <w:tcPr>
            <w:tcW w:w="540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Net cash used in financing activities</w:t>
            </w:r>
          </w:p>
        </w:tc>
        <w:tc>
          <w:tcPr>
            <w:tcW w:w="2460" w:type="dxa"/>
            <w:vAlign w:val="bottom"/>
            <w:tcBorders>
              <w:top w:val="single" w:sz="8" w:color="793690"/>
            </w:tcBorders>
          </w:tcPr>
          <w:p>
            <w:pPr>
              <w:spacing w:after="0"/>
              <w:rPr>
                <w:sz w:val="20"/>
                <w:szCs w:val="20"/>
                <w:color w:val="auto"/>
              </w:rPr>
            </w:pPr>
          </w:p>
        </w:tc>
        <w:tc>
          <w:tcPr>
            <w:tcW w:w="162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(80.4)</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(3.8)</w:t>
            </w:r>
          </w:p>
        </w:tc>
      </w:tr>
      <w:tr>
        <w:trPr>
          <w:trHeight w:val="237"/>
        </w:trPr>
        <w:tc>
          <w:tcPr>
            <w:tcW w:w="540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Net increase in cash and cash equivalents</w:t>
            </w:r>
          </w:p>
        </w:tc>
        <w:tc>
          <w:tcPr>
            <w:tcW w:w="2460" w:type="dxa"/>
            <w:vAlign w:val="bottom"/>
            <w:tcBorders>
              <w:top w:val="single" w:sz="8" w:color="793690"/>
            </w:tcBorders>
          </w:tcPr>
          <w:p>
            <w:pPr>
              <w:spacing w:after="0"/>
              <w:rPr>
                <w:sz w:val="20"/>
                <w:szCs w:val="20"/>
                <w:color w:val="auto"/>
              </w:rPr>
            </w:pPr>
          </w:p>
        </w:tc>
        <w:tc>
          <w:tcPr>
            <w:tcW w:w="1620" w:type="dxa"/>
            <w:vAlign w:val="bottom"/>
            <w:tcBorders>
              <w:top w:val="single" w:sz="8" w:color="793690"/>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779.2</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438.0</w:t>
            </w:r>
          </w:p>
        </w:tc>
      </w:tr>
      <w:tr>
        <w:trPr>
          <w:trHeight w:val="439"/>
        </w:trPr>
        <w:tc>
          <w:tcPr>
            <w:tcW w:w="540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Cash and cash equivalents</w:t>
            </w:r>
          </w:p>
        </w:tc>
        <w:tc>
          <w:tcPr>
            <w:tcW w:w="2460" w:type="dxa"/>
            <w:vAlign w:val="bottom"/>
            <w:tcBorders>
              <w:top w:val="single" w:sz="8" w:color="793690"/>
            </w:tcBorders>
          </w:tcPr>
          <w:p>
            <w:pPr>
              <w:spacing w:after="0"/>
              <w:rPr>
                <w:sz w:val="24"/>
                <w:szCs w:val="24"/>
                <w:color w:val="auto"/>
              </w:rPr>
            </w:pPr>
          </w:p>
        </w:tc>
        <w:tc>
          <w:tcPr>
            <w:tcW w:w="1620" w:type="dxa"/>
            <w:vAlign w:val="bottom"/>
            <w:tcBorders>
              <w:top w:val="single" w:sz="8" w:color="793690"/>
              <w:bottom w:val="single" w:sz="8" w:color="F4EFF6"/>
            </w:tcBorders>
            <w:shd w:val="clear" w:color="auto" w:fill="F4EFF6"/>
          </w:tcPr>
          <w:p>
            <w:pPr>
              <w:spacing w:after="0"/>
              <w:rPr>
                <w:sz w:val="24"/>
                <w:szCs w:val="24"/>
                <w:color w:val="auto"/>
              </w:rPr>
            </w:pPr>
          </w:p>
        </w:tc>
        <w:tc>
          <w:tcPr>
            <w:tcW w:w="1740" w:type="dxa"/>
            <w:vAlign w:val="bottom"/>
            <w:tcBorders>
              <w:top w:val="single" w:sz="8" w:color="793690"/>
            </w:tcBorders>
          </w:tcPr>
          <w:p>
            <w:pPr>
              <w:spacing w:after="0"/>
              <w:rPr>
                <w:sz w:val="24"/>
                <w:szCs w:val="24"/>
                <w:color w:val="auto"/>
              </w:rPr>
            </w:pPr>
          </w:p>
        </w:tc>
      </w:tr>
      <w:tr>
        <w:trPr>
          <w:trHeight w:val="237"/>
        </w:trPr>
        <w:tc>
          <w:tcPr>
            <w:tcW w:w="54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Cash and cash equivalents at 1 January</w:t>
            </w:r>
          </w:p>
        </w:tc>
        <w:tc>
          <w:tcPr>
            <w:tcW w:w="246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2,556.6</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1,483.5</w:t>
            </w:r>
          </w:p>
        </w:tc>
      </w:tr>
      <w:tr>
        <w:trPr>
          <w:trHeight w:val="236"/>
        </w:trPr>
        <w:tc>
          <w:tcPr>
            <w:tcW w:w="54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Increase in cash</w:t>
            </w:r>
          </w:p>
        </w:tc>
        <w:tc>
          <w:tcPr>
            <w:tcW w:w="246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779.2</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438.0</w:t>
            </w:r>
          </w:p>
        </w:tc>
      </w:tr>
      <w:tr>
        <w:trPr>
          <w:trHeight w:val="237"/>
        </w:trPr>
        <w:tc>
          <w:tcPr>
            <w:tcW w:w="54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Effect of foreign exchange rate changes</w:t>
            </w:r>
          </w:p>
        </w:tc>
        <w:tc>
          <w:tcPr>
            <w:tcW w:w="246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39.5</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(7.3)</w:t>
            </w:r>
          </w:p>
        </w:tc>
      </w:tr>
      <w:tr>
        <w:trPr>
          <w:trHeight w:val="216"/>
        </w:trPr>
        <w:tc>
          <w:tcPr>
            <w:tcW w:w="540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Cash and cash equivalents at 30 June</w:t>
            </w:r>
          </w:p>
        </w:tc>
        <w:tc>
          <w:tcPr>
            <w:tcW w:w="2460" w:type="dxa"/>
            <w:vAlign w:val="bottom"/>
            <w:tcBorders>
              <w:top w:val="single" w:sz="8" w:color="793690"/>
            </w:tcBorders>
          </w:tcPr>
          <w:p>
            <w:pPr>
              <w:spacing w:after="0"/>
              <w:rPr>
                <w:sz w:val="18"/>
                <w:szCs w:val="18"/>
                <w:color w:val="auto"/>
              </w:rPr>
            </w:pPr>
          </w:p>
        </w:tc>
        <w:tc>
          <w:tcPr>
            <w:tcW w:w="1620" w:type="dxa"/>
            <w:vAlign w:val="bottom"/>
            <w:tcBorders>
              <w:top w:val="single" w:sz="8" w:color="793690"/>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3,375.3</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1,914.2</w:t>
            </w:r>
          </w:p>
        </w:tc>
      </w:tr>
      <w:tr>
        <w:trPr>
          <w:trHeight w:val="20"/>
        </w:trPr>
        <w:tc>
          <w:tcPr>
            <w:tcW w:w="5400" w:type="dxa"/>
            <w:vAlign w:val="bottom"/>
            <w:shd w:val="clear" w:color="auto" w:fill="793690"/>
          </w:tcPr>
          <w:p>
            <w:pPr>
              <w:spacing w:after="0" w:line="20" w:lineRule="exact"/>
              <w:rPr>
                <w:sz w:val="1"/>
                <w:szCs w:val="1"/>
                <w:color w:val="auto"/>
              </w:rPr>
            </w:pPr>
          </w:p>
        </w:tc>
        <w:tc>
          <w:tcPr>
            <w:tcW w:w="2460" w:type="dxa"/>
            <w:vAlign w:val="bottom"/>
            <w:shd w:val="clear" w:color="auto" w:fill="793690"/>
          </w:tcPr>
          <w:p>
            <w:pPr>
              <w:spacing w:after="0" w:line="20" w:lineRule="exact"/>
              <w:rPr>
                <w:sz w:val="1"/>
                <w:szCs w:val="1"/>
                <w:color w:val="auto"/>
              </w:rPr>
            </w:pPr>
          </w:p>
        </w:tc>
        <w:tc>
          <w:tcPr>
            <w:tcW w:w="1620" w:type="dxa"/>
            <w:vAlign w:val="bottom"/>
            <w:shd w:val="clear" w:color="auto" w:fill="793690"/>
          </w:tcPr>
          <w:p>
            <w:pPr>
              <w:spacing w:after="0" w:line="20" w:lineRule="exact"/>
              <w:rPr>
                <w:sz w:val="1"/>
                <w:szCs w:val="1"/>
                <w:color w:val="auto"/>
              </w:rPr>
            </w:pPr>
          </w:p>
        </w:tc>
        <w:tc>
          <w:tcPr>
            <w:tcW w:w="1740" w:type="dxa"/>
            <w:vAlign w:val="bottom"/>
            <w:shd w:val="clear" w:color="auto" w:fill="793690"/>
          </w:tcPr>
          <w:p>
            <w:pPr>
              <w:spacing w:after="0" w:line="20" w:lineRule="exact"/>
              <w:rPr>
                <w:sz w:val="1"/>
                <w:szCs w:val="1"/>
                <w:color w:val="auto"/>
              </w:rPr>
            </w:pPr>
          </w:p>
        </w:tc>
      </w:tr>
    </w:tbl>
    <w:p>
      <w:pPr>
        <w:spacing w:after="0" w:line="297" w:lineRule="exact"/>
        <w:rPr>
          <w:sz w:val="20"/>
          <w:szCs w:val="20"/>
          <w:color w:val="auto"/>
        </w:rPr>
      </w:pPr>
    </w:p>
    <w:p>
      <w:pPr>
        <w:ind w:left="120" w:hanging="112"/>
        <w:spacing w:after="0"/>
        <w:tabs>
          <w:tab w:leader="none" w:pos="120" w:val="left"/>
        </w:tabs>
        <w:numPr>
          <w:ilvl w:val="0"/>
          <w:numId w:val="21"/>
        </w:numPr>
        <w:rPr>
          <w:rFonts w:ascii="Arial" w:cs="Arial" w:eastAsia="Arial" w:hAnsi="Arial"/>
          <w:sz w:val="11"/>
          <w:szCs w:val="11"/>
          <w:color w:val="auto"/>
        </w:rPr>
      </w:pPr>
      <w:r>
        <w:rPr>
          <w:rFonts w:ascii="Arial" w:cs="Arial" w:eastAsia="Arial" w:hAnsi="Arial"/>
          <w:sz w:val="11"/>
          <w:szCs w:val="11"/>
          <w:color w:val="auto"/>
        </w:rPr>
        <w:t>Included in the movement in debt securities is the movement of EMTN and the Group's senior issuance notes programmes, including the Group's $500m senior notes debt issuance in May 2025.</w:t>
      </w:r>
    </w:p>
    <w:p>
      <w:pPr>
        <w:spacing w:after="0" w:line="15" w:lineRule="exact"/>
        <w:rPr>
          <w:rFonts w:ascii="Arial" w:cs="Arial" w:eastAsia="Arial" w:hAnsi="Arial"/>
          <w:sz w:val="11"/>
          <w:szCs w:val="11"/>
          <w:color w:val="auto"/>
        </w:rPr>
      </w:pPr>
    </w:p>
    <w:p>
      <w:pPr>
        <w:ind w:left="120" w:hanging="112"/>
        <w:spacing w:after="0" w:line="236" w:lineRule="auto"/>
        <w:tabs>
          <w:tab w:leader="none" w:pos="120" w:val="left"/>
        </w:tabs>
        <w:numPr>
          <w:ilvl w:val="0"/>
          <w:numId w:val="21"/>
        </w:numPr>
        <w:rPr>
          <w:rFonts w:ascii="Arial" w:cs="Arial" w:eastAsia="Arial" w:hAnsi="Arial"/>
          <w:sz w:val="11"/>
          <w:szCs w:val="11"/>
          <w:color w:val="auto"/>
        </w:rPr>
      </w:pPr>
      <w:r>
        <w:rPr>
          <w:rFonts w:ascii="Arial" w:cs="Arial" w:eastAsia="Arial" w:hAnsi="Arial"/>
          <w:sz w:val="11"/>
          <w:szCs w:val="11"/>
          <w:color w:val="auto"/>
        </w:rPr>
        <w:t>The advanced purchase of investments relate to the acquisitions of Agrinvest Commodities and Hamilton Court Group post balance sheet which completed on 1 July 2025. Please refer to note 18.</w:t>
      </w:r>
    </w:p>
    <w:p>
      <w:pPr>
        <w:ind w:left="120" w:hanging="112"/>
        <w:spacing w:after="0"/>
        <w:tabs>
          <w:tab w:leader="none" w:pos="120" w:val="left"/>
        </w:tabs>
        <w:numPr>
          <w:ilvl w:val="0"/>
          <w:numId w:val="21"/>
        </w:numPr>
        <w:rPr>
          <w:rFonts w:ascii="Arial" w:cs="Arial" w:eastAsia="Arial" w:hAnsi="Arial"/>
          <w:sz w:val="11"/>
          <w:szCs w:val="11"/>
          <w:color w:val="auto"/>
        </w:rPr>
      </w:pPr>
      <w:r>
        <w:rPr>
          <w:rFonts w:ascii="Arial" w:cs="Arial" w:eastAsia="Arial" w:hAnsi="Arial"/>
          <w:sz w:val="11"/>
          <w:szCs w:val="11"/>
          <w:color w:val="auto"/>
        </w:rPr>
        <w:t>Included in the acquisition of businesses, net of cash acquired, is the net cash consideration of Edgemere Terminals Limited of $2.6m. Please refer to note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8</w:t>
      </w:r>
    </w:p>
    <w:p>
      <w:pPr>
        <w:sectPr>
          <w:pgSz w:w="11900" w:h="16838" w:orient="portrait"/>
          <w:cols w:equalWidth="0" w:num="1">
            <w:col w:w="11220"/>
          </w:cols>
          <w:pgMar w:left="320" w:top="1353" w:right="359" w:bottom="1440" w:gutter="0" w:footer="0" w:header="0"/>
        </w:sectPr>
      </w:pPr>
    </w:p>
    <w:bookmarkStart w:id="29" w:name="page30"/>
    <w:bookmarkEnd w:id="29"/>
    <w:p>
      <w:pPr>
        <w:spacing w:after="0"/>
        <w:rPr>
          <w:sz w:val="20"/>
          <w:szCs w:val="20"/>
          <w:color w:val="auto"/>
        </w:rPr>
      </w:pPr>
      <w:r>
        <w:rPr>
          <w:rFonts w:ascii="Arial" w:cs="Arial" w:eastAsia="Arial" w:hAnsi="Arial"/>
          <w:sz w:val="22"/>
          <w:szCs w:val="22"/>
          <w:b w:val="1"/>
          <w:bCs w:val="1"/>
          <w:color w:val="793690"/>
        </w:rPr>
        <w:t>Notes to the Unaudited Condensed Consolidated Financial Statements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793690"/>
        </w:rPr>
        <w:t>1 General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Marex Group plc (the 'Group' and ‘Company’) is incorporated in England and Wales under the Companies Act. The address of the registered office is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155 Bishopsgate, London, EC2M 3TQ, United Kingdom. The principal activities of the Group and the nature of the Group’s operations are set out in note 3.</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The unaudited condensed consolidated financial statements of the Group are presented in US dollars ('USD' or ‘$’), which is also the Company’s functional currency.</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All amounts have been rounded to the nearest tenth of a million (‘m’), except where otherwise indicated.</w:t>
      </w:r>
    </w:p>
    <w:p>
      <w:pPr>
        <w:spacing w:after="0" w:line="111"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The information for the year ended 31 December 2024 does not constitute statutory accounts as defined in section 434 of the Companies Act 2006. A copy of the statutory accounts for that year has been delivered to the Registrar of Companies. The auditors reported on those accounts: their report was unqualified, did not draw attention to any matters by way of emphasis and did not contain a statement under section 498(2) or (3) of the Companies Act 2006.</w:t>
      </w: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793690"/>
        </w:rPr>
        <w:t>2 Material Accounting Policy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Basis of preparation</w:t>
      </w:r>
    </w:p>
    <w:p>
      <w:pPr>
        <w:spacing w:after="0" w:line="33" w:lineRule="exact"/>
        <w:rPr>
          <w:sz w:val="20"/>
          <w:szCs w:val="20"/>
          <w:color w:val="auto"/>
        </w:rPr>
      </w:pPr>
    </w:p>
    <w:p>
      <w:pPr>
        <w:ind w:right="200"/>
        <w:spacing w:after="0" w:line="258" w:lineRule="auto"/>
        <w:rPr>
          <w:sz w:val="20"/>
          <w:szCs w:val="20"/>
          <w:color w:val="auto"/>
        </w:rPr>
      </w:pPr>
      <w:r>
        <w:rPr>
          <w:rFonts w:ascii="Arial" w:cs="Arial" w:eastAsia="Arial" w:hAnsi="Arial"/>
          <w:sz w:val="15"/>
          <w:szCs w:val="15"/>
          <w:color w:val="auto"/>
        </w:rPr>
        <w:t>The interim condensed consolidated financial statements as at 30 June 2025 and for the six months ended 30 June 2025 and 2024 have been prepared in accordance with International Accounting Standard ("IAS") 34 Interim Financial Reporting. The Group has prepared the financial statements on the basis that it will continue to operate as a going concern. The Directors consider that there are no material uncertainties that may cast significant doubt over this assumption. They have formed a judgement that there is a reasonable expectation that the Group has adequate resources to continue in operational existence for the foreseeable future, and not less than 12 months from the end of the reporting period.</w:t>
      </w:r>
    </w:p>
    <w:p>
      <w:pPr>
        <w:spacing w:after="0" w:line="85"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interim condensed consolidated financial statements do not include all the information and disclosures required in the annual financial statements, and should be read in conjunction with the 2024 Group Annual Report and Accounts (the 2024 Group Annual Report and accounts refers to the consolidated statements of financial position of Marex Group plc and subsidiaries as at 31 December 2024 and 2023, the related consolidated income statements, statements of comprehensive income, changes in equity, and cash flows).</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 New standards, interpretations and amendments adopted by the Group</w:t>
      </w:r>
    </w:p>
    <w:p>
      <w:pPr>
        <w:spacing w:after="0" w:line="33"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The accounting policies adopted in the preparation of the interim condensed consolidated financial statements are consistent with those followed in the preparation of the 2024 Group Annual Report, except for the adoption of new standards effective as of 1 January 2025. The Group has not early adopted any standard, interpretation or amendment that has been issued but is not yet effective.</w:t>
      </w:r>
    </w:p>
    <w:p>
      <w:pPr>
        <w:spacing w:after="0" w:line="80" w:lineRule="exact"/>
        <w:rPr>
          <w:sz w:val="20"/>
          <w:szCs w:val="20"/>
          <w:color w:val="auto"/>
        </w:rPr>
      </w:pPr>
    </w:p>
    <w:p>
      <w:pPr>
        <w:ind w:right="200"/>
        <w:spacing w:after="0" w:line="338" w:lineRule="auto"/>
        <w:rPr>
          <w:sz w:val="20"/>
          <w:szCs w:val="20"/>
          <w:color w:val="auto"/>
        </w:rPr>
      </w:pPr>
      <w:r>
        <w:rPr>
          <w:rFonts w:ascii="Arial" w:cs="Arial" w:eastAsia="Arial" w:hAnsi="Arial"/>
          <w:sz w:val="15"/>
          <w:szCs w:val="15"/>
          <w:color w:val="auto"/>
        </w:rPr>
        <w:t xml:space="preserve">One amendment applies for the first time in 2025, but does not have any material impact on the interim condensed consolidated financial statements of the Group. </w:t>
      </w:r>
      <w:r>
        <w:rPr>
          <w:rFonts w:ascii="Arial" w:cs="Arial" w:eastAsia="Arial" w:hAnsi="Arial"/>
          <w:sz w:val="15"/>
          <w:szCs w:val="15"/>
          <w:b w:val="1"/>
          <w:bCs w:val="1"/>
          <w:color w:val="auto"/>
        </w:rPr>
        <w:t>Amendments to IAS 21 The Effects of Changes in Foreign Exchange Rates</w:t>
      </w:r>
    </w:p>
    <w:p>
      <w:pPr>
        <w:spacing w:after="0" w:line="1" w:lineRule="exact"/>
        <w:rPr>
          <w:sz w:val="20"/>
          <w:szCs w:val="20"/>
          <w:color w:val="auto"/>
        </w:rPr>
      </w:pPr>
    </w:p>
    <w:p>
      <w:pPr>
        <w:ind w:right="60"/>
        <w:spacing w:after="0" w:line="258" w:lineRule="auto"/>
        <w:rPr>
          <w:sz w:val="20"/>
          <w:szCs w:val="20"/>
          <w:color w:val="auto"/>
        </w:rPr>
      </w:pPr>
      <w:r>
        <w:rPr>
          <w:rFonts w:ascii="Arial" w:cs="Arial" w:eastAsia="Arial" w:hAnsi="Arial"/>
          <w:sz w:val="15"/>
          <w:szCs w:val="15"/>
          <w:color w:val="auto"/>
        </w:rPr>
        <w:t>The amendments to IAS 21 The Effects of Changes in Foreign Exchange Rates specify how an entity should assess whether a currency is exchangeable and how it should determine a spot exchange rate when exchangeability is lacking. The amendments also require disclosure of information that enables users of its financial statements to understand how the currency not being exchangeable into the other currency affects, or is expected to affect, the entity’s financial performance, financial position and cash flows. The amendments are effective for annual reporting periods beginning on or after 1 January 2025. When applying the amendments, an entity cannot restate comparative information. The amendments did not have a material impact on the Group’s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9</w:t>
      </w:r>
    </w:p>
    <w:p>
      <w:pPr>
        <w:sectPr>
          <w:pgSz w:w="11900" w:h="16838" w:orient="portrait"/>
          <w:cols w:equalWidth="0" w:num="1">
            <w:col w:w="11180"/>
          </w:cols>
          <w:pgMar w:left="320" w:top="1353" w:right="399" w:bottom="1440" w:gutter="0" w:footer="0" w:header="0"/>
        </w:sectPr>
      </w:pPr>
    </w:p>
    <w:bookmarkStart w:id="30" w:name="page31"/>
    <w:bookmarkEnd w:id="30"/>
    <w:p>
      <w:pPr>
        <w:spacing w:after="0"/>
        <w:rPr>
          <w:sz w:val="20"/>
          <w:szCs w:val="20"/>
          <w:color w:val="auto"/>
        </w:rPr>
      </w:pPr>
      <w:r>
        <w:rPr>
          <w:rFonts w:ascii="Arial" w:cs="Arial" w:eastAsia="Arial" w:hAnsi="Arial"/>
          <w:sz w:val="22"/>
          <w:szCs w:val="22"/>
          <w:b w:val="1"/>
          <w:bCs w:val="1"/>
          <w:color w:val="793690"/>
        </w:rPr>
        <w:t xml:space="preserve">Notes to the Unaudited Condensed Consolidated Financial Statements </w:t>
      </w:r>
      <w:r>
        <w:rPr>
          <w:rFonts w:ascii="Arial" w:cs="Arial" w:eastAsia="Arial" w:hAnsi="Arial"/>
          <w:sz w:val="22"/>
          <w:szCs w:val="22"/>
          <w:color w:val="793690"/>
        </w:rPr>
        <w:t>(continued)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3 Segmental Analysis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w:t>
      </w:r>
    </w:p>
    <w:p>
      <w:pPr>
        <w:spacing w:after="0" w:line="3"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Revenues within the scope of International Financial Reporting Standard ("IFRS") 15 of $456.9m (30 June 2024: $372.4m) are included within commission and fee income in the income statement. In addition, the net proceeds from a commitment to simultaneously buy and sell financial instruments with counterparties on matched principal basis, which are not in the scope of IFRS 15 are also recorded within commissions and fee income.</w:t>
      </w:r>
    </w:p>
    <w:p>
      <w:pPr>
        <w:spacing w:after="0" w:line="80" w:lineRule="exact"/>
        <w:rPr>
          <w:sz w:val="20"/>
          <w:szCs w:val="20"/>
          <w:color w:val="auto"/>
        </w:rPr>
      </w:pPr>
    </w:p>
    <w:p>
      <w:pPr>
        <w:ind w:right="160"/>
        <w:spacing w:after="0" w:line="301" w:lineRule="auto"/>
        <w:rPr>
          <w:sz w:val="20"/>
          <w:szCs w:val="20"/>
          <w:color w:val="auto"/>
        </w:rPr>
      </w:pPr>
      <w:r>
        <w:rPr>
          <w:rFonts w:ascii="Arial" w:cs="Arial" w:eastAsia="Arial" w:hAnsi="Arial"/>
          <w:sz w:val="15"/>
          <w:szCs w:val="15"/>
          <w:color w:val="auto"/>
        </w:rPr>
        <w:t>Revenues that are not within the scope of IFRS 15 are presented within net trading income, net interest income and net physical commodities income in the income statement.</w:t>
      </w:r>
    </w:p>
    <w:p>
      <w:pPr>
        <w:spacing w:after="0" w:line="40" w:lineRule="exact"/>
        <w:rPr>
          <w:sz w:val="20"/>
          <w:szCs w:val="20"/>
          <w:color w:val="auto"/>
        </w:rPr>
      </w:pPr>
    </w:p>
    <w:p>
      <w:pPr>
        <w:ind w:right="200"/>
        <w:spacing w:after="0" w:line="301" w:lineRule="auto"/>
        <w:rPr>
          <w:sz w:val="20"/>
          <w:szCs w:val="20"/>
          <w:color w:val="auto"/>
        </w:rPr>
      </w:pPr>
      <w:r>
        <w:rPr>
          <w:rFonts w:ascii="Arial" w:cs="Arial" w:eastAsia="Arial" w:hAnsi="Arial"/>
          <w:sz w:val="15"/>
          <w:szCs w:val="15"/>
          <w:color w:val="auto"/>
        </w:rPr>
        <w:t>The below disaggregation shows the revenue by each of the five operating segments. The substantial majority of the Group's performance obligations for revenues from contracts with clients are satisfied at a point in time. Revenue recognised over time is not material.</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Segments</w:t>
      </w:r>
    </w:p>
    <w:p>
      <w:pPr>
        <w:spacing w:after="0" w:line="33" w:lineRule="exact"/>
        <w:rPr>
          <w:sz w:val="20"/>
          <w:szCs w:val="20"/>
          <w:color w:val="auto"/>
        </w:rPr>
      </w:pPr>
    </w:p>
    <w:p>
      <w:pPr>
        <w:ind w:right="160"/>
        <w:spacing w:after="0" w:line="263" w:lineRule="auto"/>
        <w:rPr>
          <w:sz w:val="20"/>
          <w:szCs w:val="20"/>
          <w:color w:val="auto"/>
        </w:rPr>
      </w:pPr>
      <w:r>
        <w:rPr>
          <w:rFonts w:ascii="Arial" w:cs="Arial" w:eastAsia="Arial" w:hAnsi="Arial"/>
          <w:sz w:val="15"/>
          <w:szCs w:val="15"/>
          <w:color w:val="auto"/>
        </w:rPr>
        <w:t>Operating segments information is presented in a manner consistent with the internal reporting provided to the Chief Operating Decision Maker (‘CODM’). The CODM, who is responsible for allocating resources and assessing performance, has been identified as the Group’s Executive Committee. The CODM regularly reviews the Group’s operating results in order to assess performance and to allocate resources. The accounting policies of the operating segments are the same as the Group’s accounting policies.</w:t>
      </w:r>
    </w:p>
    <w:p>
      <w:pPr>
        <w:spacing w:after="0" w:line="67" w:lineRule="exact"/>
        <w:rPr>
          <w:sz w:val="20"/>
          <w:szCs w:val="20"/>
          <w:color w:val="auto"/>
        </w:rPr>
      </w:pPr>
    </w:p>
    <w:p>
      <w:pPr>
        <w:ind w:right="140"/>
        <w:spacing w:after="0" w:line="301" w:lineRule="auto"/>
        <w:rPr>
          <w:sz w:val="20"/>
          <w:szCs w:val="20"/>
          <w:color w:val="auto"/>
        </w:rPr>
      </w:pPr>
      <w:r>
        <w:rPr>
          <w:rFonts w:ascii="Arial" w:cs="Arial" w:eastAsia="Arial" w:hAnsi="Arial"/>
          <w:sz w:val="15"/>
          <w:szCs w:val="15"/>
          <w:color w:val="auto"/>
        </w:rPr>
        <w:t>Adjusted Profit Before Tax is the segments' performance measure and excludes income and expenses that are not considered directly related to the performance of our segments as detailed in the reconciliation below.</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For management purposes, the Group is organised into the following operating segments, based on the services provided, as follows:</w:t>
      </w:r>
    </w:p>
    <w:p>
      <w:pPr>
        <w:spacing w:after="0" w:line="125" w:lineRule="exact"/>
        <w:rPr>
          <w:sz w:val="20"/>
          <w:szCs w:val="20"/>
          <w:color w:val="auto"/>
        </w:rPr>
      </w:pPr>
    </w:p>
    <w:p>
      <w:pPr>
        <w:ind w:left="160" w:right="340" w:hanging="152"/>
        <w:spacing w:after="0" w:line="273" w:lineRule="auto"/>
        <w:tabs>
          <w:tab w:leader="none" w:pos="155" w:val="left"/>
        </w:tabs>
        <w:numPr>
          <w:ilvl w:val="0"/>
          <w:numId w:val="22"/>
        </w:numPr>
        <w:rPr>
          <w:rFonts w:ascii="Arial" w:cs="Arial" w:eastAsia="Arial" w:hAnsi="Arial"/>
          <w:sz w:val="15"/>
          <w:szCs w:val="15"/>
          <w:color w:val="505068"/>
        </w:rPr>
      </w:pPr>
      <w:r>
        <w:rPr>
          <w:rFonts w:ascii="Arial" w:cs="Arial" w:eastAsia="Arial" w:hAnsi="Arial"/>
          <w:sz w:val="15"/>
          <w:szCs w:val="15"/>
          <w:color w:val="auto"/>
        </w:rPr>
        <w:t>Clearing – The interface between exchanges and clients. The Group provides the connectivity that allows its clients access to exchanges and central clearing houses. As clearing members, the Group acts as principal on behalf of its clients and generates revenue on a commission per trade basis. The Group provides clearing services across four principal markets: metals, agricultural products, energy and financial securities markets across different geographies.</w:t>
      </w:r>
    </w:p>
    <w:p>
      <w:pPr>
        <w:spacing w:after="0" w:line="72" w:lineRule="exact"/>
        <w:rPr>
          <w:rFonts w:ascii="Arial" w:cs="Arial" w:eastAsia="Arial" w:hAnsi="Arial"/>
          <w:sz w:val="15"/>
          <w:szCs w:val="15"/>
          <w:color w:val="505068"/>
        </w:rPr>
      </w:pPr>
    </w:p>
    <w:p>
      <w:pPr>
        <w:ind w:left="160" w:right="100" w:hanging="152"/>
        <w:spacing w:after="0" w:line="263" w:lineRule="auto"/>
        <w:tabs>
          <w:tab w:leader="none" w:pos="155" w:val="left"/>
        </w:tabs>
        <w:numPr>
          <w:ilvl w:val="0"/>
          <w:numId w:val="22"/>
        </w:numPr>
        <w:rPr>
          <w:rFonts w:ascii="Arial" w:cs="Arial" w:eastAsia="Arial" w:hAnsi="Arial"/>
          <w:sz w:val="15"/>
          <w:szCs w:val="15"/>
          <w:color w:val="505068"/>
        </w:rPr>
      </w:pPr>
      <w:r>
        <w:rPr>
          <w:rFonts w:ascii="Arial" w:cs="Arial" w:eastAsia="Arial" w:hAnsi="Arial"/>
          <w:sz w:val="15"/>
          <w:szCs w:val="15"/>
          <w:color w:val="auto"/>
        </w:rPr>
        <w:t>Agency and Execution – The Group provides essential liquidity and execution services to our clients primarily in the energy and financial securities markets. Our energy division provides essential liquidity to clients by connecting buyers and sellers in the energy markets to facilitate price discovery. We have leading positions in many of the markets we operate in, including key gas and power markets in Europe; environmental, petrochemical and crude markets in North America; and oil products globally. We achieve this through the breadth and depth of the services we offer to customers, including market intelligence for each product we transact in, based on the extensive knowledge and experience of our teams. Our presence in the financial markets is growing as we integrate and optimise recent acquisitions, enabling Marex to diversify its asset class coverage away from traditional commodity markets.</w:t>
      </w:r>
    </w:p>
    <w:p>
      <w:pPr>
        <w:spacing w:after="0" w:line="67" w:lineRule="exact"/>
        <w:rPr>
          <w:rFonts w:ascii="Arial" w:cs="Arial" w:eastAsia="Arial" w:hAnsi="Arial"/>
          <w:sz w:val="15"/>
          <w:szCs w:val="15"/>
          <w:color w:val="505068"/>
        </w:rPr>
      </w:pPr>
    </w:p>
    <w:p>
      <w:pPr>
        <w:ind w:left="160" w:right="140" w:hanging="152"/>
        <w:spacing w:after="0" w:line="282" w:lineRule="auto"/>
        <w:tabs>
          <w:tab w:leader="none" w:pos="155" w:val="left"/>
        </w:tabs>
        <w:numPr>
          <w:ilvl w:val="0"/>
          <w:numId w:val="22"/>
        </w:numPr>
        <w:rPr>
          <w:rFonts w:ascii="Arial" w:cs="Arial" w:eastAsia="Arial" w:hAnsi="Arial"/>
          <w:sz w:val="15"/>
          <w:szCs w:val="15"/>
          <w:color w:val="505068"/>
        </w:rPr>
      </w:pPr>
      <w:r>
        <w:rPr>
          <w:rFonts w:ascii="Arial" w:cs="Arial" w:eastAsia="Arial" w:hAnsi="Arial"/>
          <w:sz w:val="15"/>
          <w:szCs w:val="15"/>
          <w:color w:val="auto"/>
        </w:rPr>
        <w:t>Market Making – The Group acts as principal to provide direct market pricing to professional and wholesale counterparties, primarily within the metals, agriculture, energy and financial securities markets. The Market Making segment primarily generates revenue through charging a spread between buying and selling prices, without taking significant proprietary risk. The Market Making operations are diversified across geographies and asset classes.</w:t>
      </w:r>
    </w:p>
    <w:p>
      <w:pPr>
        <w:spacing w:after="0" w:line="53" w:lineRule="exact"/>
        <w:rPr>
          <w:rFonts w:ascii="Arial" w:cs="Arial" w:eastAsia="Arial" w:hAnsi="Arial"/>
          <w:sz w:val="15"/>
          <w:szCs w:val="15"/>
          <w:color w:val="505068"/>
        </w:rPr>
      </w:pPr>
    </w:p>
    <w:p>
      <w:pPr>
        <w:ind w:left="160" w:right="20" w:hanging="152"/>
        <w:spacing w:after="0" w:line="273" w:lineRule="auto"/>
        <w:tabs>
          <w:tab w:leader="none" w:pos="155" w:val="left"/>
        </w:tabs>
        <w:numPr>
          <w:ilvl w:val="0"/>
          <w:numId w:val="22"/>
        </w:numPr>
        <w:rPr>
          <w:rFonts w:ascii="Arial" w:cs="Arial" w:eastAsia="Arial" w:hAnsi="Arial"/>
          <w:sz w:val="15"/>
          <w:szCs w:val="15"/>
          <w:color w:val="505068"/>
        </w:rPr>
      </w:pPr>
      <w:r>
        <w:rPr>
          <w:rFonts w:ascii="Arial" w:cs="Arial" w:eastAsia="Arial" w:hAnsi="Arial"/>
          <w:sz w:val="15"/>
          <w:szCs w:val="15"/>
          <w:color w:val="auto"/>
        </w:rPr>
        <w:t>Hedging and Investment Solutions – The Group offers bespoke hedging and investment solutions to its clients and generates revenue through a return built into the product pricing. Tailored hedging solutions allow producers and consumers of commodities to hedge their exposure to movements in market prices, as well as exchange rates, across a variety of different time horizons.</w:t>
      </w:r>
    </w:p>
    <w:p>
      <w:pPr>
        <w:spacing w:after="0" w:line="72" w:lineRule="exact"/>
        <w:rPr>
          <w:rFonts w:ascii="Arial" w:cs="Arial" w:eastAsia="Arial" w:hAnsi="Arial"/>
          <w:sz w:val="15"/>
          <w:szCs w:val="15"/>
          <w:color w:val="505068"/>
        </w:rPr>
      </w:pPr>
    </w:p>
    <w:p>
      <w:pPr>
        <w:ind w:left="160" w:hanging="152"/>
        <w:spacing w:after="0" w:line="263" w:lineRule="auto"/>
        <w:tabs>
          <w:tab w:leader="none" w:pos="155" w:val="left"/>
        </w:tabs>
        <w:numPr>
          <w:ilvl w:val="0"/>
          <w:numId w:val="22"/>
        </w:numPr>
        <w:rPr>
          <w:rFonts w:ascii="Arial" w:cs="Arial" w:eastAsia="Arial" w:hAnsi="Arial"/>
          <w:sz w:val="15"/>
          <w:szCs w:val="15"/>
          <w:color w:val="505068"/>
        </w:rPr>
      </w:pPr>
      <w:r>
        <w:rPr>
          <w:rFonts w:ascii="Arial" w:cs="Arial" w:eastAsia="Arial" w:hAnsi="Arial"/>
          <w:sz w:val="15"/>
          <w:szCs w:val="15"/>
          <w:color w:val="auto"/>
        </w:rPr>
        <w:t>The Corporate segment - The Group’s control and support functions: finance, treasury, IT, risk, compliance, legal, human resources and executive management to support the operating segments. Corporate manages the resources of the Group, makes investment decisions and provides operational support to the business segments. Corporate manages the Group’s funding requirements, interest expense is incurred through debt securities issuance, which is charged to other segments through inter-segmental funding allocations to reflect their consumption of these resources. The adjusted loss before tax includes the expenses related to costs of the functions that are not recovered from the operating segments and corporate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10</w:t>
      </w:r>
    </w:p>
    <w:p>
      <w:pPr>
        <w:sectPr>
          <w:pgSz w:w="11900" w:h="16838" w:orient="portrait"/>
          <w:cols w:equalWidth="0" w:num="1">
            <w:col w:w="11220"/>
          </w:cols>
          <w:pgMar w:left="320" w:top="1353" w:right="359" w:bottom="1440" w:gutter="0" w:footer="0" w:header="0"/>
        </w:sectPr>
      </w:pPr>
    </w:p>
    <w:bookmarkStart w:id="31" w:name="page32"/>
    <w:bookmarkEnd w:id="31"/>
    <w:p>
      <w:pPr>
        <w:spacing w:after="0"/>
        <w:rPr>
          <w:sz w:val="20"/>
          <w:szCs w:val="20"/>
          <w:color w:val="auto"/>
        </w:rPr>
      </w:pPr>
      <w:r>
        <w:rPr>
          <w:rFonts w:ascii="Arial" w:cs="Arial" w:eastAsia="Arial" w:hAnsi="Arial"/>
          <w:sz w:val="22"/>
          <w:szCs w:val="22"/>
          <w:b w:val="1"/>
          <w:bCs w:val="1"/>
          <w:color w:val="793690"/>
        </w:rPr>
        <w:t xml:space="preserve">Notes to the Unaudited Condensed Consolidated Financial Statements </w:t>
      </w:r>
      <w:r>
        <w:rPr>
          <w:rFonts w:ascii="Arial" w:cs="Arial" w:eastAsia="Arial" w:hAnsi="Arial"/>
          <w:sz w:val="22"/>
          <w:szCs w:val="22"/>
          <w:color w:val="793690"/>
        </w:rPr>
        <w:t>(continued)</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793690"/>
        </w:rPr>
        <w:t xml:space="preserve">3 Segmental Analysis </w:t>
      </w:r>
      <w:r>
        <w:rPr>
          <w:rFonts w:ascii="Arial" w:cs="Arial" w:eastAsia="Arial" w:hAnsi="Arial"/>
          <w:sz w:val="18"/>
          <w:szCs w:val="18"/>
          <w:color w:val="793690"/>
        </w:rPr>
        <w:t>(continued)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840" w:type="dxa"/>
            <w:vAlign w:val="bottom"/>
          </w:tcPr>
          <w:p>
            <w:pPr>
              <w:spacing w:after="0"/>
              <w:rPr>
                <w:sz w:val="13"/>
                <w:szCs w:val="13"/>
                <w:color w:val="auto"/>
              </w:rPr>
            </w:pPr>
          </w:p>
        </w:tc>
        <w:tc>
          <w:tcPr>
            <w:tcW w:w="1190" w:type="dxa"/>
            <w:vAlign w:val="bottom"/>
            <w:shd w:val="clear" w:color="auto" w:fill="F4EFF6"/>
          </w:tcPr>
          <w:p>
            <w:pPr>
              <w:spacing w:after="0"/>
              <w:rPr>
                <w:sz w:val="13"/>
                <w:szCs w:val="13"/>
                <w:color w:val="auto"/>
              </w:rPr>
            </w:pPr>
          </w:p>
        </w:tc>
        <w:tc>
          <w:tcPr>
            <w:tcW w:w="1210" w:type="dxa"/>
            <w:vAlign w:val="bottom"/>
            <w:shd w:val="clear" w:color="auto" w:fill="F4EFF6"/>
          </w:tcPr>
          <w:p>
            <w:pPr>
              <w:spacing w:after="0"/>
              <w:rPr>
                <w:sz w:val="13"/>
                <w:szCs w:val="13"/>
                <w:color w:val="auto"/>
              </w:rPr>
            </w:pPr>
          </w:p>
        </w:tc>
        <w:tc>
          <w:tcPr>
            <w:tcW w:w="1240" w:type="dxa"/>
            <w:vAlign w:val="bottom"/>
            <w:shd w:val="clear" w:color="auto" w:fill="F4EFF6"/>
          </w:tcPr>
          <w:p>
            <w:pPr>
              <w:spacing w:after="0"/>
              <w:rPr>
                <w:sz w:val="13"/>
                <w:szCs w:val="13"/>
                <w:color w:val="auto"/>
              </w:rPr>
            </w:pPr>
          </w:p>
        </w:tc>
        <w:tc>
          <w:tcPr>
            <w:tcW w:w="12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Hedging and</w:t>
            </w:r>
          </w:p>
        </w:tc>
        <w:tc>
          <w:tcPr>
            <w:tcW w:w="1260" w:type="dxa"/>
            <w:vAlign w:val="bottom"/>
            <w:shd w:val="clear" w:color="auto" w:fill="F4EFF6"/>
          </w:tcPr>
          <w:p>
            <w:pPr>
              <w:spacing w:after="0"/>
              <w:rPr>
                <w:sz w:val="13"/>
                <w:szCs w:val="13"/>
                <w:color w:val="auto"/>
              </w:rPr>
            </w:pPr>
          </w:p>
        </w:tc>
        <w:tc>
          <w:tcPr>
            <w:tcW w:w="1240" w:type="dxa"/>
            <w:vAlign w:val="bottom"/>
            <w:shd w:val="clear" w:color="auto" w:fill="F4EFF6"/>
          </w:tcPr>
          <w:p>
            <w:pPr>
              <w:spacing w:after="0"/>
              <w:rPr>
                <w:sz w:val="13"/>
                <w:szCs w:val="13"/>
                <w:color w:val="auto"/>
              </w:rPr>
            </w:pPr>
          </w:p>
        </w:tc>
      </w:tr>
      <w:tr>
        <w:trPr>
          <w:trHeight w:val="148"/>
        </w:trPr>
        <w:tc>
          <w:tcPr>
            <w:tcW w:w="3840" w:type="dxa"/>
            <w:vAlign w:val="bottom"/>
          </w:tcPr>
          <w:p>
            <w:pPr>
              <w:ind w:left="20"/>
              <w:spacing w:after="0"/>
              <w:rPr>
                <w:sz w:val="20"/>
                <w:szCs w:val="20"/>
                <w:color w:val="auto"/>
              </w:rPr>
            </w:pPr>
            <w:r>
              <w:rPr>
                <w:rFonts w:ascii="Arial" w:cs="Arial" w:eastAsia="Arial" w:hAnsi="Arial"/>
                <w:sz w:val="13"/>
                <w:szCs w:val="13"/>
                <w:b w:val="1"/>
                <w:bCs w:val="1"/>
                <w:color w:val="auto"/>
              </w:rPr>
              <w:t>Segment information for the six months ended</w:t>
            </w:r>
          </w:p>
        </w:tc>
        <w:tc>
          <w:tcPr>
            <w:tcW w:w="1190" w:type="dxa"/>
            <w:vAlign w:val="bottom"/>
            <w:shd w:val="clear" w:color="auto" w:fill="F4EFF6"/>
          </w:tcPr>
          <w:p>
            <w:pPr>
              <w:spacing w:after="0"/>
              <w:rPr>
                <w:sz w:val="12"/>
                <w:szCs w:val="12"/>
                <w:color w:val="auto"/>
              </w:rPr>
            </w:pPr>
          </w:p>
        </w:tc>
        <w:tc>
          <w:tcPr>
            <w:tcW w:w="121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Agency and</w:t>
            </w:r>
          </w:p>
        </w:tc>
        <w:tc>
          <w:tcPr>
            <w:tcW w:w="1240" w:type="dxa"/>
            <w:vAlign w:val="bottom"/>
            <w:shd w:val="clear" w:color="auto" w:fill="F4EFF6"/>
          </w:tcPr>
          <w:p>
            <w:pPr>
              <w:spacing w:after="0"/>
              <w:rPr>
                <w:sz w:val="12"/>
                <w:szCs w:val="12"/>
                <w:color w:val="auto"/>
              </w:rPr>
            </w:pPr>
          </w:p>
        </w:tc>
        <w:tc>
          <w:tcPr>
            <w:tcW w:w="12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Investment</w:t>
            </w:r>
          </w:p>
        </w:tc>
        <w:tc>
          <w:tcPr>
            <w:tcW w:w="1260" w:type="dxa"/>
            <w:vAlign w:val="bottom"/>
            <w:shd w:val="clear" w:color="auto" w:fill="F4EFF6"/>
          </w:tcPr>
          <w:p>
            <w:pPr>
              <w:spacing w:after="0"/>
              <w:rPr>
                <w:sz w:val="12"/>
                <w:szCs w:val="12"/>
                <w:color w:val="auto"/>
              </w:rPr>
            </w:pPr>
          </w:p>
        </w:tc>
        <w:tc>
          <w:tcPr>
            <w:tcW w:w="1240" w:type="dxa"/>
            <w:vAlign w:val="bottom"/>
            <w:shd w:val="clear" w:color="auto" w:fill="F4EFF6"/>
          </w:tcPr>
          <w:p>
            <w:pPr>
              <w:spacing w:after="0"/>
              <w:rPr>
                <w:sz w:val="12"/>
                <w:szCs w:val="12"/>
                <w:color w:val="auto"/>
              </w:rPr>
            </w:pPr>
          </w:p>
        </w:tc>
      </w:tr>
      <w:tr>
        <w:trPr>
          <w:trHeight w:val="185"/>
        </w:trPr>
        <w:tc>
          <w:tcPr>
            <w:tcW w:w="3840" w:type="dxa"/>
            <w:vAlign w:val="bottom"/>
          </w:tcPr>
          <w:p>
            <w:pPr>
              <w:ind w:left="20"/>
              <w:spacing w:after="0"/>
              <w:rPr>
                <w:sz w:val="20"/>
                <w:szCs w:val="20"/>
                <w:color w:val="auto"/>
              </w:rPr>
            </w:pPr>
            <w:r>
              <w:rPr>
                <w:rFonts w:ascii="Arial" w:cs="Arial" w:eastAsia="Arial" w:hAnsi="Arial"/>
                <w:sz w:val="13"/>
                <w:szCs w:val="13"/>
                <w:b w:val="1"/>
                <w:bCs w:val="1"/>
                <w:color w:val="auto"/>
              </w:rPr>
              <w:t>30 June 2025</w:t>
            </w:r>
          </w:p>
        </w:tc>
        <w:tc>
          <w:tcPr>
            <w:tcW w:w="119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Clearing</w:t>
            </w:r>
          </w:p>
        </w:tc>
        <w:tc>
          <w:tcPr>
            <w:tcW w:w="121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Execution</w:t>
            </w:r>
          </w:p>
        </w:tc>
        <w:tc>
          <w:tcPr>
            <w:tcW w:w="12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Market Making</w:t>
            </w:r>
          </w:p>
        </w:tc>
        <w:tc>
          <w:tcPr>
            <w:tcW w:w="12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Solutions</w:t>
            </w:r>
          </w:p>
        </w:tc>
        <w:tc>
          <w:tcPr>
            <w:tcW w:w="126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Corporate</w:t>
            </w:r>
          </w:p>
        </w:tc>
        <w:tc>
          <w:tcPr>
            <w:tcW w:w="12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Total</w:t>
            </w:r>
          </w:p>
        </w:tc>
      </w:tr>
      <w:tr>
        <w:trPr>
          <w:trHeight w:val="224"/>
        </w:trPr>
        <w:tc>
          <w:tcPr>
            <w:tcW w:w="3840" w:type="dxa"/>
            <w:vAlign w:val="bottom"/>
          </w:tcPr>
          <w:p>
            <w:pPr>
              <w:spacing w:after="0"/>
              <w:rPr>
                <w:sz w:val="19"/>
                <w:szCs w:val="19"/>
                <w:color w:val="auto"/>
              </w:rPr>
            </w:pPr>
          </w:p>
        </w:tc>
        <w:tc>
          <w:tcPr>
            <w:tcW w:w="119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21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24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24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26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24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r>
      <w:tr>
        <w:trPr>
          <w:trHeight w:val="236"/>
        </w:trPr>
        <w:tc>
          <w:tcPr>
            <w:tcW w:w="3840" w:type="dxa"/>
            <w:vAlign w:val="bottom"/>
            <w:tcBorders>
              <w:top w:val="single" w:sz="8" w:color="793690"/>
            </w:tcBorders>
          </w:tcPr>
          <w:p>
            <w:pPr>
              <w:ind w:left="20"/>
              <w:spacing w:after="0"/>
              <w:rPr>
                <w:sz w:val="20"/>
                <w:szCs w:val="20"/>
                <w:color w:val="auto"/>
              </w:rPr>
            </w:pPr>
            <w:r>
              <w:rPr>
                <w:rFonts w:ascii="Arial" w:cs="Arial" w:eastAsia="Arial" w:hAnsi="Arial"/>
                <w:sz w:val="15"/>
                <w:szCs w:val="15"/>
                <w:i w:val="1"/>
                <w:iCs w:val="1"/>
                <w:color w:val="auto"/>
              </w:rPr>
              <w:t>Commission and fee income</w:t>
            </w:r>
          </w:p>
        </w:tc>
        <w:tc>
          <w:tcPr>
            <w:tcW w:w="1190" w:type="dxa"/>
            <w:vAlign w:val="bottom"/>
            <w:tcBorders>
              <w:top w:val="single" w:sz="8" w:color="793690"/>
              <w:bottom w:val="single" w:sz="8" w:color="F4EFF6"/>
            </w:tcBorders>
            <w:shd w:val="clear" w:color="auto" w:fill="F4EFF6"/>
          </w:tcPr>
          <w:p>
            <w:pPr>
              <w:jc w:val="right"/>
              <w:ind w:right="35"/>
              <w:spacing w:after="0"/>
              <w:rPr>
                <w:sz w:val="20"/>
                <w:szCs w:val="20"/>
                <w:color w:val="auto"/>
              </w:rPr>
            </w:pPr>
            <w:r>
              <w:rPr>
                <w:rFonts w:ascii="Arial" w:cs="Arial" w:eastAsia="Arial" w:hAnsi="Arial"/>
                <w:sz w:val="15"/>
                <w:szCs w:val="15"/>
                <w:b w:val="1"/>
                <w:bCs w:val="1"/>
                <w:color w:val="auto"/>
              </w:rPr>
              <w:t>541.7</w:t>
            </w:r>
          </w:p>
        </w:tc>
        <w:tc>
          <w:tcPr>
            <w:tcW w:w="1210" w:type="dxa"/>
            <w:vAlign w:val="bottom"/>
            <w:tcBorders>
              <w:top w:val="single" w:sz="8" w:color="793690"/>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401.7</w:t>
            </w:r>
          </w:p>
        </w:tc>
        <w:tc>
          <w:tcPr>
            <w:tcW w:w="124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10.3</w:t>
            </w:r>
          </w:p>
        </w:tc>
        <w:tc>
          <w:tcPr>
            <w:tcW w:w="12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26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2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953.7</w:t>
            </w:r>
          </w:p>
        </w:tc>
      </w:tr>
      <w:tr>
        <w:trPr>
          <w:trHeight w:val="237"/>
        </w:trPr>
        <w:tc>
          <w:tcPr>
            <w:tcW w:w="3840" w:type="dxa"/>
            <w:vAlign w:val="bottom"/>
            <w:tcBorders>
              <w:top w:val="single" w:sz="8" w:color="DADAE7"/>
            </w:tcBorders>
          </w:tcPr>
          <w:p>
            <w:pPr>
              <w:ind w:left="20"/>
              <w:spacing w:after="0"/>
              <w:rPr>
                <w:sz w:val="20"/>
                <w:szCs w:val="20"/>
                <w:color w:val="auto"/>
              </w:rPr>
            </w:pPr>
            <w:r>
              <w:rPr>
                <w:rFonts w:ascii="Arial" w:cs="Arial" w:eastAsia="Arial" w:hAnsi="Arial"/>
                <w:sz w:val="15"/>
                <w:szCs w:val="15"/>
                <w:i w:val="1"/>
                <w:iCs w:val="1"/>
                <w:color w:val="auto"/>
              </w:rPr>
              <w:t>Commission and fee expense</w:t>
            </w:r>
          </w:p>
        </w:tc>
        <w:tc>
          <w:tcPr>
            <w:tcW w:w="119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(402.4)</w:t>
            </w:r>
          </w:p>
        </w:tc>
        <w:tc>
          <w:tcPr>
            <w:tcW w:w="121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(31.6)</w:t>
            </w:r>
          </w:p>
        </w:tc>
        <w:tc>
          <w:tcPr>
            <w:tcW w:w="12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(11.9)</w:t>
            </w:r>
          </w:p>
        </w:tc>
        <w:tc>
          <w:tcPr>
            <w:tcW w:w="12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2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2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(445.9)</w:t>
            </w:r>
          </w:p>
        </w:tc>
      </w:tr>
      <w:tr>
        <w:trPr>
          <w:trHeight w:val="237"/>
        </w:trPr>
        <w:tc>
          <w:tcPr>
            <w:tcW w:w="384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Net commission income/(expense)</w:t>
            </w:r>
          </w:p>
        </w:tc>
        <w:tc>
          <w:tcPr>
            <w:tcW w:w="1190" w:type="dxa"/>
            <w:vAlign w:val="bottom"/>
            <w:tcBorders>
              <w:top w:val="single" w:sz="8" w:color="793690"/>
              <w:bottom w:val="single" w:sz="8" w:color="F4EFF6"/>
            </w:tcBorders>
            <w:shd w:val="clear" w:color="auto" w:fill="F4EFF6"/>
          </w:tcPr>
          <w:p>
            <w:pPr>
              <w:jc w:val="right"/>
              <w:ind w:right="35"/>
              <w:spacing w:after="0"/>
              <w:rPr>
                <w:sz w:val="20"/>
                <w:szCs w:val="20"/>
                <w:color w:val="auto"/>
              </w:rPr>
            </w:pPr>
            <w:r>
              <w:rPr>
                <w:rFonts w:ascii="Arial" w:cs="Arial" w:eastAsia="Arial" w:hAnsi="Arial"/>
                <w:sz w:val="15"/>
                <w:szCs w:val="15"/>
                <w:b w:val="1"/>
                <w:bCs w:val="1"/>
                <w:color w:val="auto"/>
              </w:rPr>
              <w:t>139.3</w:t>
            </w:r>
          </w:p>
        </w:tc>
        <w:tc>
          <w:tcPr>
            <w:tcW w:w="1210" w:type="dxa"/>
            <w:vAlign w:val="bottom"/>
            <w:tcBorders>
              <w:top w:val="single" w:sz="8" w:color="793690"/>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370.1</w:t>
            </w:r>
          </w:p>
        </w:tc>
        <w:tc>
          <w:tcPr>
            <w:tcW w:w="12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(1.6)</w:t>
            </w:r>
          </w:p>
        </w:tc>
        <w:tc>
          <w:tcPr>
            <w:tcW w:w="12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26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2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507.8</w:t>
            </w:r>
          </w:p>
        </w:tc>
      </w:tr>
      <w:tr>
        <w:trPr>
          <w:trHeight w:val="237"/>
        </w:trPr>
        <w:tc>
          <w:tcPr>
            <w:tcW w:w="3840" w:type="dxa"/>
            <w:vAlign w:val="bottom"/>
            <w:tcBorders>
              <w:top w:val="single" w:sz="8" w:color="DADAE7"/>
            </w:tcBorders>
          </w:tcPr>
          <w:p>
            <w:pPr>
              <w:ind w:left="20"/>
              <w:spacing w:after="0"/>
              <w:rPr>
                <w:sz w:val="20"/>
                <w:szCs w:val="20"/>
                <w:color w:val="auto"/>
              </w:rPr>
            </w:pPr>
            <w:r>
              <w:rPr>
                <w:rFonts w:ascii="Arial" w:cs="Arial" w:eastAsia="Arial" w:hAnsi="Arial"/>
                <w:sz w:val="15"/>
                <w:szCs w:val="15"/>
                <w:b w:val="1"/>
                <w:bCs w:val="1"/>
                <w:color w:val="auto"/>
              </w:rPr>
              <w:t>Net trading income</w:t>
            </w:r>
          </w:p>
        </w:tc>
        <w:tc>
          <w:tcPr>
            <w:tcW w:w="1190" w:type="dxa"/>
            <w:vAlign w:val="bottom"/>
            <w:tcBorders>
              <w:top w:val="single" w:sz="8" w:color="DADAE7"/>
              <w:bottom w:val="single" w:sz="8" w:color="F4EFF6"/>
            </w:tcBorders>
            <w:shd w:val="clear" w:color="auto" w:fill="F4EFF6"/>
          </w:tcPr>
          <w:p>
            <w:pPr>
              <w:jc w:val="right"/>
              <w:ind w:right="35"/>
              <w:spacing w:after="0"/>
              <w:rPr>
                <w:sz w:val="20"/>
                <w:szCs w:val="20"/>
                <w:color w:val="auto"/>
              </w:rPr>
            </w:pPr>
            <w:r>
              <w:rPr>
                <w:rFonts w:ascii="Arial" w:cs="Arial" w:eastAsia="Arial" w:hAnsi="Arial"/>
                <w:sz w:val="15"/>
                <w:szCs w:val="15"/>
                <w:b w:val="1"/>
                <w:bCs w:val="1"/>
                <w:color w:val="auto"/>
              </w:rPr>
              <w:t>11.2</w:t>
            </w:r>
          </w:p>
        </w:tc>
        <w:tc>
          <w:tcPr>
            <w:tcW w:w="121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126.1</w:t>
            </w:r>
          </w:p>
        </w:tc>
        <w:tc>
          <w:tcPr>
            <w:tcW w:w="124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114.1</w:t>
            </w:r>
          </w:p>
        </w:tc>
        <w:tc>
          <w:tcPr>
            <w:tcW w:w="12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111.0</w:t>
            </w:r>
          </w:p>
        </w:tc>
        <w:tc>
          <w:tcPr>
            <w:tcW w:w="12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2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362.4</w:t>
            </w:r>
          </w:p>
        </w:tc>
      </w:tr>
      <w:tr>
        <w:trPr>
          <w:trHeight w:val="237"/>
        </w:trPr>
        <w:tc>
          <w:tcPr>
            <w:tcW w:w="3840" w:type="dxa"/>
            <w:vAlign w:val="bottom"/>
            <w:tcBorders>
              <w:top w:val="single" w:sz="8" w:color="DADAE7"/>
            </w:tcBorders>
          </w:tcPr>
          <w:p>
            <w:pPr>
              <w:ind w:left="20"/>
              <w:spacing w:after="0"/>
              <w:rPr>
                <w:sz w:val="20"/>
                <w:szCs w:val="20"/>
                <w:color w:val="auto"/>
              </w:rPr>
            </w:pPr>
            <w:r>
              <w:rPr>
                <w:rFonts w:ascii="Arial" w:cs="Arial" w:eastAsia="Arial" w:hAnsi="Arial"/>
                <w:sz w:val="15"/>
                <w:szCs w:val="15"/>
                <w:i w:val="1"/>
                <w:iCs w:val="1"/>
                <w:color w:val="auto"/>
              </w:rPr>
              <w:t>Interest income/(expense)</w:t>
            </w:r>
          </w:p>
        </w:tc>
        <w:tc>
          <w:tcPr>
            <w:tcW w:w="1190" w:type="dxa"/>
            <w:vAlign w:val="bottom"/>
            <w:tcBorders>
              <w:top w:val="single" w:sz="8" w:color="DADAE7"/>
              <w:bottom w:val="single" w:sz="8" w:color="F4EFF6"/>
            </w:tcBorders>
            <w:shd w:val="clear" w:color="auto" w:fill="F4EFF6"/>
          </w:tcPr>
          <w:p>
            <w:pPr>
              <w:jc w:val="right"/>
              <w:ind w:right="35"/>
              <w:spacing w:after="0"/>
              <w:rPr>
                <w:sz w:val="20"/>
                <w:szCs w:val="20"/>
                <w:color w:val="auto"/>
              </w:rPr>
            </w:pPr>
            <w:r>
              <w:rPr>
                <w:rFonts w:ascii="Arial" w:cs="Arial" w:eastAsia="Arial" w:hAnsi="Arial"/>
                <w:sz w:val="15"/>
                <w:szCs w:val="15"/>
                <w:b w:val="1"/>
                <w:bCs w:val="1"/>
                <w:color w:val="auto"/>
              </w:rPr>
              <w:t>174.5</w:t>
            </w:r>
          </w:p>
        </w:tc>
        <w:tc>
          <w:tcPr>
            <w:tcW w:w="121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3.4</w:t>
            </w:r>
          </w:p>
        </w:tc>
        <w:tc>
          <w:tcPr>
            <w:tcW w:w="124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w:t>
            </w:r>
          </w:p>
        </w:tc>
        <w:tc>
          <w:tcPr>
            <w:tcW w:w="12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2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(89.9)</w:t>
            </w:r>
          </w:p>
        </w:tc>
        <w:tc>
          <w:tcPr>
            <w:tcW w:w="12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88.0</w:t>
            </w:r>
          </w:p>
        </w:tc>
      </w:tr>
      <w:tr>
        <w:trPr>
          <w:trHeight w:val="236"/>
        </w:trPr>
        <w:tc>
          <w:tcPr>
            <w:tcW w:w="3840" w:type="dxa"/>
            <w:vAlign w:val="bottom"/>
            <w:tcBorders>
              <w:top w:val="single" w:sz="8" w:color="DADAE7"/>
              <w:bottom w:val="single" w:sz="8" w:color="793690"/>
            </w:tcBorders>
          </w:tcPr>
          <w:p>
            <w:pPr>
              <w:ind w:left="20"/>
              <w:spacing w:after="0"/>
              <w:rPr>
                <w:sz w:val="20"/>
                <w:szCs w:val="20"/>
                <w:color w:val="auto"/>
              </w:rPr>
            </w:pPr>
            <w:r>
              <w:rPr>
                <w:rFonts w:ascii="Arial" w:cs="Arial" w:eastAsia="Arial" w:hAnsi="Arial"/>
                <w:sz w:val="15"/>
                <w:szCs w:val="15"/>
                <w:i w:val="1"/>
                <w:iCs w:val="1"/>
                <w:color w:val="auto"/>
              </w:rPr>
              <w:t>Inter-segmental funding allocations</w:t>
            </w:r>
            <w:r>
              <w:rPr>
                <w:rFonts w:ascii="Arial" w:cs="Arial" w:eastAsia="Arial" w:hAnsi="Arial"/>
                <w:sz w:val="19"/>
                <w:szCs w:val="19"/>
                <w:i w:val="1"/>
                <w:iCs w:val="1"/>
                <w:color w:val="auto"/>
                <w:vertAlign w:val="superscript"/>
              </w:rPr>
              <w:t>1</w:t>
            </w:r>
          </w:p>
        </w:tc>
        <w:tc>
          <w:tcPr>
            <w:tcW w:w="1190" w:type="dxa"/>
            <w:vAlign w:val="bottom"/>
            <w:tcBorders>
              <w:top w:val="single" w:sz="8" w:color="DADAE7"/>
              <w:bottom w:val="single" w:sz="8" w:color="793690"/>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(67.0)</w:t>
            </w:r>
          </w:p>
        </w:tc>
        <w:tc>
          <w:tcPr>
            <w:tcW w:w="1210" w:type="dxa"/>
            <w:vAlign w:val="bottom"/>
            <w:tcBorders>
              <w:top w:val="single" w:sz="8" w:color="DADAE7"/>
              <w:bottom w:val="single" w:sz="8" w:color="793690"/>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(1.0)</w:t>
            </w:r>
          </w:p>
        </w:tc>
        <w:tc>
          <w:tcPr>
            <w:tcW w:w="1240" w:type="dxa"/>
            <w:vAlign w:val="bottom"/>
            <w:tcBorders>
              <w:top w:val="single" w:sz="8" w:color="DADAE7"/>
              <w:bottom w:val="single" w:sz="8" w:color="793690"/>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(9.7)</w:t>
            </w:r>
          </w:p>
        </w:tc>
        <w:tc>
          <w:tcPr>
            <w:tcW w:w="1240" w:type="dxa"/>
            <w:vAlign w:val="bottom"/>
            <w:tcBorders>
              <w:top w:val="single" w:sz="8" w:color="DADAE7"/>
              <w:bottom w:val="single" w:sz="8" w:color="793690"/>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(25.3)</w:t>
            </w:r>
          </w:p>
        </w:tc>
        <w:tc>
          <w:tcPr>
            <w:tcW w:w="1260" w:type="dxa"/>
            <w:vAlign w:val="bottom"/>
            <w:tcBorders>
              <w:top w:val="single" w:sz="8" w:color="DADAE7"/>
              <w:bottom w:val="single" w:sz="8" w:color="793690"/>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103.0</w:t>
            </w:r>
          </w:p>
        </w:tc>
        <w:tc>
          <w:tcPr>
            <w:tcW w:w="1240" w:type="dxa"/>
            <w:vAlign w:val="bottom"/>
            <w:tcBorders>
              <w:top w:val="single" w:sz="8" w:color="DADAE7"/>
              <w:bottom w:val="single" w:sz="8" w:color="793690"/>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r>
      <w:tr>
        <w:trPr>
          <w:trHeight w:val="237"/>
        </w:trPr>
        <w:tc>
          <w:tcPr>
            <w:tcW w:w="3840" w:type="dxa"/>
            <w:vAlign w:val="bottom"/>
          </w:tcPr>
          <w:p>
            <w:pPr>
              <w:ind w:left="20"/>
              <w:spacing w:after="0"/>
              <w:rPr>
                <w:sz w:val="20"/>
                <w:szCs w:val="20"/>
                <w:color w:val="auto"/>
              </w:rPr>
            </w:pPr>
            <w:r>
              <w:rPr>
                <w:rFonts w:ascii="Arial" w:cs="Arial" w:eastAsia="Arial" w:hAnsi="Arial"/>
                <w:sz w:val="15"/>
                <w:szCs w:val="15"/>
                <w:b w:val="1"/>
                <w:bCs w:val="1"/>
                <w:color w:val="auto"/>
              </w:rPr>
              <w:t>Net interest income/(expense)</w:t>
            </w:r>
          </w:p>
        </w:tc>
        <w:tc>
          <w:tcPr>
            <w:tcW w:w="1190" w:type="dxa"/>
            <w:vAlign w:val="bottom"/>
            <w:tcBorders>
              <w:bottom w:val="single" w:sz="8" w:color="F4EFF6"/>
            </w:tcBorders>
            <w:shd w:val="clear" w:color="auto" w:fill="F4EFF6"/>
          </w:tcPr>
          <w:p>
            <w:pPr>
              <w:jc w:val="right"/>
              <w:ind w:right="35"/>
              <w:spacing w:after="0"/>
              <w:rPr>
                <w:sz w:val="20"/>
                <w:szCs w:val="20"/>
                <w:color w:val="auto"/>
              </w:rPr>
            </w:pPr>
            <w:r>
              <w:rPr>
                <w:rFonts w:ascii="Arial" w:cs="Arial" w:eastAsia="Arial" w:hAnsi="Arial"/>
                <w:sz w:val="15"/>
                <w:szCs w:val="15"/>
                <w:b w:val="1"/>
                <w:bCs w:val="1"/>
                <w:color w:val="auto"/>
              </w:rPr>
              <w:t>107.5</w:t>
            </w:r>
          </w:p>
        </w:tc>
        <w:tc>
          <w:tcPr>
            <w:tcW w:w="1210" w:type="dxa"/>
            <w:vAlign w:val="bottom"/>
            <w:tcBorders>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2.4</w:t>
            </w:r>
          </w:p>
        </w:tc>
        <w:tc>
          <w:tcPr>
            <w:tcW w:w="124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(9.7)</w:t>
            </w:r>
          </w:p>
        </w:tc>
        <w:tc>
          <w:tcPr>
            <w:tcW w:w="124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(25.3)</w:t>
            </w:r>
          </w:p>
        </w:tc>
        <w:tc>
          <w:tcPr>
            <w:tcW w:w="126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13.1</w:t>
            </w:r>
          </w:p>
        </w:tc>
        <w:tc>
          <w:tcPr>
            <w:tcW w:w="124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88.0</w:t>
            </w:r>
          </w:p>
        </w:tc>
      </w:tr>
      <w:tr>
        <w:trPr>
          <w:trHeight w:val="237"/>
        </w:trPr>
        <w:tc>
          <w:tcPr>
            <w:tcW w:w="3840" w:type="dxa"/>
            <w:vAlign w:val="bottom"/>
            <w:tcBorders>
              <w:top w:val="single" w:sz="8" w:color="DADAE7"/>
            </w:tcBorders>
          </w:tcPr>
          <w:p>
            <w:pPr>
              <w:ind w:left="20"/>
              <w:spacing w:after="0"/>
              <w:rPr>
                <w:sz w:val="20"/>
                <w:szCs w:val="20"/>
                <w:color w:val="auto"/>
              </w:rPr>
            </w:pPr>
            <w:r>
              <w:rPr>
                <w:rFonts w:ascii="Arial" w:cs="Arial" w:eastAsia="Arial" w:hAnsi="Arial"/>
                <w:sz w:val="15"/>
                <w:szCs w:val="15"/>
                <w:b w:val="1"/>
                <w:bCs w:val="1"/>
                <w:color w:val="auto"/>
              </w:rPr>
              <w:t>Net physical commodities income</w:t>
            </w:r>
          </w:p>
        </w:tc>
        <w:tc>
          <w:tcPr>
            <w:tcW w:w="1190" w:type="dxa"/>
            <w:vAlign w:val="bottom"/>
            <w:tcBorders>
              <w:top w:val="single" w:sz="8" w:color="DADAE7"/>
              <w:bottom w:val="single" w:sz="8" w:color="F4EFF6"/>
            </w:tcBorders>
            <w:shd w:val="clear" w:color="auto" w:fill="F4EFF6"/>
          </w:tcPr>
          <w:p>
            <w:pPr>
              <w:jc w:val="right"/>
              <w:ind w:right="35"/>
              <w:spacing w:after="0"/>
              <w:rPr>
                <w:sz w:val="20"/>
                <w:szCs w:val="20"/>
                <w:color w:val="auto"/>
              </w:rPr>
            </w:pPr>
            <w:r>
              <w:rPr>
                <w:rFonts w:ascii="Arial" w:cs="Arial" w:eastAsia="Arial" w:hAnsi="Arial"/>
                <w:sz w:val="15"/>
                <w:szCs w:val="15"/>
                <w:b w:val="1"/>
                <w:bCs w:val="1"/>
                <w:color w:val="auto"/>
              </w:rPr>
              <w:t>—</w:t>
            </w:r>
          </w:p>
        </w:tc>
        <w:tc>
          <w:tcPr>
            <w:tcW w:w="121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1.7</w:t>
            </w:r>
          </w:p>
        </w:tc>
        <w:tc>
          <w:tcPr>
            <w:tcW w:w="124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7.5</w:t>
            </w:r>
          </w:p>
        </w:tc>
        <w:tc>
          <w:tcPr>
            <w:tcW w:w="12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2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2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9.2</w:t>
            </w:r>
          </w:p>
        </w:tc>
      </w:tr>
      <w:tr>
        <w:trPr>
          <w:trHeight w:val="237"/>
        </w:trPr>
        <w:tc>
          <w:tcPr>
            <w:tcW w:w="384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Revenue</w:t>
            </w:r>
          </w:p>
        </w:tc>
        <w:tc>
          <w:tcPr>
            <w:tcW w:w="1190" w:type="dxa"/>
            <w:vAlign w:val="bottom"/>
            <w:tcBorders>
              <w:top w:val="single" w:sz="8" w:color="793690"/>
              <w:bottom w:val="single" w:sz="8" w:color="F4EFF6"/>
            </w:tcBorders>
            <w:shd w:val="clear" w:color="auto" w:fill="F4EFF6"/>
          </w:tcPr>
          <w:p>
            <w:pPr>
              <w:jc w:val="right"/>
              <w:ind w:right="35"/>
              <w:spacing w:after="0"/>
              <w:rPr>
                <w:sz w:val="20"/>
                <w:szCs w:val="20"/>
                <w:color w:val="auto"/>
              </w:rPr>
            </w:pPr>
            <w:r>
              <w:rPr>
                <w:rFonts w:ascii="Arial" w:cs="Arial" w:eastAsia="Arial" w:hAnsi="Arial"/>
                <w:sz w:val="15"/>
                <w:szCs w:val="15"/>
                <w:b w:val="1"/>
                <w:bCs w:val="1"/>
                <w:color w:val="auto"/>
              </w:rPr>
              <w:t>258.0</w:t>
            </w:r>
          </w:p>
        </w:tc>
        <w:tc>
          <w:tcPr>
            <w:tcW w:w="1210" w:type="dxa"/>
            <w:vAlign w:val="bottom"/>
            <w:tcBorders>
              <w:top w:val="single" w:sz="8" w:color="793690"/>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500.3</w:t>
            </w:r>
          </w:p>
        </w:tc>
        <w:tc>
          <w:tcPr>
            <w:tcW w:w="124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110.3</w:t>
            </w:r>
          </w:p>
        </w:tc>
        <w:tc>
          <w:tcPr>
            <w:tcW w:w="12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85.7</w:t>
            </w:r>
          </w:p>
        </w:tc>
        <w:tc>
          <w:tcPr>
            <w:tcW w:w="126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13.1</w:t>
            </w:r>
          </w:p>
        </w:tc>
        <w:tc>
          <w:tcPr>
            <w:tcW w:w="12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967.4</w:t>
            </w:r>
          </w:p>
        </w:tc>
      </w:tr>
      <w:tr>
        <w:trPr>
          <w:trHeight w:val="236"/>
        </w:trPr>
        <w:tc>
          <w:tcPr>
            <w:tcW w:w="384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Adjusted profit/(loss) before tax</w:t>
            </w:r>
          </w:p>
        </w:tc>
        <w:tc>
          <w:tcPr>
            <w:tcW w:w="1190" w:type="dxa"/>
            <w:vAlign w:val="bottom"/>
            <w:tcBorders>
              <w:top w:val="single" w:sz="8" w:color="793690"/>
              <w:bottom w:val="single" w:sz="8" w:color="F4EFF6"/>
            </w:tcBorders>
            <w:shd w:val="clear" w:color="auto" w:fill="F4EFF6"/>
          </w:tcPr>
          <w:p>
            <w:pPr>
              <w:jc w:val="right"/>
              <w:ind w:right="35"/>
              <w:spacing w:after="0"/>
              <w:rPr>
                <w:sz w:val="20"/>
                <w:szCs w:val="20"/>
                <w:color w:val="auto"/>
              </w:rPr>
            </w:pPr>
            <w:r>
              <w:rPr>
                <w:rFonts w:ascii="Arial" w:cs="Arial" w:eastAsia="Arial" w:hAnsi="Arial"/>
                <w:sz w:val="15"/>
                <w:szCs w:val="15"/>
                <w:b w:val="1"/>
                <w:bCs w:val="1"/>
                <w:color w:val="auto"/>
              </w:rPr>
              <w:t>127.1</w:t>
            </w:r>
          </w:p>
        </w:tc>
        <w:tc>
          <w:tcPr>
            <w:tcW w:w="1210" w:type="dxa"/>
            <w:vAlign w:val="bottom"/>
            <w:tcBorders>
              <w:top w:val="single" w:sz="8" w:color="793690"/>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125.7</w:t>
            </w:r>
          </w:p>
        </w:tc>
        <w:tc>
          <w:tcPr>
            <w:tcW w:w="124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35.0</w:t>
            </w:r>
          </w:p>
        </w:tc>
        <w:tc>
          <w:tcPr>
            <w:tcW w:w="12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17.3</w:t>
            </w:r>
          </w:p>
        </w:tc>
        <w:tc>
          <w:tcPr>
            <w:tcW w:w="126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(102.4)</w:t>
            </w:r>
          </w:p>
        </w:tc>
        <w:tc>
          <w:tcPr>
            <w:tcW w:w="12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202.7</w:t>
            </w:r>
          </w:p>
        </w:tc>
      </w:tr>
      <w:tr>
        <w:trPr>
          <w:trHeight w:val="439"/>
        </w:trPr>
        <w:tc>
          <w:tcPr>
            <w:tcW w:w="384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Other segment information</w:t>
            </w:r>
          </w:p>
        </w:tc>
        <w:tc>
          <w:tcPr>
            <w:tcW w:w="1190" w:type="dxa"/>
            <w:vAlign w:val="bottom"/>
            <w:tcBorders>
              <w:top w:val="single" w:sz="8" w:color="793690"/>
              <w:bottom w:val="single" w:sz="8" w:color="F4EFF6"/>
            </w:tcBorders>
            <w:shd w:val="clear" w:color="auto" w:fill="F4EFF6"/>
          </w:tcPr>
          <w:p>
            <w:pPr>
              <w:spacing w:after="0"/>
              <w:rPr>
                <w:sz w:val="24"/>
                <w:szCs w:val="24"/>
                <w:color w:val="auto"/>
              </w:rPr>
            </w:pPr>
          </w:p>
        </w:tc>
        <w:tc>
          <w:tcPr>
            <w:tcW w:w="1210" w:type="dxa"/>
            <w:vAlign w:val="bottom"/>
            <w:tcBorders>
              <w:top w:val="single" w:sz="8" w:color="793690"/>
              <w:bottom w:val="single" w:sz="8" w:color="F4EFF6"/>
            </w:tcBorders>
            <w:shd w:val="clear" w:color="auto" w:fill="F4EFF6"/>
          </w:tcPr>
          <w:p>
            <w:pPr>
              <w:spacing w:after="0"/>
              <w:rPr>
                <w:sz w:val="24"/>
                <w:szCs w:val="24"/>
                <w:color w:val="auto"/>
              </w:rPr>
            </w:pPr>
          </w:p>
        </w:tc>
        <w:tc>
          <w:tcPr>
            <w:tcW w:w="1240" w:type="dxa"/>
            <w:vAlign w:val="bottom"/>
            <w:tcBorders>
              <w:top w:val="single" w:sz="8" w:color="793690"/>
              <w:bottom w:val="single" w:sz="8" w:color="F4EFF6"/>
            </w:tcBorders>
            <w:shd w:val="clear" w:color="auto" w:fill="F4EFF6"/>
          </w:tcPr>
          <w:p>
            <w:pPr>
              <w:spacing w:after="0"/>
              <w:rPr>
                <w:sz w:val="24"/>
                <w:szCs w:val="24"/>
                <w:color w:val="auto"/>
              </w:rPr>
            </w:pPr>
          </w:p>
        </w:tc>
        <w:tc>
          <w:tcPr>
            <w:tcW w:w="1240" w:type="dxa"/>
            <w:vAlign w:val="bottom"/>
            <w:tcBorders>
              <w:top w:val="single" w:sz="8" w:color="793690"/>
              <w:bottom w:val="single" w:sz="8" w:color="F4EFF6"/>
            </w:tcBorders>
            <w:shd w:val="clear" w:color="auto" w:fill="F4EFF6"/>
          </w:tcPr>
          <w:p>
            <w:pPr>
              <w:spacing w:after="0"/>
              <w:rPr>
                <w:sz w:val="24"/>
                <w:szCs w:val="24"/>
                <w:color w:val="auto"/>
              </w:rPr>
            </w:pPr>
          </w:p>
        </w:tc>
        <w:tc>
          <w:tcPr>
            <w:tcW w:w="1260" w:type="dxa"/>
            <w:vAlign w:val="bottom"/>
            <w:tcBorders>
              <w:top w:val="single" w:sz="8" w:color="793690"/>
              <w:bottom w:val="single" w:sz="8" w:color="F4EFF6"/>
            </w:tcBorders>
            <w:shd w:val="clear" w:color="auto" w:fill="F4EFF6"/>
          </w:tcPr>
          <w:p>
            <w:pPr>
              <w:spacing w:after="0"/>
              <w:rPr>
                <w:sz w:val="24"/>
                <w:szCs w:val="24"/>
                <w:color w:val="auto"/>
              </w:rPr>
            </w:pPr>
          </w:p>
        </w:tc>
        <w:tc>
          <w:tcPr>
            <w:tcW w:w="1240" w:type="dxa"/>
            <w:vAlign w:val="bottom"/>
            <w:tcBorders>
              <w:top w:val="single" w:sz="8" w:color="793690"/>
              <w:bottom w:val="single" w:sz="8" w:color="F4EFF6"/>
            </w:tcBorders>
            <w:shd w:val="clear" w:color="auto" w:fill="F4EFF6"/>
          </w:tcPr>
          <w:p>
            <w:pPr>
              <w:spacing w:after="0"/>
              <w:rPr>
                <w:sz w:val="24"/>
                <w:szCs w:val="24"/>
                <w:color w:val="auto"/>
              </w:rPr>
            </w:pPr>
          </w:p>
        </w:tc>
      </w:tr>
      <w:tr>
        <w:trPr>
          <w:trHeight w:val="237"/>
        </w:trPr>
        <w:tc>
          <w:tcPr>
            <w:tcW w:w="38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Depreciation and amortisation</w:t>
            </w:r>
          </w:p>
        </w:tc>
        <w:tc>
          <w:tcPr>
            <w:tcW w:w="119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(0.2)</w:t>
            </w:r>
          </w:p>
        </w:tc>
        <w:tc>
          <w:tcPr>
            <w:tcW w:w="121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(0.3)</w:t>
            </w:r>
          </w:p>
        </w:tc>
        <w:tc>
          <w:tcPr>
            <w:tcW w:w="12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(0.2)</w:t>
            </w:r>
          </w:p>
        </w:tc>
        <w:tc>
          <w:tcPr>
            <w:tcW w:w="12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(0.3)</w:t>
            </w:r>
          </w:p>
        </w:tc>
        <w:tc>
          <w:tcPr>
            <w:tcW w:w="12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(15.5)</w:t>
            </w:r>
          </w:p>
        </w:tc>
        <w:tc>
          <w:tcPr>
            <w:tcW w:w="12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(16.5)</w:t>
            </w:r>
          </w:p>
        </w:tc>
      </w:tr>
      <w:tr>
        <w:trPr>
          <w:trHeight w:val="217"/>
        </w:trPr>
        <w:tc>
          <w:tcPr>
            <w:tcW w:w="38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Compensation and benefits</w:t>
            </w:r>
          </w:p>
        </w:tc>
        <w:tc>
          <w:tcPr>
            <w:tcW w:w="119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(65.2)</w:t>
            </w:r>
          </w:p>
        </w:tc>
        <w:tc>
          <w:tcPr>
            <w:tcW w:w="121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(292.3)</w:t>
            </w:r>
          </w:p>
        </w:tc>
        <w:tc>
          <w:tcPr>
            <w:tcW w:w="12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(50.5)</w:t>
            </w:r>
          </w:p>
        </w:tc>
        <w:tc>
          <w:tcPr>
            <w:tcW w:w="12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(36.6)</w:t>
            </w:r>
          </w:p>
        </w:tc>
        <w:tc>
          <w:tcPr>
            <w:tcW w:w="12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(153.0)</w:t>
            </w:r>
          </w:p>
        </w:tc>
        <w:tc>
          <w:tcPr>
            <w:tcW w:w="12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(597.6)</w:t>
            </w:r>
          </w:p>
        </w:tc>
      </w:tr>
      <w:tr>
        <w:trPr>
          <w:trHeight w:val="20"/>
        </w:trPr>
        <w:tc>
          <w:tcPr>
            <w:tcW w:w="3840" w:type="dxa"/>
            <w:vAlign w:val="bottom"/>
            <w:shd w:val="clear" w:color="auto" w:fill="793690"/>
          </w:tcPr>
          <w:p>
            <w:pPr>
              <w:spacing w:after="0" w:line="20" w:lineRule="exact"/>
              <w:rPr>
                <w:sz w:val="1"/>
                <w:szCs w:val="1"/>
                <w:color w:val="auto"/>
              </w:rPr>
            </w:pPr>
          </w:p>
        </w:tc>
        <w:tc>
          <w:tcPr>
            <w:tcW w:w="1190" w:type="dxa"/>
            <w:vAlign w:val="bottom"/>
            <w:shd w:val="clear" w:color="auto" w:fill="793690"/>
          </w:tcPr>
          <w:p>
            <w:pPr>
              <w:spacing w:after="0" w:line="20" w:lineRule="exact"/>
              <w:rPr>
                <w:sz w:val="1"/>
                <w:szCs w:val="1"/>
                <w:color w:val="auto"/>
              </w:rPr>
            </w:pPr>
          </w:p>
        </w:tc>
        <w:tc>
          <w:tcPr>
            <w:tcW w:w="1210" w:type="dxa"/>
            <w:vAlign w:val="bottom"/>
            <w:shd w:val="clear" w:color="auto" w:fill="793690"/>
          </w:tcPr>
          <w:p>
            <w:pPr>
              <w:spacing w:after="0" w:line="20" w:lineRule="exact"/>
              <w:rPr>
                <w:sz w:val="1"/>
                <w:szCs w:val="1"/>
                <w:color w:val="auto"/>
              </w:rPr>
            </w:pPr>
          </w:p>
        </w:tc>
        <w:tc>
          <w:tcPr>
            <w:tcW w:w="1240" w:type="dxa"/>
            <w:vAlign w:val="bottom"/>
            <w:shd w:val="clear" w:color="auto" w:fill="793690"/>
          </w:tcPr>
          <w:p>
            <w:pPr>
              <w:spacing w:after="0" w:line="20" w:lineRule="exact"/>
              <w:rPr>
                <w:sz w:val="1"/>
                <w:szCs w:val="1"/>
                <w:color w:val="auto"/>
              </w:rPr>
            </w:pPr>
          </w:p>
        </w:tc>
        <w:tc>
          <w:tcPr>
            <w:tcW w:w="1240" w:type="dxa"/>
            <w:vAlign w:val="bottom"/>
            <w:shd w:val="clear" w:color="auto" w:fill="793690"/>
          </w:tcPr>
          <w:p>
            <w:pPr>
              <w:spacing w:after="0" w:line="20" w:lineRule="exact"/>
              <w:rPr>
                <w:sz w:val="1"/>
                <w:szCs w:val="1"/>
                <w:color w:val="auto"/>
              </w:rPr>
            </w:pPr>
          </w:p>
        </w:tc>
        <w:tc>
          <w:tcPr>
            <w:tcW w:w="1260" w:type="dxa"/>
            <w:vAlign w:val="bottom"/>
            <w:shd w:val="clear" w:color="auto" w:fill="793690"/>
          </w:tcPr>
          <w:p>
            <w:pPr>
              <w:spacing w:after="0" w:line="20" w:lineRule="exact"/>
              <w:rPr>
                <w:sz w:val="1"/>
                <w:szCs w:val="1"/>
                <w:color w:val="auto"/>
              </w:rPr>
            </w:pPr>
          </w:p>
        </w:tc>
        <w:tc>
          <w:tcPr>
            <w:tcW w:w="1240" w:type="dxa"/>
            <w:vAlign w:val="bottom"/>
            <w:shd w:val="clear" w:color="auto" w:fill="793690"/>
          </w:tcPr>
          <w:p>
            <w:pPr>
              <w:spacing w:after="0" w:line="20" w:lineRule="exact"/>
              <w:rPr>
                <w:sz w:val="1"/>
                <w:szCs w:val="1"/>
                <w:color w:val="auto"/>
              </w:rPr>
            </w:pPr>
          </w:p>
        </w:tc>
      </w:tr>
    </w:tbl>
    <w:p>
      <w:pPr>
        <w:spacing w:after="0" w:line="284" w:lineRule="exact"/>
        <w:rPr>
          <w:sz w:val="20"/>
          <w:szCs w:val="20"/>
          <w:color w:val="auto"/>
        </w:rPr>
      </w:pPr>
    </w:p>
    <w:p>
      <w:pPr>
        <w:ind w:left="160" w:right="240" w:hanging="152"/>
        <w:spacing w:after="0" w:line="285" w:lineRule="auto"/>
        <w:tabs>
          <w:tab w:leader="none" w:pos="226"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The Inter-segmental funding allocation represents the interest costs borne by the Group, excluding interest earned centrally on house cash balances, which is subsequently recharged to the business segments. The recharge is based on the funding requirements of each business.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jc w:val="right"/>
              <w:ind w:right="247"/>
              <w:spacing w:after="0"/>
              <w:rPr>
                <w:sz w:val="20"/>
                <w:szCs w:val="20"/>
                <w:color w:val="auto"/>
              </w:rPr>
            </w:pPr>
            <w:r>
              <w:rPr>
                <w:rFonts w:ascii="Arial" w:cs="Arial" w:eastAsia="Arial" w:hAnsi="Arial"/>
                <w:sz w:val="13"/>
                <w:szCs w:val="13"/>
                <w:b w:val="1"/>
                <w:bCs w:val="1"/>
                <w:color w:val="auto"/>
              </w:rPr>
              <w:t>Hedging and</w:t>
            </w: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8"/>
        </w:trPr>
        <w:tc>
          <w:tcPr>
            <w:tcW w:w="4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jc w:val="right"/>
              <w:ind w:right="106"/>
              <w:spacing w:after="0"/>
              <w:rPr>
                <w:sz w:val="20"/>
                <w:szCs w:val="20"/>
                <w:color w:val="auto"/>
              </w:rPr>
            </w:pPr>
            <w:r>
              <w:rPr>
                <w:rFonts w:ascii="Arial" w:cs="Arial" w:eastAsia="Arial" w:hAnsi="Arial"/>
                <w:sz w:val="13"/>
                <w:szCs w:val="13"/>
                <w:b w:val="1"/>
                <w:bCs w:val="1"/>
                <w:color w:val="auto"/>
              </w:rPr>
              <w:t>Agency and</w:t>
            </w:r>
          </w:p>
        </w:tc>
        <w:tc>
          <w:tcPr>
            <w:tcW w:w="1300" w:type="dxa"/>
            <w:vAlign w:val="bottom"/>
          </w:tcPr>
          <w:p>
            <w:pPr>
              <w:spacing w:after="0"/>
              <w:rPr>
                <w:sz w:val="12"/>
                <w:szCs w:val="12"/>
                <w:color w:val="auto"/>
              </w:rPr>
            </w:pPr>
          </w:p>
        </w:tc>
        <w:tc>
          <w:tcPr>
            <w:tcW w:w="1340" w:type="dxa"/>
            <w:vAlign w:val="bottom"/>
          </w:tcPr>
          <w:p>
            <w:pPr>
              <w:jc w:val="right"/>
              <w:ind w:right="247"/>
              <w:spacing w:after="0"/>
              <w:rPr>
                <w:sz w:val="20"/>
                <w:szCs w:val="20"/>
                <w:color w:val="auto"/>
              </w:rPr>
            </w:pPr>
            <w:r>
              <w:rPr>
                <w:rFonts w:ascii="Arial" w:cs="Arial" w:eastAsia="Arial" w:hAnsi="Arial"/>
                <w:sz w:val="13"/>
                <w:szCs w:val="13"/>
                <w:b w:val="1"/>
                <w:bCs w:val="1"/>
                <w:color w:val="auto"/>
              </w:rPr>
              <w:t>Investment</w:t>
            </w:r>
          </w:p>
        </w:tc>
        <w:tc>
          <w:tcPr>
            <w:tcW w:w="13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5"/>
        </w:trPr>
        <w:tc>
          <w:tcPr>
            <w:tcW w:w="4060" w:type="dxa"/>
            <w:vAlign w:val="bottom"/>
          </w:tcPr>
          <w:p>
            <w:pPr>
              <w:ind w:left="20"/>
              <w:spacing w:after="0"/>
              <w:rPr>
                <w:sz w:val="20"/>
                <w:szCs w:val="20"/>
                <w:color w:val="auto"/>
              </w:rPr>
            </w:pPr>
            <w:r>
              <w:rPr>
                <w:rFonts w:ascii="Arial" w:cs="Arial" w:eastAsia="Arial" w:hAnsi="Arial"/>
                <w:sz w:val="13"/>
                <w:szCs w:val="13"/>
                <w:b w:val="1"/>
                <w:bCs w:val="1"/>
                <w:color w:val="auto"/>
              </w:rPr>
              <w:t>Segment information for the six months ended 30 June 2024</w:t>
            </w:r>
          </w:p>
        </w:tc>
        <w:tc>
          <w:tcPr>
            <w:tcW w:w="1180" w:type="dxa"/>
            <w:vAlign w:val="bottom"/>
          </w:tcPr>
          <w:p>
            <w:pPr>
              <w:jc w:val="right"/>
              <w:ind w:right="185"/>
              <w:spacing w:after="0"/>
              <w:rPr>
                <w:sz w:val="20"/>
                <w:szCs w:val="20"/>
                <w:color w:val="auto"/>
              </w:rPr>
            </w:pPr>
            <w:r>
              <w:rPr>
                <w:rFonts w:ascii="Arial" w:cs="Arial" w:eastAsia="Arial" w:hAnsi="Arial"/>
                <w:sz w:val="13"/>
                <w:szCs w:val="13"/>
                <w:b w:val="1"/>
                <w:bCs w:val="1"/>
                <w:color w:val="auto"/>
              </w:rPr>
              <w:t>Clearing</w:t>
            </w:r>
          </w:p>
        </w:tc>
        <w:tc>
          <w:tcPr>
            <w:tcW w:w="1160" w:type="dxa"/>
            <w:vAlign w:val="bottom"/>
          </w:tcPr>
          <w:p>
            <w:pPr>
              <w:jc w:val="right"/>
              <w:ind w:right="106"/>
              <w:spacing w:after="0"/>
              <w:rPr>
                <w:sz w:val="20"/>
                <w:szCs w:val="20"/>
                <w:color w:val="auto"/>
              </w:rPr>
            </w:pPr>
            <w:r>
              <w:rPr>
                <w:rFonts w:ascii="Arial" w:cs="Arial" w:eastAsia="Arial" w:hAnsi="Arial"/>
                <w:sz w:val="13"/>
                <w:szCs w:val="13"/>
                <w:b w:val="1"/>
                <w:bCs w:val="1"/>
                <w:color w:val="auto"/>
              </w:rPr>
              <w:t>Execution</w:t>
            </w:r>
          </w:p>
        </w:tc>
        <w:tc>
          <w:tcPr>
            <w:tcW w:w="1300" w:type="dxa"/>
            <w:vAlign w:val="bottom"/>
          </w:tcPr>
          <w:p>
            <w:pPr>
              <w:jc w:val="right"/>
              <w:ind w:right="165"/>
              <w:spacing w:after="0"/>
              <w:rPr>
                <w:sz w:val="20"/>
                <w:szCs w:val="20"/>
                <w:color w:val="auto"/>
              </w:rPr>
            </w:pPr>
            <w:r>
              <w:rPr>
                <w:rFonts w:ascii="Arial" w:cs="Arial" w:eastAsia="Arial" w:hAnsi="Arial"/>
                <w:sz w:val="13"/>
                <w:szCs w:val="13"/>
                <w:b w:val="1"/>
                <w:bCs w:val="1"/>
                <w:color w:val="auto"/>
              </w:rPr>
              <w:t>Market Making</w:t>
            </w:r>
          </w:p>
        </w:tc>
        <w:tc>
          <w:tcPr>
            <w:tcW w:w="1340" w:type="dxa"/>
            <w:vAlign w:val="bottom"/>
          </w:tcPr>
          <w:p>
            <w:pPr>
              <w:jc w:val="right"/>
              <w:ind w:right="247"/>
              <w:spacing w:after="0"/>
              <w:rPr>
                <w:sz w:val="20"/>
                <w:szCs w:val="20"/>
                <w:color w:val="auto"/>
              </w:rPr>
            </w:pPr>
            <w:r>
              <w:rPr>
                <w:rFonts w:ascii="Arial" w:cs="Arial" w:eastAsia="Arial" w:hAnsi="Arial"/>
                <w:sz w:val="13"/>
                <w:szCs w:val="13"/>
                <w:b w:val="1"/>
                <w:bCs w:val="1"/>
                <w:color w:val="auto"/>
              </w:rPr>
              <w:t>Solutions</w:t>
            </w:r>
          </w:p>
        </w:tc>
        <w:tc>
          <w:tcPr>
            <w:tcW w:w="1300" w:type="dxa"/>
            <w:vAlign w:val="bottom"/>
          </w:tcPr>
          <w:p>
            <w:pPr>
              <w:jc w:val="right"/>
              <w:ind w:right="305"/>
              <w:spacing w:after="0"/>
              <w:rPr>
                <w:sz w:val="20"/>
                <w:szCs w:val="20"/>
                <w:color w:val="auto"/>
              </w:rPr>
            </w:pPr>
            <w:r>
              <w:rPr>
                <w:rFonts w:ascii="Arial" w:cs="Arial" w:eastAsia="Arial" w:hAnsi="Arial"/>
                <w:sz w:val="13"/>
                <w:szCs w:val="13"/>
                <w:b w:val="1"/>
                <w:bCs w:val="1"/>
                <w:color w:val="auto"/>
              </w:rPr>
              <w:t>Corporate</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r>
      <w:tr>
        <w:trPr>
          <w:trHeight w:val="189"/>
        </w:trPr>
        <w:tc>
          <w:tcPr>
            <w:tcW w:w="4060" w:type="dxa"/>
            <w:vAlign w:val="bottom"/>
          </w:tcPr>
          <w:p>
            <w:pPr>
              <w:spacing w:after="0"/>
              <w:rPr>
                <w:sz w:val="16"/>
                <w:szCs w:val="16"/>
                <w:color w:val="auto"/>
              </w:rPr>
            </w:pPr>
          </w:p>
        </w:tc>
        <w:tc>
          <w:tcPr>
            <w:tcW w:w="1180" w:type="dxa"/>
            <w:vAlign w:val="bottom"/>
          </w:tcPr>
          <w:p>
            <w:pPr>
              <w:jc w:val="right"/>
              <w:ind w:right="185"/>
              <w:spacing w:after="0"/>
              <w:rPr>
                <w:sz w:val="20"/>
                <w:szCs w:val="20"/>
                <w:color w:val="auto"/>
              </w:rPr>
            </w:pPr>
            <w:r>
              <w:rPr>
                <w:rFonts w:ascii="Arial" w:cs="Arial" w:eastAsia="Arial" w:hAnsi="Arial"/>
                <w:sz w:val="13"/>
                <w:szCs w:val="13"/>
                <w:b w:val="1"/>
                <w:bCs w:val="1"/>
                <w:color w:val="auto"/>
              </w:rPr>
              <w:t>$m</w:t>
            </w:r>
          </w:p>
        </w:tc>
        <w:tc>
          <w:tcPr>
            <w:tcW w:w="1160" w:type="dxa"/>
            <w:vAlign w:val="bottom"/>
          </w:tcPr>
          <w:p>
            <w:pPr>
              <w:jc w:val="right"/>
              <w:ind w:right="106"/>
              <w:spacing w:after="0"/>
              <w:rPr>
                <w:sz w:val="20"/>
                <w:szCs w:val="20"/>
                <w:color w:val="auto"/>
              </w:rPr>
            </w:pPr>
            <w:r>
              <w:rPr>
                <w:rFonts w:ascii="Arial" w:cs="Arial" w:eastAsia="Arial" w:hAnsi="Arial"/>
                <w:sz w:val="13"/>
                <w:szCs w:val="13"/>
                <w:b w:val="1"/>
                <w:bCs w:val="1"/>
                <w:color w:val="auto"/>
              </w:rPr>
              <w:t>$m</w:t>
            </w:r>
          </w:p>
        </w:tc>
        <w:tc>
          <w:tcPr>
            <w:tcW w:w="1300" w:type="dxa"/>
            <w:vAlign w:val="bottom"/>
          </w:tcPr>
          <w:p>
            <w:pPr>
              <w:jc w:val="right"/>
              <w:ind w:right="165"/>
              <w:spacing w:after="0"/>
              <w:rPr>
                <w:sz w:val="20"/>
                <w:szCs w:val="20"/>
                <w:color w:val="auto"/>
              </w:rPr>
            </w:pPr>
            <w:r>
              <w:rPr>
                <w:rFonts w:ascii="Arial" w:cs="Arial" w:eastAsia="Arial" w:hAnsi="Arial"/>
                <w:sz w:val="13"/>
                <w:szCs w:val="13"/>
                <w:b w:val="1"/>
                <w:bCs w:val="1"/>
                <w:color w:val="auto"/>
              </w:rPr>
              <w:t>$m</w:t>
            </w:r>
          </w:p>
        </w:tc>
        <w:tc>
          <w:tcPr>
            <w:tcW w:w="1340" w:type="dxa"/>
            <w:vAlign w:val="bottom"/>
          </w:tcPr>
          <w:p>
            <w:pPr>
              <w:jc w:val="right"/>
              <w:ind w:right="247"/>
              <w:spacing w:after="0"/>
              <w:rPr>
                <w:sz w:val="20"/>
                <w:szCs w:val="20"/>
                <w:color w:val="auto"/>
              </w:rPr>
            </w:pPr>
            <w:r>
              <w:rPr>
                <w:rFonts w:ascii="Arial" w:cs="Arial" w:eastAsia="Arial" w:hAnsi="Arial"/>
                <w:sz w:val="13"/>
                <w:szCs w:val="13"/>
                <w:b w:val="1"/>
                <w:bCs w:val="1"/>
                <w:color w:val="auto"/>
              </w:rPr>
              <w:t>$m</w:t>
            </w:r>
          </w:p>
        </w:tc>
        <w:tc>
          <w:tcPr>
            <w:tcW w:w="1300" w:type="dxa"/>
            <w:vAlign w:val="bottom"/>
          </w:tcPr>
          <w:p>
            <w:pPr>
              <w:jc w:val="right"/>
              <w:ind w:right="305"/>
              <w:spacing w:after="0"/>
              <w:rPr>
                <w:sz w:val="20"/>
                <w:szCs w:val="20"/>
                <w:color w:val="auto"/>
              </w:rPr>
            </w:pPr>
            <w:r>
              <w:rPr>
                <w:rFonts w:ascii="Arial" w:cs="Arial" w:eastAsia="Arial" w:hAnsi="Arial"/>
                <w:sz w:val="13"/>
                <w:szCs w:val="13"/>
                <w:b w:val="1"/>
                <w:bCs w:val="1"/>
                <w:color w:val="auto"/>
              </w:rPr>
              <w:t>$m</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$m</w:t>
            </w:r>
          </w:p>
        </w:tc>
      </w:tr>
      <w:tr>
        <w:trPr>
          <w:trHeight w:val="22"/>
        </w:trPr>
        <w:tc>
          <w:tcPr>
            <w:tcW w:w="4060" w:type="dxa"/>
            <w:vAlign w:val="bottom"/>
            <w:tcBorders>
              <w:bottom w:val="single" w:sz="8" w:color="793690"/>
            </w:tcBorders>
          </w:tcPr>
          <w:p>
            <w:pPr>
              <w:spacing w:after="0" w:line="20" w:lineRule="exact"/>
              <w:rPr>
                <w:sz w:val="1"/>
                <w:szCs w:val="1"/>
                <w:color w:val="auto"/>
              </w:rPr>
            </w:pPr>
          </w:p>
        </w:tc>
        <w:tc>
          <w:tcPr>
            <w:tcW w:w="1180" w:type="dxa"/>
            <w:vAlign w:val="bottom"/>
            <w:tcBorders>
              <w:bottom w:val="single" w:sz="8" w:color="793690"/>
            </w:tcBorders>
          </w:tcPr>
          <w:p>
            <w:pPr>
              <w:spacing w:after="0" w:line="20" w:lineRule="exact"/>
              <w:rPr>
                <w:sz w:val="1"/>
                <w:szCs w:val="1"/>
                <w:color w:val="auto"/>
              </w:rPr>
            </w:pPr>
          </w:p>
        </w:tc>
        <w:tc>
          <w:tcPr>
            <w:tcW w:w="1160" w:type="dxa"/>
            <w:vAlign w:val="bottom"/>
            <w:tcBorders>
              <w:bottom w:val="single" w:sz="8" w:color="793690"/>
            </w:tcBorders>
          </w:tcPr>
          <w:p>
            <w:pPr>
              <w:spacing w:after="0" w:line="20" w:lineRule="exact"/>
              <w:rPr>
                <w:sz w:val="1"/>
                <w:szCs w:val="1"/>
                <w:color w:val="auto"/>
              </w:rPr>
            </w:pPr>
          </w:p>
        </w:tc>
        <w:tc>
          <w:tcPr>
            <w:tcW w:w="1300" w:type="dxa"/>
            <w:vAlign w:val="bottom"/>
            <w:tcBorders>
              <w:bottom w:val="single" w:sz="8" w:color="793690"/>
            </w:tcBorders>
          </w:tcPr>
          <w:p>
            <w:pPr>
              <w:spacing w:after="0" w:line="20" w:lineRule="exact"/>
              <w:rPr>
                <w:sz w:val="1"/>
                <w:szCs w:val="1"/>
                <w:color w:val="auto"/>
              </w:rPr>
            </w:pPr>
          </w:p>
        </w:tc>
        <w:tc>
          <w:tcPr>
            <w:tcW w:w="1340" w:type="dxa"/>
            <w:vAlign w:val="bottom"/>
            <w:tcBorders>
              <w:bottom w:val="single" w:sz="8" w:color="793690"/>
            </w:tcBorders>
          </w:tcPr>
          <w:p>
            <w:pPr>
              <w:spacing w:after="0" w:line="20" w:lineRule="exact"/>
              <w:rPr>
                <w:sz w:val="1"/>
                <w:szCs w:val="1"/>
                <w:color w:val="auto"/>
              </w:rPr>
            </w:pPr>
          </w:p>
        </w:tc>
        <w:tc>
          <w:tcPr>
            <w:tcW w:w="1300" w:type="dxa"/>
            <w:vAlign w:val="bottom"/>
            <w:tcBorders>
              <w:bottom w:val="single" w:sz="8" w:color="793690"/>
            </w:tcBorders>
          </w:tcPr>
          <w:p>
            <w:pPr>
              <w:spacing w:after="0" w:line="20" w:lineRule="exact"/>
              <w:rPr>
                <w:sz w:val="1"/>
                <w:szCs w:val="1"/>
                <w:color w:val="auto"/>
              </w:rPr>
            </w:pPr>
          </w:p>
        </w:tc>
        <w:tc>
          <w:tcPr>
            <w:tcW w:w="880" w:type="dxa"/>
            <w:vAlign w:val="bottom"/>
            <w:tcBorders>
              <w:bottom w:val="single" w:sz="8" w:color="793690"/>
            </w:tcBorders>
          </w:tcPr>
          <w:p>
            <w:pPr>
              <w:spacing w:after="0" w:line="20" w:lineRule="exact"/>
              <w:rPr>
                <w:sz w:val="1"/>
                <w:szCs w:val="1"/>
                <w:color w:val="auto"/>
              </w:rPr>
            </w:pPr>
          </w:p>
        </w:tc>
      </w:tr>
      <w:tr>
        <w:trPr>
          <w:trHeight w:val="204"/>
        </w:trPr>
        <w:tc>
          <w:tcPr>
            <w:tcW w:w="4060" w:type="dxa"/>
            <w:vAlign w:val="bottom"/>
          </w:tcPr>
          <w:p>
            <w:pPr>
              <w:ind w:left="20"/>
              <w:spacing w:after="0"/>
              <w:rPr>
                <w:sz w:val="20"/>
                <w:szCs w:val="20"/>
                <w:color w:val="auto"/>
              </w:rPr>
            </w:pPr>
            <w:r>
              <w:rPr>
                <w:rFonts w:ascii="Arial" w:cs="Arial" w:eastAsia="Arial" w:hAnsi="Arial"/>
                <w:sz w:val="15"/>
                <w:szCs w:val="15"/>
                <w:i w:val="1"/>
                <w:iCs w:val="1"/>
                <w:color w:val="auto"/>
              </w:rPr>
              <w:t>Commission and fee income</w:t>
            </w:r>
          </w:p>
        </w:tc>
        <w:tc>
          <w:tcPr>
            <w:tcW w:w="1180" w:type="dxa"/>
            <w:vAlign w:val="bottom"/>
          </w:tcPr>
          <w:p>
            <w:pPr>
              <w:jc w:val="right"/>
              <w:ind w:right="245"/>
              <w:spacing w:after="0"/>
              <w:rPr>
                <w:sz w:val="20"/>
                <w:szCs w:val="20"/>
                <w:color w:val="auto"/>
              </w:rPr>
            </w:pPr>
            <w:r>
              <w:rPr>
                <w:rFonts w:ascii="Arial" w:cs="Arial" w:eastAsia="Arial" w:hAnsi="Arial"/>
                <w:sz w:val="15"/>
                <w:szCs w:val="15"/>
                <w:color w:val="auto"/>
              </w:rPr>
              <w:t>474.6</w:t>
            </w:r>
          </w:p>
        </w:tc>
        <w:tc>
          <w:tcPr>
            <w:tcW w:w="1160" w:type="dxa"/>
            <w:vAlign w:val="bottom"/>
          </w:tcPr>
          <w:p>
            <w:pPr>
              <w:jc w:val="right"/>
              <w:ind w:right="166"/>
              <w:spacing w:after="0"/>
              <w:rPr>
                <w:sz w:val="20"/>
                <w:szCs w:val="20"/>
                <w:color w:val="auto"/>
              </w:rPr>
            </w:pPr>
            <w:r>
              <w:rPr>
                <w:rFonts w:ascii="Arial" w:cs="Arial" w:eastAsia="Arial" w:hAnsi="Arial"/>
                <w:sz w:val="15"/>
                <w:szCs w:val="15"/>
                <w:color w:val="auto"/>
              </w:rPr>
              <w:t>320.8</w:t>
            </w:r>
          </w:p>
        </w:tc>
        <w:tc>
          <w:tcPr>
            <w:tcW w:w="1300" w:type="dxa"/>
            <w:vAlign w:val="bottom"/>
          </w:tcPr>
          <w:p>
            <w:pPr>
              <w:jc w:val="right"/>
              <w:ind w:right="225"/>
              <w:spacing w:after="0"/>
              <w:rPr>
                <w:sz w:val="20"/>
                <w:szCs w:val="20"/>
                <w:color w:val="auto"/>
              </w:rPr>
            </w:pPr>
            <w:r>
              <w:rPr>
                <w:rFonts w:ascii="Arial" w:cs="Arial" w:eastAsia="Arial" w:hAnsi="Arial"/>
                <w:sz w:val="15"/>
                <w:szCs w:val="15"/>
                <w:color w:val="auto"/>
              </w:rPr>
              <w:t>6.5</w:t>
            </w:r>
          </w:p>
        </w:tc>
        <w:tc>
          <w:tcPr>
            <w:tcW w:w="1340" w:type="dxa"/>
            <w:vAlign w:val="bottom"/>
          </w:tcPr>
          <w:p>
            <w:pPr>
              <w:jc w:val="right"/>
              <w:ind w:right="307"/>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345"/>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801.9</w:t>
            </w:r>
          </w:p>
        </w:tc>
      </w:tr>
      <w:tr>
        <w:trPr>
          <w:trHeight w:val="33"/>
        </w:trPr>
        <w:tc>
          <w:tcPr>
            <w:tcW w:w="4060" w:type="dxa"/>
            <w:vAlign w:val="bottom"/>
            <w:tcBorders>
              <w:bottom w:val="single" w:sz="8" w:color="DADAE7"/>
            </w:tcBorders>
          </w:tcPr>
          <w:p>
            <w:pPr>
              <w:spacing w:after="0"/>
              <w:rPr>
                <w:sz w:val="2"/>
                <w:szCs w:val="2"/>
                <w:color w:val="auto"/>
              </w:rPr>
            </w:pPr>
          </w:p>
        </w:tc>
        <w:tc>
          <w:tcPr>
            <w:tcW w:w="118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tcPr>
          <w:p>
            <w:pPr>
              <w:spacing w:after="0"/>
              <w:rPr>
                <w:sz w:val="2"/>
                <w:szCs w:val="2"/>
                <w:color w:val="auto"/>
              </w:rPr>
            </w:pPr>
          </w:p>
        </w:tc>
        <w:tc>
          <w:tcPr>
            <w:tcW w:w="1300" w:type="dxa"/>
            <w:vAlign w:val="bottom"/>
            <w:tcBorders>
              <w:bottom w:val="single" w:sz="8" w:color="DADAE7"/>
            </w:tcBorders>
          </w:tcPr>
          <w:p>
            <w:pPr>
              <w:spacing w:after="0"/>
              <w:rPr>
                <w:sz w:val="2"/>
                <w:szCs w:val="2"/>
                <w:color w:val="auto"/>
              </w:rPr>
            </w:pPr>
          </w:p>
        </w:tc>
        <w:tc>
          <w:tcPr>
            <w:tcW w:w="1340" w:type="dxa"/>
            <w:vAlign w:val="bottom"/>
            <w:tcBorders>
              <w:bottom w:val="single" w:sz="8" w:color="DADAE7"/>
            </w:tcBorders>
          </w:tcPr>
          <w:p>
            <w:pPr>
              <w:spacing w:after="0"/>
              <w:rPr>
                <w:sz w:val="2"/>
                <w:szCs w:val="2"/>
                <w:color w:val="auto"/>
              </w:rPr>
            </w:pPr>
          </w:p>
        </w:tc>
        <w:tc>
          <w:tcPr>
            <w:tcW w:w="1300" w:type="dxa"/>
            <w:vAlign w:val="bottom"/>
            <w:tcBorders>
              <w:bottom w:val="single" w:sz="8" w:color="DADAE7"/>
            </w:tcBorders>
          </w:tcPr>
          <w:p>
            <w:pPr>
              <w:spacing w:after="0"/>
              <w:rPr>
                <w:sz w:val="2"/>
                <w:szCs w:val="2"/>
                <w:color w:val="auto"/>
              </w:rPr>
            </w:pPr>
          </w:p>
        </w:tc>
        <w:tc>
          <w:tcPr>
            <w:tcW w:w="880" w:type="dxa"/>
            <w:vAlign w:val="bottom"/>
            <w:tcBorders>
              <w:bottom w:val="single" w:sz="8" w:color="DADAE7"/>
            </w:tcBorders>
          </w:tcPr>
          <w:p>
            <w:pPr>
              <w:spacing w:after="0"/>
              <w:rPr>
                <w:sz w:val="2"/>
                <w:szCs w:val="2"/>
                <w:color w:val="auto"/>
              </w:rPr>
            </w:pPr>
          </w:p>
        </w:tc>
      </w:tr>
      <w:tr>
        <w:trPr>
          <w:trHeight w:val="203"/>
        </w:trPr>
        <w:tc>
          <w:tcPr>
            <w:tcW w:w="4060" w:type="dxa"/>
            <w:vAlign w:val="bottom"/>
          </w:tcPr>
          <w:p>
            <w:pPr>
              <w:ind w:left="20"/>
              <w:spacing w:after="0"/>
              <w:rPr>
                <w:sz w:val="20"/>
                <w:szCs w:val="20"/>
                <w:color w:val="auto"/>
              </w:rPr>
            </w:pPr>
            <w:r>
              <w:rPr>
                <w:rFonts w:ascii="Arial" w:cs="Arial" w:eastAsia="Arial" w:hAnsi="Arial"/>
                <w:sz w:val="15"/>
                <w:szCs w:val="15"/>
                <w:i w:val="1"/>
                <w:iCs w:val="1"/>
                <w:color w:val="auto"/>
              </w:rPr>
              <w:t>Commission and fee expense</w:t>
            </w:r>
          </w:p>
        </w:tc>
        <w:tc>
          <w:tcPr>
            <w:tcW w:w="1180" w:type="dxa"/>
            <w:vAlign w:val="bottom"/>
          </w:tcPr>
          <w:p>
            <w:pPr>
              <w:jc w:val="right"/>
              <w:ind w:right="205"/>
              <w:spacing w:after="0"/>
              <w:rPr>
                <w:sz w:val="20"/>
                <w:szCs w:val="20"/>
                <w:color w:val="auto"/>
              </w:rPr>
            </w:pPr>
            <w:r>
              <w:rPr>
                <w:rFonts w:ascii="Arial" w:cs="Arial" w:eastAsia="Arial" w:hAnsi="Arial"/>
                <w:sz w:val="15"/>
                <w:szCs w:val="15"/>
                <w:color w:val="auto"/>
              </w:rPr>
              <w:t>(339.0)</w:t>
            </w:r>
          </w:p>
        </w:tc>
        <w:tc>
          <w:tcPr>
            <w:tcW w:w="1160" w:type="dxa"/>
            <w:vAlign w:val="bottom"/>
          </w:tcPr>
          <w:p>
            <w:pPr>
              <w:jc w:val="right"/>
              <w:ind w:right="126"/>
              <w:spacing w:after="0"/>
              <w:rPr>
                <w:sz w:val="20"/>
                <w:szCs w:val="20"/>
                <w:color w:val="auto"/>
              </w:rPr>
            </w:pPr>
            <w:r>
              <w:rPr>
                <w:rFonts w:ascii="Arial" w:cs="Arial" w:eastAsia="Arial" w:hAnsi="Arial"/>
                <w:sz w:val="15"/>
                <w:szCs w:val="15"/>
                <w:color w:val="auto"/>
              </w:rPr>
              <w:t>(26.3)</w:t>
            </w:r>
          </w:p>
        </w:tc>
        <w:tc>
          <w:tcPr>
            <w:tcW w:w="1300" w:type="dxa"/>
            <w:vAlign w:val="bottom"/>
          </w:tcPr>
          <w:p>
            <w:pPr>
              <w:jc w:val="right"/>
              <w:ind w:right="185"/>
              <w:spacing w:after="0"/>
              <w:rPr>
                <w:sz w:val="20"/>
                <w:szCs w:val="20"/>
                <w:color w:val="auto"/>
              </w:rPr>
            </w:pPr>
            <w:r>
              <w:rPr>
                <w:rFonts w:ascii="Arial" w:cs="Arial" w:eastAsia="Arial" w:hAnsi="Arial"/>
                <w:sz w:val="15"/>
                <w:szCs w:val="15"/>
                <w:color w:val="auto"/>
              </w:rPr>
              <w:t>(9.3)</w:t>
            </w:r>
          </w:p>
        </w:tc>
        <w:tc>
          <w:tcPr>
            <w:tcW w:w="1340" w:type="dxa"/>
            <w:vAlign w:val="bottom"/>
          </w:tcPr>
          <w:p>
            <w:pPr>
              <w:jc w:val="right"/>
              <w:ind w:right="307"/>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345"/>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(374.6)</w:t>
            </w:r>
          </w:p>
        </w:tc>
      </w:tr>
      <w:tr>
        <w:trPr>
          <w:trHeight w:val="33"/>
        </w:trPr>
        <w:tc>
          <w:tcPr>
            <w:tcW w:w="4060" w:type="dxa"/>
            <w:vAlign w:val="bottom"/>
            <w:tcBorders>
              <w:bottom w:val="single" w:sz="8" w:color="793690"/>
            </w:tcBorders>
          </w:tcPr>
          <w:p>
            <w:pPr>
              <w:spacing w:after="0"/>
              <w:rPr>
                <w:sz w:val="2"/>
                <w:szCs w:val="2"/>
                <w:color w:val="auto"/>
              </w:rPr>
            </w:pPr>
          </w:p>
        </w:tc>
        <w:tc>
          <w:tcPr>
            <w:tcW w:w="1180" w:type="dxa"/>
            <w:vAlign w:val="bottom"/>
            <w:tcBorders>
              <w:bottom w:val="single" w:sz="8" w:color="793690"/>
            </w:tcBorders>
          </w:tcPr>
          <w:p>
            <w:pPr>
              <w:spacing w:after="0"/>
              <w:rPr>
                <w:sz w:val="2"/>
                <w:szCs w:val="2"/>
                <w:color w:val="auto"/>
              </w:rPr>
            </w:pPr>
          </w:p>
        </w:tc>
        <w:tc>
          <w:tcPr>
            <w:tcW w:w="1160" w:type="dxa"/>
            <w:vAlign w:val="bottom"/>
            <w:tcBorders>
              <w:bottom w:val="single" w:sz="8" w:color="793690"/>
            </w:tcBorders>
          </w:tcPr>
          <w:p>
            <w:pPr>
              <w:spacing w:after="0"/>
              <w:rPr>
                <w:sz w:val="2"/>
                <w:szCs w:val="2"/>
                <w:color w:val="auto"/>
              </w:rPr>
            </w:pPr>
          </w:p>
        </w:tc>
        <w:tc>
          <w:tcPr>
            <w:tcW w:w="1300" w:type="dxa"/>
            <w:vAlign w:val="bottom"/>
            <w:tcBorders>
              <w:bottom w:val="single" w:sz="8" w:color="793690"/>
            </w:tcBorders>
          </w:tcPr>
          <w:p>
            <w:pPr>
              <w:spacing w:after="0"/>
              <w:rPr>
                <w:sz w:val="2"/>
                <w:szCs w:val="2"/>
                <w:color w:val="auto"/>
              </w:rPr>
            </w:pPr>
          </w:p>
        </w:tc>
        <w:tc>
          <w:tcPr>
            <w:tcW w:w="1340" w:type="dxa"/>
            <w:vAlign w:val="bottom"/>
            <w:tcBorders>
              <w:bottom w:val="single" w:sz="8" w:color="793690"/>
            </w:tcBorders>
          </w:tcPr>
          <w:p>
            <w:pPr>
              <w:spacing w:after="0"/>
              <w:rPr>
                <w:sz w:val="2"/>
                <w:szCs w:val="2"/>
                <w:color w:val="auto"/>
              </w:rPr>
            </w:pPr>
          </w:p>
        </w:tc>
        <w:tc>
          <w:tcPr>
            <w:tcW w:w="1300" w:type="dxa"/>
            <w:vAlign w:val="bottom"/>
            <w:tcBorders>
              <w:bottom w:val="single" w:sz="8" w:color="793690"/>
            </w:tcBorders>
          </w:tcPr>
          <w:p>
            <w:pPr>
              <w:spacing w:after="0"/>
              <w:rPr>
                <w:sz w:val="2"/>
                <w:szCs w:val="2"/>
                <w:color w:val="auto"/>
              </w:rPr>
            </w:pPr>
          </w:p>
        </w:tc>
        <w:tc>
          <w:tcPr>
            <w:tcW w:w="880" w:type="dxa"/>
            <w:vAlign w:val="bottom"/>
            <w:tcBorders>
              <w:bottom w:val="single" w:sz="8" w:color="793690"/>
            </w:tcBorders>
          </w:tcPr>
          <w:p>
            <w:pPr>
              <w:spacing w:after="0"/>
              <w:rPr>
                <w:sz w:val="2"/>
                <w:szCs w:val="2"/>
                <w:color w:val="auto"/>
              </w:rPr>
            </w:pPr>
          </w:p>
        </w:tc>
      </w:tr>
      <w:tr>
        <w:trPr>
          <w:trHeight w:val="204"/>
        </w:trPr>
        <w:tc>
          <w:tcPr>
            <w:tcW w:w="4060" w:type="dxa"/>
            <w:vAlign w:val="bottom"/>
          </w:tcPr>
          <w:p>
            <w:pPr>
              <w:ind w:left="20"/>
              <w:spacing w:after="0"/>
              <w:rPr>
                <w:sz w:val="20"/>
                <w:szCs w:val="20"/>
                <w:color w:val="auto"/>
              </w:rPr>
            </w:pPr>
            <w:r>
              <w:rPr>
                <w:rFonts w:ascii="Arial" w:cs="Arial" w:eastAsia="Arial" w:hAnsi="Arial"/>
                <w:sz w:val="15"/>
                <w:szCs w:val="15"/>
                <w:color w:val="auto"/>
              </w:rPr>
              <w:t>Net commission income/(expense)</w:t>
            </w:r>
          </w:p>
        </w:tc>
        <w:tc>
          <w:tcPr>
            <w:tcW w:w="1180" w:type="dxa"/>
            <w:vAlign w:val="bottom"/>
          </w:tcPr>
          <w:p>
            <w:pPr>
              <w:jc w:val="right"/>
              <w:ind w:right="245"/>
              <w:spacing w:after="0"/>
              <w:rPr>
                <w:sz w:val="20"/>
                <w:szCs w:val="20"/>
                <w:color w:val="auto"/>
              </w:rPr>
            </w:pPr>
            <w:r>
              <w:rPr>
                <w:rFonts w:ascii="Arial" w:cs="Arial" w:eastAsia="Arial" w:hAnsi="Arial"/>
                <w:sz w:val="15"/>
                <w:szCs w:val="15"/>
                <w:color w:val="auto"/>
              </w:rPr>
              <w:t>135.6</w:t>
            </w:r>
          </w:p>
        </w:tc>
        <w:tc>
          <w:tcPr>
            <w:tcW w:w="1160" w:type="dxa"/>
            <w:vAlign w:val="bottom"/>
          </w:tcPr>
          <w:p>
            <w:pPr>
              <w:jc w:val="right"/>
              <w:ind w:right="166"/>
              <w:spacing w:after="0"/>
              <w:rPr>
                <w:sz w:val="20"/>
                <w:szCs w:val="20"/>
                <w:color w:val="auto"/>
              </w:rPr>
            </w:pPr>
            <w:r>
              <w:rPr>
                <w:rFonts w:ascii="Arial" w:cs="Arial" w:eastAsia="Arial" w:hAnsi="Arial"/>
                <w:sz w:val="15"/>
                <w:szCs w:val="15"/>
                <w:color w:val="auto"/>
              </w:rPr>
              <w:t>294.5</w:t>
            </w:r>
          </w:p>
        </w:tc>
        <w:tc>
          <w:tcPr>
            <w:tcW w:w="1300" w:type="dxa"/>
            <w:vAlign w:val="bottom"/>
          </w:tcPr>
          <w:p>
            <w:pPr>
              <w:jc w:val="right"/>
              <w:ind w:right="185"/>
              <w:spacing w:after="0"/>
              <w:rPr>
                <w:sz w:val="20"/>
                <w:szCs w:val="20"/>
                <w:color w:val="auto"/>
              </w:rPr>
            </w:pPr>
            <w:r>
              <w:rPr>
                <w:rFonts w:ascii="Arial" w:cs="Arial" w:eastAsia="Arial" w:hAnsi="Arial"/>
                <w:sz w:val="15"/>
                <w:szCs w:val="15"/>
                <w:color w:val="auto"/>
              </w:rPr>
              <w:t>(2.8)</w:t>
            </w:r>
          </w:p>
        </w:tc>
        <w:tc>
          <w:tcPr>
            <w:tcW w:w="1340" w:type="dxa"/>
            <w:vAlign w:val="bottom"/>
          </w:tcPr>
          <w:p>
            <w:pPr>
              <w:jc w:val="right"/>
              <w:ind w:right="307"/>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345"/>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427.3</w:t>
            </w:r>
          </w:p>
        </w:tc>
      </w:tr>
      <w:tr>
        <w:trPr>
          <w:trHeight w:val="33"/>
        </w:trPr>
        <w:tc>
          <w:tcPr>
            <w:tcW w:w="4060" w:type="dxa"/>
            <w:vAlign w:val="bottom"/>
            <w:tcBorders>
              <w:bottom w:val="single" w:sz="8" w:color="DADAE7"/>
            </w:tcBorders>
          </w:tcPr>
          <w:p>
            <w:pPr>
              <w:spacing w:after="0"/>
              <w:rPr>
                <w:sz w:val="2"/>
                <w:szCs w:val="2"/>
                <w:color w:val="auto"/>
              </w:rPr>
            </w:pPr>
          </w:p>
        </w:tc>
        <w:tc>
          <w:tcPr>
            <w:tcW w:w="118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tcPr>
          <w:p>
            <w:pPr>
              <w:spacing w:after="0"/>
              <w:rPr>
                <w:sz w:val="2"/>
                <w:szCs w:val="2"/>
                <w:color w:val="auto"/>
              </w:rPr>
            </w:pPr>
          </w:p>
        </w:tc>
        <w:tc>
          <w:tcPr>
            <w:tcW w:w="1300" w:type="dxa"/>
            <w:vAlign w:val="bottom"/>
            <w:tcBorders>
              <w:bottom w:val="single" w:sz="8" w:color="DADAE7"/>
            </w:tcBorders>
          </w:tcPr>
          <w:p>
            <w:pPr>
              <w:spacing w:after="0"/>
              <w:rPr>
                <w:sz w:val="2"/>
                <w:szCs w:val="2"/>
                <w:color w:val="auto"/>
              </w:rPr>
            </w:pPr>
          </w:p>
        </w:tc>
        <w:tc>
          <w:tcPr>
            <w:tcW w:w="1340" w:type="dxa"/>
            <w:vAlign w:val="bottom"/>
            <w:tcBorders>
              <w:bottom w:val="single" w:sz="8" w:color="DADAE7"/>
            </w:tcBorders>
          </w:tcPr>
          <w:p>
            <w:pPr>
              <w:spacing w:after="0"/>
              <w:rPr>
                <w:sz w:val="2"/>
                <w:szCs w:val="2"/>
                <w:color w:val="auto"/>
              </w:rPr>
            </w:pPr>
          </w:p>
        </w:tc>
        <w:tc>
          <w:tcPr>
            <w:tcW w:w="1300" w:type="dxa"/>
            <w:vAlign w:val="bottom"/>
            <w:tcBorders>
              <w:bottom w:val="single" w:sz="8" w:color="DADAE7"/>
            </w:tcBorders>
          </w:tcPr>
          <w:p>
            <w:pPr>
              <w:spacing w:after="0"/>
              <w:rPr>
                <w:sz w:val="2"/>
                <w:szCs w:val="2"/>
                <w:color w:val="auto"/>
              </w:rPr>
            </w:pPr>
          </w:p>
        </w:tc>
        <w:tc>
          <w:tcPr>
            <w:tcW w:w="880" w:type="dxa"/>
            <w:vAlign w:val="bottom"/>
            <w:tcBorders>
              <w:bottom w:val="single" w:sz="8" w:color="DADAE7"/>
            </w:tcBorders>
          </w:tcPr>
          <w:p>
            <w:pPr>
              <w:spacing w:after="0"/>
              <w:rPr>
                <w:sz w:val="2"/>
                <w:szCs w:val="2"/>
                <w:color w:val="auto"/>
              </w:rPr>
            </w:pPr>
          </w:p>
        </w:tc>
      </w:tr>
      <w:tr>
        <w:trPr>
          <w:trHeight w:val="203"/>
        </w:trPr>
        <w:tc>
          <w:tcPr>
            <w:tcW w:w="4060" w:type="dxa"/>
            <w:vAlign w:val="bottom"/>
          </w:tcPr>
          <w:p>
            <w:pPr>
              <w:ind w:left="20"/>
              <w:spacing w:after="0"/>
              <w:rPr>
                <w:sz w:val="20"/>
                <w:szCs w:val="20"/>
                <w:color w:val="auto"/>
              </w:rPr>
            </w:pPr>
            <w:r>
              <w:rPr>
                <w:rFonts w:ascii="Arial" w:cs="Arial" w:eastAsia="Arial" w:hAnsi="Arial"/>
                <w:sz w:val="15"/>
                <w:szCs w:val="15"/>
                <w:color w:val="auto"/>
              </w:rPr>
              <w:t>Net trading income</w:t>
            </w:r>
          </w:p>
        </w:tc>
        <w:tc>
          <w:tcPr>
            <w:tcW w:w="1180" w:type="dxa"/>
            <w:vAlign w:val="bottom"/>
          </w:tcPr>
          <w:p>
            <w:pPr>
              <w:jc w:val="right"/>
              <w:ind w:right="245"/>
              <w:spacing w:after="0"/>
              <w:rPr>
                <w:sz w:val="20"/>
                <w:szCs w:val="20"/>
                <w:color w:val="auto"/>
              </w:rPr>
            </w:pPr>
            <w:r>
              <w:rPr>
                <w:rFonts w:ascii="Arial" w:cs="Arial" w:eastAsia="Arial" w:hAnsi="Arial"/>
                <w:sz w:val="15"/>
                <w:szCs w:val="15"/>
                <w:color w:val="auto"/>
              </w:rPr>
              <w:t>2.3</w:t>
            </w:r>
          </w:p>
        </w:tc>
        <w:tc>
          <w:tcPr>
            <w:tcW w:w="1160" w:type="dxa"/>
            <w:vAlign w:val="bottom"/>
          </w:tcPr>
          <w:p>
            <w:pPr>
              <w:jc w:val="right"/>
              <w:ind w:right="166"/>
              <w:spacing w:after="0"/>
              <w:rPr>
                <w:sz w:val="20"/>
                <w:szCs w:val="20"/>
                <w:color w:val="auto"/>
              </w:rPr>
            </w:pPr>
            <w:r>
              <w:rPr>
                <w:rFonts w:ascii="Arial" w:cs="Arial" w:eastAsia="Arial" w:hAnsi="Arial"/>
                <w:sz w:val="15"/>
                <w:szCs w:val="15"/>
                <w:color w:val="auto"/>
              </w:rPr>
              <w:t>19.9</w:t>
            </w:r>
          </w:p>
        </w:tc>
        <w:tc>
          <w:tcPr>
            <w:tcW w:w="1300" w:type="dxa"/>
            <w:vAlign w:val="bottom"/>
          </w:tcPr>
          <w:p>
            <w:pPr>
              <w:jc w:val="right"/>
              <w:ind w:right="225"/>
              <w:spacing w:after="0"/>
              <w:rPr>
                <w:sz w:val="20"/>
                <w:szCs w:val="20"/>
                <w:color w:val="auto"/>
              </w:rPr>
            </w:pPr>
            <w:r>
              <w:rPr>
                <w:rFonts w:ascii="Arial" w:cs="Arial" w:eastAsia="Arial" w:hAnsi="Arial"/>
                <w:sz w:val="15"/>
                <w:szCs w:val="15"/>
                <w:color w:val="auto"/>
              </w:rPr>
              <w:t>108.5</w:t>
            </w:r>
          </w:p>
        </w:tc>
        <w:tc>
          <w:tcPr>
            <w:tcW w:w="1340" w:type="dxa"/>
            <w:vAlign w:val="bottom"/>
          </w:tcPr>
          <w:p>
            <w:pPr>
              <w:jc w:val="right"/>
              <w:ind w:right="307"/>
              <w:spacing w:after="0"/>
              <w:rPr>
                <w:sz w:val="20"/>
                <w:szCs w:val="20"/>
                <w:color w:val="auto"/>
              </w:rPr>
            </w:pPr>
            <w:r>
              <w:rPr>
                <w:rFonts w:ascii="Arial" w:cs="Arial" w:eastAsia="Arial" w:hAnsi="Arial"/>
                <w:sz w:val="15"/>
                <w:szCs w:val="15"/>
                <w:color w:val="auto"/>
              </w:rPr>
              <w:t>112.0</w:t>
            </w:r>
          </w:p>
        </w:tc>
        <w:tc>
          <w:tcPr>
            <w:tcW w:w="1300" w:type="dxa"/>
            <w:vAlign w:val="bottom"/>
          </w:tcPr>
          <w:p>
            <w:pPr>
              <w:jc w:val="right"/>
              <w:ind w:right="345"/>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242.7</w:t>
            </w:r>
          </w:p>
        </w:tc>
      </w:tr>
      <w:tr>
        <w:trPr>
          <w:trHeight w:val="33"/>
        </w:trPr>
        <w:tc>
          <w:tcPr>
            <w:tcW w:w="4060" w:type="dxa"/>
            <w:vAlign w:val="bottom"/>
            <w:tcBorders>
              <w:bottom w:val="single" w:sz="8" w:color="793690"/>
            </w:tcBorders>
          </w:tcPr>
          <w:p>
            <w:pPr>
              <w:spacing w:after="0"/>
              <w:rPr>
                <w:sz w:val="2"/>
                <w:szCs w:val="2"/>
                <w:color w:val="auto"/>
              </w:rPr>
            </w:pPr>
          </w:p>
        </w:tc>
        <w:tc>
          <w:tcPr>
            <w:tcW w:w="1180" w:type="dxa"/>
            <w:vAlign w:val="bottom"/>
            <w:tcBorders>
              <w:bottom w:val="single" w:sz="8" w:color="793690"/>
            </w:tcBorders>
          </w:tcPr>
          <w:p>
            <w:pPr>
              <w:spacing w:after="0"/>
              <w:rPr>
                <w:sz w:val="2"/>
                <w:szCs w:val="2"/>
                <w:color w:val="auto"/>
              </w:rPr>
            </w:pPr>
          </w:p>
        </w:tc>
        <w:tc>
          <w:tcPr>
            <w:tcW w:w="1160" w:type="dxa"/>
            <w:vAlign w:val="bottom"/>
            <w:tcBorders>
              <w:bottom w:val="single" w:sz="8" w:color="793690"/>
            </w:tcBorders>
          </w:tcPr>
          <w:p>
            <w:pPr>
              <w:spacing w:after="0"/>
              <w:rPr>
                <w:sz w:val="2"/>
                <w:szCs w:val="2"/>
                <w:color w:val="auto"/>
              </w:rPr>
            </w:pPr>
          </w:p>
        </w:tc>
        <w:tc>
          <w:tcPr>
            <w:tcW w:w="1300" w:type="dxa"/>
            <w:vAlign w:val="bottom"/>
            <w:tcBorders>
              <w:bottom w:val="single" w:sz="8" w:color="793690"/>
            </w:tcBorders>
          </w:tcPr>
          <w:p>
            <w:pPr>
              <w:spacing w:after="0"/>
              <w:rPr>
                <w:sz w:val="2"/>
                <w:szCs w:val="2"/>
                <w:color w:val="auto"/>
              </w:rPr>
            </w:pPr>
          </w:p>
        </w:tc>
        <w:tc>
          <w:tcPr>
            <w:tcW w:w="1340" w:type="dxa"/>
            <w:vAlign w:val="bottom"/>
            <w:tcBorders>
              <w:bottom w:val="single" w:sz="8" w:color="793690"/>
            </w:tcBorders>
          </w:tcPr>
          <w:p>
            <w:pPr>
              <w:spacing w:after="0"/>
              <w:rPr>
                <w:sz w:val="2"/>
                <w:szCs w:val="2"/>
                <w:color w:val="auto"/>
              </w:rPr>
            </w:pPr>
          </w:p>
        </w:tc>
        <w:tc>
          <w:tcPr>
            <w:tcW w:w="1300" w:type="dxa"/>
            <w:vAlign w:val="bottom"/>
            <w:tcBorders>
              <w:bottom w:val="single" w:sz="8" w:color="793690"/>
            </w:tcBorders>
          </w:tcPr>
          <w:p>
            <w:pPr>
              <w:spacing w:after="0"/>
              <w:rPr>
                <w:sz w:val="2"/>
                <w:szCs w:val="2"/>
                <w:color w:val="auto"/>
              </w:rPr>
            </w:pPr>
          </w:p>
        </w:tc>
        <w:tc>
          <w:tcPr>
            <w:tcW w:w="880" w:type="dxa"/>
            <w:vAlign w:val="bottom"/>
            <w:tcBorders>
              <w:bottom w:val="single" w:sz="8" w:color="793690"/>
            </w:tcBorders>
          </w:tcPr>
          <w:p>
            <w:pPr>
              <w:spacing w:after="0"/>
              <w:rPr>
                <w:sz w:val="2"/>
                <w:szCs w:val="2"/>
                <w:color w:val="auto"/>
              </w:rPr>
            </w:pPr>
          </w:p>
        </w:tc>
      </w:tr>
      <w:tr>
        <w:trPr>
          <w:trHeight w:val="203"/>
        </w:trPr>
        <w:tc>
          <w:tcPr>
            <w:tcW w:w="4060" w:type="dxa"/>
            <w:vAlign w:val="bottom"/>
          </w:tcPr>
          <w:p>
            <w:pPr>
              <w:ind w:left="20"/>
              <w:spacing w:after="0"/>
              <w:rPr>
                <w:sz w:val="20"/>
                <w:szCs w:val="20"/>
                <w:color w:val="auto"/>
              </w:rPr>
            </w:pPr>
            <w:r>
              <w:rPr>
                <w:rFonts w:ascii="Arial" w:cs="Arial" w:eastAsia="Arial" w:hAnsi="Arial"/>
                <w:sz w:val="15"/>
                <w:szCs w:val="15"/>
                <w:i w:val="1"/>
                <w:iCs w:val="1"/>
                <w:color w:val="auto"/>
              </w:rPr>
              <w:t>Interest income/(expense)</w:t>
            </w:r>
          </w:p>
        </w:tc>
        <w:tc>
          <w:tcPr>
            <w:tcW w:w="1180" w:type="dxa"/>
            <w:vAlign w:val="bottom"/>
          </w:tcPr>
          <w:p>
            <w:pPr>
              <w:jc w:val="right"/>
              <w:ind w:right="245"/>
              <w:spacing w:after="0"/>
              <w:rPr>
                <w:sz w:val="20"/>
                <w:szCs w:val="20"/>
                <w:color w:val="auto"/>
              </w:rPr>
            </w:pPr>
            <w:r>
              <w:rPr>
                <w:rFonts w:ascii="Arial" w:cs="Arial" w:eastAsia="Arial" w:hAnsi="Arial"/>
                <w:sz w:val="15"/>
                <w:szCs w:val="15"/>
                <w:color w:val="auto"/>
              </w:rPr>
              <w:t>148.2</w:t>
            </w:r>
          </w:p>
        </w:tc>
        <w:tc>
          <w:tcPr>
            <w:tcW w:w="1160" w:type="dxa"/>
            <w:vAlign w:val="bottom"/>
          </w:tcPr>
          <w:p>
            <w:pPr>
              <w:jc w:val="right"/>
              <w:ind w:right="166"/>
              <w:spacing w:after="0"/>
              <w:rPr>
                <w:sz w:val="20"/>
                <w:szCs w:val="20"/>
                <w:color w:val="auto"/>
              </w:rPr>
            </w:pPr>
            <w:r>
              <w:rPr>
                <w:rFonts w:ascii="Arial" w:cs="Arial" w:eastAsia="Arial" w:hAnsi="Arial"/>
                <w:sz w:val="15"/>
                <w:szCs w:val="15"/>
                <w:color w:val="auto"/>
              </w:rPr>
              <w:t>18.8</w:t>
            </w:r>
          </w:p>
        </w:tc>
        <w:tc>
          <w:tcPr>
            <w:tcW w:w="13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307"/>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305"/>
              <w:spacing w:after="0"/>
              <w:rPr>
                <w:sz w:val="20"/>
                <w:szCs w:val="20"/>
                <w:color w:val="auto"/>
              </w:rPr>
            </w:pPr>
            <w:r>
              <w:rPr>
                <w:rFonts w:ascii="Arial" w:cs="Arial" w:eastAsia="Arial" w:hAnsi="Arial"/>
                <w:sz w:val="15"/>
                <w:szCs w:val="15"/>
                <w:color w:val="auto"/>
              </w:rPr>
              <w:t>(66.0)</w:t>
            </w:r>
          </w:p>
        </w:tc>
        <w:tc>
          <w:tcPr>
            <w:tcW w:w="880" w:type="dxa"/>
            <w:vAlign w:val="bottom"/>
          </w:tcPr>
          <w:p>
            <w:pPr>
              <w:jc w:val="right"/>
              <w:spacing w:after="0"/>
              <w:rPr>
                <w:sz w:val="20"/>
                <w:szCs w:val="20"/>
                <w:color w:val="auto"/>
              </w:rPr>
            </w:pPr>
            <w:r>
              <w:rPr>
                <w:rFonts w:ascii="Arial" w:cs="Arial" w:eastAsia="Arial" w:hAnsi="Arial"/>
                <w:sz w:val="15"/>
                <w:szCs w:val="15"/>
                <w:color w:val="auto"/>
              </w:rPr>
              <w:t>101.0</w:t>
            </w:r>
          </w:p>
        </w:tc>
      </w:tr>
      <w:tr>
        <w:trPr>
          <w:trHeight w:val="33"/>
        </w:trPr>
        <w:tc>
          <w:tcPr>
            <w:tcW w:w="4060" w:type="dxa"/>
            <w:vAlign w:val="bottom"/>
            <w:tcBorders>
              <w:bottom w:val="single" w:sz="8" w:color="DADAE7"/>
            </w:tcBorders>
          </w:tcPr>
          <w:p>
            <w:pPr>
              <w:spacing w:after="0"/>
              <w:rPr>
                <w:sz w:val="2"/>
                <w:szCs w:val="2"/>
                <w:color w:val="auto"/>
              </w:rPr>
            </w:pPr>
          </w:p>
        </w:tc>
        <w:tc>
          <w:tcPr>
            <w:tcW w:w="118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tcPr>
          <w:p>
            <w:pPr>
              <w:spacing w:after="0"/>
              <w:rPr>
                <w:sz w:val="2"/>
                <w:szCs w:val="2"/>
                <w:color w:val="auto"/>
              </w:rPr>
            </w:pPr>
          </w:p>
        </w:tc>
        <w:tc>
          <w:tcPr>
            <w:tcW w:w="1300" w:type="dxa"/>
            <w:vAlign w:val="bottom"/>
            <w:tcBorders>
              <w:bottom w:val="single" w:sz="8" w:color="DADAE7"/>
            </w:tcBorders>
          </w:tcPr>
          <w:p>
            <w:pPr>
              <w:spacing w:after="0"/>
              <w:rPr>
                <w:sz w:val="2"/>
                <w:szCs w:val="2"/>
                <w:color w:val="auto"/>
              </w:rPr>
            </w:pPr>
          </w:p>
        </w:tc>
        <w:tc>
          <w:tcPr>
            <w:tcW w:w="1340" w:type="dxa"/>
            <w:vAlign w:val="bottom"/>
            <w:tcBorders>
              <w:bottom w:val="single" w:sz="8" w:color="DADAE7"/>
            </w:tcBorders>
          </w:tcPr>
          <w:p>
            <w:pPr>
              <w:spacing w:after="0"/>
              <w:rPr>
                <w:sz w:val="2"/>
                <w:szCs w:val="2"/>
                <w:color w:val="auto"/>
              </w:rPr>
            </w:pPr>
          </w:p>
        </w:tc>
        <w:tc>
          <w:tcPr>
            <w:tcW w:w="1300" w:type="dxa"/>
            <w:vAlign w:val="bottom"/>
            <w:tcBorders>
              <w:bottom w:val="single" w:sz="8" w:color="DADAE7"/>
            </w:tcBorders>
          </w:tcPr>
          <w:p>
            <w:pPr>
              <w:spacing w:after="0"/>
              <w:rPr>
                <w:sz w:val="2"/>
                <w:szCs w:val="2"/>
                <w:color w:val="auto"/>
              </w:rPr>
            </w:pPr>
          </w:p>
        </w:tc>
        <w:tc>
          <w:tcPr>
            <w:tcW w:w="880" w:type="dxa"/>
            <w:vAlign w:val="bottom"/>
            <w:tcBorders>
              <w:bottom w:val="single" w:sz="8" w:color="DADAE7"/>
            </w:tcBorders>
          </w:tcPr>
          <w:p>
            <w:pPr>
              <w:spacing w:after="0"/>
              <w:rPr>
                <w:sz w:val="2"/>
                <w:szCs w:val="2"/>
                <w:color w:val="auto"/>
              </w:rPr>
            </w:pPr>
          </w:p>
        </w:tc>
      </w:tr>
      <w:tr>
        <w:trPr>
          <w:trHeight w:val="203"/>
        </w:trPr>
        <w:tc>
          <w:tcPr>
            <w:tcW w:w="4060" w:type="dxa"/>
            <w:vAlign w:val="bottom"/>
          </w:tcPr>
          <w:p>
            <w:pPr>
              <w:ind w:left="20"/>
              <w:spacing w:after="0"/>
              <w:rPr>
                <w:sz w:val="20"/>
                <w:szCs w:val="20"/>
                <w:color w:val="auto"/>
              </w:rPr>
            </w:pPr>
            <w:r>
              <w:rPr>
                <w:rFonts w:ascii="Arial" w:cs="Arial" w:eastAsia="Arial" w:hAnsi="Arial"/>
                <w:sz w:val="15"/>
                <w:szCs w:val="15"/>
                <w:i w:val="1"/>
                <w:iCs w:val="1"/>
                <w:color w:val="auto"/>
              </w:rPr>
              <w:t>Inter-segmental funding allocations</w:t>
            </w:r>
            <w:r>
              <w:rPr>
                <w:rFonts w:ascii="Arial" w:cs="Arial" w:eastAsia="Arial" w:hAnsi="Arial"/>
                <w:sz w:val="9"/>
                <w:szCs w:val="9"/>
                <w:i w:val="1"/>
                <w:iCs w:val="1"/>
                <w:color w:val="auto"/>
              </w:rPr>
              <w:t>1</w:t>
            </w:r>
          </w:p>
        </w:tc>
        <w:tc>
          <w:tcPr>
            <w:tcW w:w="1180" w:type="dxa"/>
            <w:vAlign w:val="bottom"/>
          </w:tcPr>
          <w:p>
            <w:pPr>
              <w:jc w:val="right"/>
              <w:ind w:right="205"/>
              <w:spacing w:after="0"/>
              <w:rPr>
                <w:sz w:val="20"/>
                <w:szCs w:val="20"/>
                <w:color w:val="auto"/>
              </w:rPr>
            </w:pPr>
            <w:r>
              <w:rPr>
                <w:rFonts w:ascii="Arial" w:cs="Arial" w:eastAsia="Arial" w:hAnsi="Arial"/>
                <w:sz w:val="15"/>
                <w:szCs w:val="15"/>
                <w:color w:val="auto"/>
              </w:rPr>
              <w:t>(61.2)</w:t>
            </w:r>
          </w:p>
        </w:tc>
        <w:tc>
          <w:tcPr>
            <w:tcW w:w="1160" w:type="dxa"/>
            <w:vAlign w:val="bottom"/>
          </w:tcPr>
          <w:p>
            <w:pPr>
              <w:jc w:val="right"/>
              <w:ind w:right="126"/>
              <w:spacing w:after="0"/>
              <w:rPr>
                <w:sz w:val="20"/>
                <w:szCs w:val="20"/>
                <w:color w:val="auto"/>
              </w:rPr>
            </w:pPr>
            <w:r>
              <w:rPr>
                <w:rFonts w:ascii="Arial" w:cs="Arial" w:eastAsia="Arial" w:hAnsi="Arial"/>
                <w:sz w:val="15"/>
                <w:szCs w:val="15"/>
                <w:color w:val="auto"/>
              </w:rPr>
              <w:t>(1.3)</w:t>
            </w:r>
          </w:p>
        </w:tc>
        <w:tc>
          <w:tcPr>
            <w:tcW w:w="1300" w:type="dxa"/>
            <w:vAlign w:val="bottom"/>
          </w:tcPr>
          <w:p>
            <w:pPr>
              <w:jc w:val="right"/>
              <w:ind w:right="185"/>
              <w:spacing w:after="0"/>
              <w:rPr>
                <w:sz w:val="20"/>
                <w:szCs w:val="20"/>
                <w:color w:val="auto"/>
              </w:rPr>
            </w:pPr>
            <w:r>
              <w:rPr>
                <w:rFonts w:ascii="Arial" w:cs="Arial" w:eastAsia="Arial" w:hAnsi="Arial"/>
                <w:sz w:val="15"/>
                <w:szCs w:val="15"/>
                <w:color w:val="auto"/>
              </w:rPr>
              <w:t>(10.6)</w:t>
            </w:r>
          </w:p>
        </w:tc>
        <w:tc>
          <w:tcPr>
            <w:tcW w:w="1340" w:type="dxa"/>
            <w:vAlign w:val="bottom"/>
          </w:tcPr>
          <w:p>
            <w:pPr>
              <w:jc w:val="right"/>
              <w:ind w:right="267"/>
              <w:spacing w:after="0"/>
              <w:rPr>
                <w:sz w:val="20"/>
                <w:szCs w:val="20"/>
                <w:color w:val="auto"/>
              </w:rPr>
            </w:pPr>
            <w:r>
              <w:rPr>
                <w:rFonts w:ascii="Arial" w:cs="Arial" w:eastAsia="Arial" w:hAnsi="Arial"/>
                <w:sz w:val="15"/>
                <w:szCs w:val="15"/>
                <w:color w:val="auto"/>
              </w:rPr>
              <w:t>(26.0)</w:t>
            </w:r>
          </w:p>
        </w:tc>
        <w:tc>
          <w:tcPr>
            <w:tcW w:w="1300" w:type="dxa"/>
            <w:vAlign w:val="bottom"/>
          </w:tcPr>
          <w:p>
            <w:pPr>
              <w:jc w:val="right"/>
              <w:ind w:right="345"/>
              <w:spacing w:after="0"/>
              <w:rPr>
                <w:sz w:val="20"/>
                <w:szCs w:val="20"/>
                <w:color w:val="auto"/>
              </w:rPr>
            </w:pPr>
            <w:r>
              <w:rPr>
                <w:rFonts w:ascii="Arial" w:cs="Arial" w:eastAsia="Arial" w:hAnsi="Arial"/>
                <w:sz w:val="15"/>
                <w:szCs w:val="15"/>
                <w:color w:val="auto"/>
              </w:rPr>
              <w:t>99.1</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3"/>
        </w:trPr>
        <w:tc>
          <w:tcPr>
            <w:tcW w:w="4060" w:type="dxa"/>
            <w:vAlign w:val="bottom"/>
            <w:tcBorders>
              <w:bottom w:val="single" w:sz="8" w:color="793690"/>
            </w:tcBorders>
          </w:tcPr>
          <w:p>
            <w:pPr>
              <w:spacing w:after="0"/>
              <w:rPr>
                <w:sz w:val="2"/>
                <w:szCs w:val="2"/>
                <w:color w:val="auto"/>
              </w:rPr>
            </w:pPr>
          </w:p>
        </w:tc>
        <w:tc>
          <w:tcPr>
            <w:tcW w:w="1180" w:type="dxa"/>
            <w:vAlign w:val="bottom"/>
            <w:tcBorders>
              <w:bottom w:val="single" w:sz="8" w:color="793690"/>
            </w:tcBorders>
          </w:tcPr>
          <w:p>
            <w:pPr>
              <w:spacing w:after="0"/>
              <w:rPr>
                <w:sz w:val="2"/>
                <w:szCs w:val="2"/>
                <w:color w:val="auto"/>
              </w:rPr>
            </w:pPr>
          </w:p>
        </w:tc>
        <w:tc>
          <w:tcPr>
            <w:tcW w:w="1160" w:type="dxa"/>
            <w:vAlign w:val="bottom"/>
            <w:tcBorders>
              <w:bottom w:val="single" w:sz="8" w:color="793690"/>
            </w:tcBorders>
          </w:tcPr>
          <w:p>
            <w:pPr>
              <w:spacing w:after="0"/>
              <w:rPr>
                <w:sz w:val="2"/>
                <w:szCs w:val="2"/>
                <w:color w:val="auto"/>
              </w:rPr>
            </w:pPr>
          </w:p>
        </w:tc>
        <w:tc>
          <w:tcPr>
            <w:tcW w:w="1300" w:type="dxa"/>
            <w:vAlign w:val="bottom"/>
            <w:tcBorders>
              <w:bottom w:val="single" w:sz="8" w:color="793690"/>
            </w:tcBorders>
          </w:tcPr>
          <w:p>
            <w:pPr>
              <w:spacing w:after="0"/>
              <w:rPr>
                <w:sz w:val="2"/>
                <w:szCs w:val="2"/>
                <w:color w:val="auto"/>
              </w:rPr>
            </w:pPr>
          </w:p>
        </w:tc>
        <w:tc>
          <w:tcPr>
            <w:tcW w:w="1340" w:type="dxa"/>
            <w:vAlign w:val="bottom"/>
            <w:tcBorders>
              <w:bottom w:val="single" w:sz="8" w:color="793690"/>
            </w:tcBorders>
          </w:tcPr>
          <w:p>
            <w:pPr>
              <w:spacing w:after="0"/>
              <w:rPr>
                <w:sz w:val="2"/>
                <w:szCs w:val="2"/>
                <w:color w:val="auto"/>
              </w:rPr>
            </w:pPr>
          </w:p>
        </w:tc>
        <w:tc>
          <w:tcPr>
            <w:tcW w:w="1300" w:type="dxa"/>
            <w:vAlign w:val="bottom"/>
            <w:tcBorders>
              <w:bottom w:val="single" w:sz="8" w:color="793690"/>
            </w:tcBorders>
          </w:tcPr>
          <w:p>
            <w:pPr>
              <w:spacing w:after="0"/>
              <w:rPr>
                <w:sz w:val="2"/>
                <w:szCs w:val="2"/>
                <w:color w:val="auto"/>
              </w:rPr>
            </w:pPr>
          </w:p>
        </w:tc>
        <w:tc>
          <w:tcPr>
            <w:tcW w:w="880" w:type="dxa"/>
            <w:vAlign w:val="bottom"/>
            <w:tcBorders>
              <w:bottom w:val="single" w:sz="8" w:color="793690"/>
            </w:tcBorders>
          </w:tcPr>
          <w:p>
            <w:pPr>
              <w:spacing w:after="0"/>
              <w:rPr>
                <w:sz w:val="2"/>
                <w:szCs w:val="2"/>
                <w:color w:val="auto"/>
              </w:rPr>
            </w:pPr>
          </w:p>
        </w:tc>
      </w:tr>
      <w:tr>
        <w:trPr>
          <w:trHeight w:val="203"/>
        </w:trPr>
        <w:tc>
          <w:tcPr>
            <w:tcW w:w="4060" w:type="dxa"/>
            <w:vAlign w:val="bottom"/>
          </w:tcPr>
          <w:p>
            <w:pPr>
              <w:ind w:left="20"/>
              <w:spacing w:after="0"/>
              <w:rPr>
                <w:sz w:val="20"/>
                <w:szCs w:val="20"/>
                <w:color w:val="auto"/>
              </w:rPr>
            </w:pPr>
            <w:r>
              <w:rPr>
                <w:rFonts w:ascii="Arial" w:cs="Arial" w:eastAsia="Arial" w:hAnsi="Arial"/>
                <w:sz w:val="15"/>
                <w:szCs w:val="15"/>
                <w:color w:val="auto"/>
              </w:rPr>
              <w:t>Net interest income/(expense)</w:t>
            </w:r>
          </w:p>
        </w:tc>
        <w:tc>
          <w:tcPr>
            <w:tcW w:w="1180" w:type="dxa"/>
            <w:vAlign w:val="bottom"/>
          </w:tcPr>
          <w:p>
            <w:pPr>
              <w:jc w:val="right"/>
              <w:ind w:right="245"/>
              <w:spacing w:after="0"/>
              <w:rPr>
                <w:sz w:val="20"/>
                <w:szCs w:val="20"/>
                <w:color w:val="auto"/>
              </w:rPr>
            </w:pPr>
            <w:r>
              <w:rPr>
                <w:rFonts w:ascii="Arial" w:cs="Arial" w:eastAsia="Arial" w:hAnsi="Arial"/>
                <w:sz w:val="15"/>
                <w:szCs w:val="15"/>
                <w:color w:val="auto"/>
              </w:rPr>
              <w:t>87.0</w:t>
            </w:r>
          </w:p>
        </w:tc>
        <w:tc>
          <w:tcPr>
            <w:tcW w:w="1160" w:type="dxa"/>
            <w:vAlign w:val="bottom"/>
          </w:tcPr>
          <w:p>
            <w:pPr>
              <w:jc w:val="right"/>
              <w:ind w:right="166"/>
              <w:spacing w:after="0"/>
              <w:rPr>
                <w:sz w:val="20"/>
                <w:szCs w:val="20"/>
                <w:color w:val="auto"/>
              </w:rPr>
            </w:pPr>
            <w:r>
              <w:rPr>
                <w:rFonts w:ascii="Arial" w:cs="Arial" w:eastAsia="Arial" w:hAnsi="Arial"/>
                <w:sz w:val="15"/>
                <w:szCs w:val="15"/>
                <w:color w:val="auto"/>
              </w:rPr>
              <w:t>17.5</w:t>
            </w:r>
          </w:p>
        </w:tc>
        <w:tc>
          <w:tcPr>
            <w:tcW w:w="1300" w:type="dxa"/>
            <w:vAlign w:val="bottom"/>
          </w:tcPr>
          <w:p>
            <w:pPr>
              <w:jc w:val="right"/>
              <w:ind w:right="185"/>
              <w:spacing w:after="0"/>
              <w:rPr>
                <w:sz w:val="20"/>
                <w:szCs w:val="20"/>
                <w:color w:val="auto"/>
              </w:rPr>
            </w:pPr>
            <w:r>
              <w:rPr>
                <w:rFonts w:ascii="Arial" w:cs="Arial" w:eastAsia="Arial" w:hAnsi="Arial"/>
                <w:sz w:val="15"/>
                <w:szCs w:val="15"/>
                <w:color w:val="auto"/>
              </w:rPr>
              <w:t>(10.6)</w:t>
            </w:r>
          </w:p>
        </w:tc>
        <w:tc>
          <w:tcPr>
            <w:tcW w:w="1340" w:type="dxa"/>
            <w:vAlign w:val="bottom"/>
          </w:tcPr>
          <w:p>
            <w:pPr>
              <w:jc w:val="right"/>
              <w:ind w:right="267"/>
              <w:spacing w:after="0"/>
              <w:rPr>
                <w:sz w:val="20"/>
                <w:szCs w:val="20"/>
                <w:color w:val="auto"/>
              </w:rPr>
            </w:pPr>
            <w:r>
              <w:rPr>
                <w:rFonts w:ascii="Arial" w:cs="Arial" w:eastAsia="Arial" w:hAnsi="Arial"/>
                <w:sz w:val="15"/>
                <w:szCs w:val="15"/>
                <w:color w:val="auto"/>
              </w:rPr>
              <w:t>(26.0)</w:t>
            </w:r>
          </w:p>
        </w:tc>
        <w:tc>
          <w:tcPr>
            <w:tcW w:w="1300" w:type="dxa"/>
            <w:vAlign w:val="bottom"/>
          </w:tcPr>
          <w:p>
            <w:pPr>
              <w:jc w:val="right"/>
              <w:ind w:right="345"/>
              <w:spacing w:after="0"/>
              <w:rPr>
                <w:sz w:val="20"/>
                <w:szCs w:val="20"/>
                <w:color w:val="auto"/>
              </w:rPr>
            </w:pPr>
            <w:r>
              <w:rPr>
                <w:rFonts w:ascii="Arial" w:cs="Arial" w:eastAsia="Arial" w:hAnsi="Arial"/>
                <w:sz w:val="15"/>
                <w:szCs w:val="15"/>
                <w:color w:val="auto"/>
              </w:rPr>
              <w:t>33.1</w:t>
            </w:r>
          </w:p>
        </w:tc>
        <w:tc>
          <w:tcPr>
            <w:tcW w:w="880" w:type="dxa"/>
            <w:vAlign w:val="bottom"/>
          </w:tcPr>
          <w:p>
            <w:pPr>
              <w:jc w:val="right"/>
              <w:spacing w:after="0"/>
              <w:rPr>
                <w:sz w:val="20"/>
                <w:szCs w:val="20"/>
                <w:color w:val="auto"/>
              </w:rPr>
            </w:pPr>
            <w:r>
              <w:rPr>
                <w:rFonts w:ascii="Arial" w:cs="Arial" w:eastAsia="Arial" w:hAnsi="Arial"/>
                <w:sz w:val="15"/>
                <w:szCs w:val="15"/>
                <w:color w:val="auto"/>
              </w:rPr>
              <w:t>101.0</w:t>
            </w:r>
          </w:p>
        </w:tc>
      </w:tr>
      <w:tr>
        <w:trPr>
          <w:trHeight w:val="33"/>
        </w:trPr>
        <w:tc>
          <w:tcPr>
            <w:tcW w:w="4060" w:type="dxa"/>
            <w:vAlign w:val="bottom"/>
            <w:tcBorders>
              <w:bottom w:val="single" w:sz="8" w:color="DADAE7"/>
            </w:tcBorders>
          </w:tcPr>
          <w:p>
            <w:pPr>
              <w:spacing w:after="0"/>
              <w:rPr>
                <w:sz w:val="2"/>
                <w:szCs w:val="2"/>
                <w:color w:val="auto"/>
              </w:rPr>
            </w:pPr>
          </w:p>
        </w:tc>
        <w:tc>
          <w:tcPr>
            <w:tcW w:w="118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tcPr>
          <w:p>
            <w:pPr>
              <w:spacing w:after="0"/>
              <w:rPr>
                <w:sz w:val="2"/>
                <w:szCs w:val="2"/>
                <w:color w:val="auto"/>
              </w:rPr>
            </w:pPr>
          </w:p>
        </w:tc>
        <w:tc>
          <w:tcPr>
            <w:tcW w:w="1300" w:type="dxa"/>
            <w:vAlign w:val="bottom"/>
            <w:tcBorders>
              <w:bottom w:val="single" w:sz="8" w:color="DADAE7"/>
            </w:tcBorders>
          </w:tcPr>
          <w:p>
            <w:pPr>
              <w:spacing w:after="0"/>
              <w:rPr>
                <w:sz w:val="2"/>
                <w:szCs w:val="2"/>
                <w:color w:val="auto"/>
              </w:rPr>
            </w:pPr>
          </w:p>
        </w:tc>
        <w:tc>
          <w:tcPr>
            <w:tcW w:w="1340" w:type="dxa"/>
            <w:vAlign w:val="bottom"/>
            <w:tcBorders>
              <w:bottom w:val="single" w:sz="8" w:color="DADAE7"/>
            </w:tcBorders>
          </w:tcPr>
          <w:p>
            <w:pPr>
              <w:spacing w:after="0"/>
              <w:rPr>
                <w:sz w:val="2"/>
                <w:szCs w:val="2"/>
                <w:color w:val="auto"/>
              </w:rPr>
            </w:pPr>
          </w:p>
        </w:tc>
        <w:tc>
          <w:tcPr>
            <w:tcW w:w="1300" w:type="dxa"/>
            <w:vAlign w:val="bottom"/>
            <w:tcBorders>
              <w:bottom w:val="single" w:sz="8" w:color="DADAE7"/>
            </w:tcBorders>
          </w:tcPr>
          <w:p>
            <w:pPr>
              <w:spacing w:after="0"/>
              <w:rPr>
                <w:sz w:val="2"/>
                <w:szCs w:val="2"/>
                <w:color w:val="auto"/>
              </w:rPr>
            </w:pPr>
          </w:p>
        </w:tc>
        <w:tc>
          <w:tcPr>
            <w:tcW w:w="880" w:type="dxa"/>
            <w:vAlign w:val="bottom"/>
            <w:tcBorders>
              <w:bottom w:val="single" w:sz="8" w:color="DADAE7"/>
            </w:tcBorders>
          </w:tcPr>
          <w:p>
            <w:pPr>
              <w:spacing w:after="0"/>
              <w:rPr>
                <w:sz w:val="2"/>
                <w:szCs w:val="2"/>
                <w:color w:val="auto"/>
              </w:rPr>
            </w:pPr>
          </w:p>
        </w:tc>
      </w:tr>
      <w:tr>
        <w:trPr>
          <w:trHeight w:val="203"/>
        </w:trPr>
        <w:tc>
          <w:tcPr>
            <w:tcW w:w="4060" w:type="dxa"/>
            <w:vAlign w:val="bottom"/>
          </w:tcPr>
          <w:p>
            <w:pPr>
              <w:ind w:left="20"/>
              <w:spacing w:after="0"/>
              <w:rPr>
                <w:sz w:val="20"/>
                <w:szCs w:val="20"/>
                <w:color w:val="auto"/>
              </w:rPr>
            </w:pPr>
            <w:r>
              <w:rPr>
                <w:rFonts w:ascii="Arial" w:cs="Arial" w:eastAsia="Arial" w:hAnsi="Arial"/>
                <w:sz w:val="15"/>
                <w:szCs w:val="15"/>
                <w:color w:val="auto"/>
              </w:rPr>
              <w:t>Net physical commodities income</w:t>
            </w:r>
          </w:p>
        </w:tc>
        <w:tc>
          <w:tcPr>
            <w:tcW w:w="118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66"/>
              <w:spacing w:after="0"/>
              <w:rPr>
                <w:sz w:val="20"/>
                <w:szCs w:val="20"/>
                <w:color w:val="auto"/>
              </w:rPr>
            </w:pPr>
            <w:r>
              <w:rPr>
                <w:rFonts w:ascii="Arial" w:cs="Arial" w:eastAsia="Arial" w:hAnsi="Arial"/>
                <w:sz w:val="15"/>
                <w:szCs w:val="15"/>
                <w:color w:val="auto"/>
              </w:rPr>
              <w:t>0.7</w:t>
            </w:r>
          </w:p>
        </w:tc>
        <w:tc>
          <w:tcPr>
            <w:tcW w:w="1300" w:type="dxa"/>
            <w:vAlign w:val="bottom"/>
          </w:tcPr>
          <w:p>
            <w:pPr>
              <w:jc w:val="right"/>
              <w:ind w:right="225"/>
              <w:spacing w:after="0"/>
              <w:rPr>
                <w:sz w:val="20"/>
                <w:szCs w:val="20"/>
                <w:color w:val="auto"/>
              </w:rPr>
            </w:pPr>
            <w:r>
              <w:rPr>
                <w:rFonts w:ascii="Arial" w:cs="Arial" w:eastAsia="Arial" w:hAnsi="Arial"/>
                <w:sz w:val="15"/>
                <w:szCs w:val="15"/>
                <w:color w:val="auto"/>
              </w:rPr>
              <w:t>16.2</w:t>
            </w:r>
          </w:p>
        </w:tc>
        <w:tc>
          <w:tcPr>
            <w:tcW w:w="1340" w:type="dxa"/>
            <w:vAlign w:val="bottom"/>
          </w:tcPr>
          <w:p>
            <w:pPr>
              <w:jc w:val="right"/>
              <w:ind w:right="307"/>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345"/>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16.9</w:t>
            </w:r>
          </w:p>
        </w:tc>
      </w:tr>
      <w:tr>
        <w:trPr>
          <w:trHeight w:val="33"/>
        </w:trPr>
        <w:tc>
          <w:tcPr>
            <w:tcW w:w="4060" w:type="dxa"/>
            <w:vAlign w:val="bottom"/>
            <w:tcBorders>
              <w:bottom w:val="single" w:sz="8" w:color="793690"/>
            </w:tcBorders>
          </w:tcPr>
          <w:p>
            <w:pPr>
              <w:spacing w:after="0"/>
              <w:rPr>
                <w:sz w:val="2"/>
                <w:szCs w:val="2"/>
                <w:color w:val="auto"/>
              </w:rPr>
            </w:pPr>
          </w:p>
        </w:tc>
        <w:tc>
          <w:tcPr>
            <w:tcW w:w="1180" w:type="dxa"/>
            <w:vAlign w:val="bottom"/>
            <w:tcBorders>
              <w:bottom w:val="single" w:sz="8" w:color="793690"/>
            </w:tcBorders>
          </w:tcPr>
          <w:p>
            <w:pPr>
              <w:spacing w:after="0"/>
              <w:rPr>
                <w:sz w:val="2"/>
                <w:szCs w:val="2"/>
                <w:color w:val="auto"/>
              </w:rPr>
            </w:pPr>
          </w:p>
        </w:tc>
        <w:tc>
          <w:tcPr>
            <w:tcW w:w="1160" w:type="dxa"/>
            <w:vAlign w:val="bottom"/>
            <w:tcBorders>
              <w:bottom w:val="single" w:sz="8" w:color="793690"/>
            </w:tcBorders>
          </w:tcPr>
          <w:p>
            <w:pPr>
              <w:spacing w:after="0"/>
              <w:rPr>
                <w:sz w:val="2"/>
                <w:szCs w:val="2"/>
                <w:color w:val="auto"/>
              </w:rPr>
            </w:pPr>
          </w:p>
        </w:tc>
        <w:tc>
          <w:tcPr>
            <w:tcW w:w="1300" w:type="dxa"/>
            <w:vAlign w:val="bottom"/>
            <w:tcBorders>
              <w:bottom w:val="single" w:sz="8" w:color="793690"/>
            </w:tcBorders>
          </w:tcPr>
          <w:p>
            <w:pPr>
              <w:spacing w:after="0"/>
              <w:rPr>
                <w:sz w:val="2"/>
                <w:szCs w:val="2"/>
                <w:color w:val="auto"/>
              </w:rPr>
            </w:pPr>
          </w:p>
        </w:tc>
        <w:tc>
          <w:tcPr>
            <w:tcW w:w="1340" w:type="dxa"/>
            <w:vAlign w:val="bottom"/>
            <w:tcBorders>
              <w:bottom w:val="single" w:sz="8" w:color="793690"/>
            </w:tcBorders>
          </w:tcPr>
          <w:p>
            <w:pPr>
              <w:spacing w:after="0"/>
              <w:rPr>
                <w:sz w:val="2"/>
                <w:szCs w:val="2"/>
                <w:color w:val="auto"/>
              </w:rPr>
            </w:pPr>
          </w:p>
        </w:tc>
        <w:tc>
          <w:tcPr>
            <w:tcW w:w="1300" w:type="dxa"/>
            <w:vAlign w:val="bottom"/>
            <w:tcBorders>
              <w:bottom w:val="single" w:sz="8" w:color="793690"/>
            </w:tcBorders>
          </w:tcPr>
          <w:p>
            <w:pPr>
              <w:spacing w:after="0"/>
              <w:rPr>
                <w:sz w:val="2"/>
                <w:szCs w:val="2"/>
                <w:color w:val="auto"/>
              </w:rPr>
            </w:pPr>
          </w:p>
        </w:tc>
        <w:tc>
          <w:tcPr>
            <w:tcW w:w="880" w:type="dxa"/>
            <w:vAlign w:val="bottom"/>
            <w:tcBorders>
              <w:bottom w:val="single" w:sz="8" w:color="793690"/>
            </w:tcBorders>
          </w:tcPr>
          <w:p>
            <w:pPr>
              <w:spacing w:after="0"/>
              <w:rPr>
                <w:sz w:val="2"/>
                <w:szCs w:val="2"/>
                <w:color w:val="auto"/>
              </w:rPr>
            </w:pPr>
          </w:p>
        </w:tc>
      </w:tr>
      <w:tr>
        <w:trPr>
          <w:trHeight w:val="203"/>
        </w:trPr>
        <w:tc>
          <w:tcPr>
            <w:tcW w:w="4060" w:type="dxa"/>
            <w:vAlign w:val="bottom"/>
          </w:tcPr>
          <w:p>
            <w:pPr>
              <w:ind w:left="20"/>
              <w:spacing w:after="0"/>
              <w:rPr>
                <w:sz w:val="20"/>
                <w:szCs w:val="20"/>
                <w:color w:val="auto"/>
              </w:rPr>
            </w:pPr>
            <w:r>
              <w:rPr>
                <w:rFonts w:ascii="Arial" w:cs="Arial" w:eastAsia="Arial" w:hAnsi="Arial"/>
                <w:sz w:val="15"/>
                <w:szCs w:val="15"/>
                <w:color w:val="auto"/>
              </w:rPr>
              <w:t>Revenue</w:t>
            </w:r>
          </w:p>
        </w:tc>
        <w:tc>
          <w:tcPr>
            <w:tcW w:w="1180" w:type="dxa"/>
            <w:vAlign w:val="bottom"/>
          </w:tcPr>
          <w:p>
            <w:pPr>
              <w:jc w:val="right"/>
              <w:ind w:right="245"/>
              <w:spacing w:after="0"/>
              <w:rPr>
                <w:sz w:val="20"/>
                <w:szCs w:val="20"/>
                <w:color w:val="auto"/>
              </w:rPr>
            </w:pPr>
            <w:r>
              <w:rPr>
                <w:rFonts w:ascii="Arial" w:cs="Arial" w:eastAsia="Arial" w:hAnsi="Arial"/>
                <w:sz w:val="15"/>
                <w:szCs w:val="15"/>
                <w:color w:val="auto"/>
              </w:rPr>
              <w:t>224.9</w:t>
            </w:r>
          </w:p>
        </w:tc>
        <w:tc>
          <w:tcPr>
            <w:tcW w:w="1160" w:type="dxa"/>
            <w:vAlign w:val="bottom"/>
          </w:tcPr>
          <w:p>
            <w:pPr>
              <w:jc w:val="right"/>
              <w:ind w:right="166"/>
              <w:spacing w:after="0"/>
              <w:rPr>
                <w:sz w:val="20"/>
                <w:szCs w:val="20"/>
                <w:color w:val="auto"/>
              </w:rPr>
            </w:pPr>
            <w:r>
              <w:rPr>
                <w:rFonts w:ascii="Arial" w:cs="Arial" w:eastAsia="Arial" w:hAnsi="Arial"/>
                <w:sz w:val="15"/>
                <w:szCs w:val="15"/>
                <w:color w:val="auto"/>
              </w:rPr>
              <w:t>332.6</w:t>
            </w:r>
          </w:p>
        </w:tc>
        <w:tc>
          <w:tcPr>
            <w:tcW w:w="1300" w:type="dxa"/>
            <w:vAlign w:val="bottom"/>
          </w:tcPr>
          <w:p>
            <w:pPr>
              <w:jc w:val="right"/>
              <w:ind w:right="225"/>
              <w:spacing w:after="0"/>
              <w:rPr>
                <w:sz w:val="20"/>
                <w:szCs w:val="20"/>
                <w:color w:val="auto"/>
              </w:rPr>
            </w:pPr>
            <w:r>
              <w:rPr>
                <w:rFonts w:ascii="Arial" w:cs="Arial" w:eastAsia="Arial" w:hAnsi="Arial"/>
                <w:sz w:val="15"/>
                <w:szCs w:val="15"/>
                <w:color w:val="auto"/>
              </w:rPr>
              <w:t>111.3</w:t>
            </w:r>
          </w:p>
        </w:tc>
        <w:tc>
          <w:tcPr>
            <w:tcW w:w="1340" w:type="dxa"/>
            <w:vAlign w:val="bottom"/>
          </w:tcPr>
          <w:p>
            <w:pPr>
              <w:jc w:val="right"/>
              <w:ind w:right="307"/>
              <w:spacing w:after="0"/>
              <w:rPr>
                <w:sz w:val="20"/>
                <w:szCs w:val="20"/>
                <w:color w:val="auto"/>
              </w:rPr>
            </w:pPr>
            <w:r>
              <w:rPr>
                <w:rFonts w:ascii="Arial" w:cs="Arial" w:eastAsia="Arial" w:hAnsi="Arial"/>
                <w:sz w:val="15"/>
                <w:szCs w:val="15"/>
                <w:color w:val="auto"/>
              </w:rPr>
              <w:t>86.0</w:t>
            </w:r>
          </w:p>
        </w:tc>
        <w:tc>
          <w:tcPr>
            <w:tcW w:w="1300" w:type="dxa"/>
            <w:vAlign w:val="bottom"/>
          </w:tcPr>
          <w:p>
            <w:pPr>
              <w:jc w:val="right"/>
              <w:ind w:right="345"/>
              <w:spacing w:after="0"/>
              <w:rPr>
                <w:sz w:val="20"/>
                <w:szCs w:val="20"/>
                <w:color w:val="auto"/>
              </w:rPr>
            </w:pPr>
            <w:r>
              <w:rPr>
                <w:rFonts w:ascii="Arial" w:cs="Arial" w:eastAsia="Arial" w:hAnsi="Arial"/>
                <w:sz w:val="15"/>
                <w:szCs w:val="15"/>
                <w:color w:val="auto"/>
              </w:rPr>
              <w:t>33.1</w:t>
            </w:r>
          </w:p>
        </w:tc>
        <w:tc>
          <w:tcPr>
            <w:tcW w:w="880" w:type="dxa"/>
            <w:vAlign w:val="bottom"/>
          </w:tcPr>
          <w:p>
            <w:pPr>
              <w:jc w:val="right"/>
              <w:spacing w:after="0"/>
              <w:rPr>
                <w:sz w:val="20"/>
                <w:szCs w:val="20"/>
                <w:color w:val="auto"/>
              </w:rPr>
            </w:pPr>
            <w:r>
              <w:rPr>
                <w:rFonts w:ascii="Arial" w:cs="Arial" w:eastAsia="Arial" w:hAnsi="Arial"/>
                <w:sz w:val="15"/>
                <w:szCs w:val="15"/>
                <w:color w:val="auto"/>
              </w:rPr>
              <w:t>787.9</w:t>
            </w:r>
          </w:p>
        </w:tc>
      </w:tr>
      <w:tr>
        <w:trPr>
          <w:trHeight w:val="33"/>
        </w:trPr>
        <w:tc>
          <w:tcPr>
            <w:tcW w:w="4060" w:type="dxa"/>
            <w:vAlign w:val="bottom"/>
            <w:tcBorders>
              <w:bottom w:val="single" w:sz="8" w:color="793690"/>
            </w:tcBorders>
          </w:tcPr>
          <w:p>
            <w:pPr>
              <w:spacing w:after="0"/>
              <w:rPr>
                <w:sz w:val="2"/>
                <w:szCs w:val="2"/>
                <w:color w:val="auto"/>
              </w:rPr>
            </w:pPr>
          </w:p>
        </w:tc>
        <w:tc>
          <w:tcPr>
            <w:tcW w:w="1180" w:type="dxa"/>
            <w:vAlign w:val="bottom"/>
            <w:tcBorders>
              <w:bottom w:val="single" w:sz="8" w:color="793690"/>
            </w:tcBorders>
          </w:tcPr>
          <w:p>
            <w:pPr>
              <w:spacing w:after="0"/>
              <w:rPr>
                <w:sz w:val="2"/>
                <w:szCs w:val="2"/>
                <w:color w:val="auto"/>
              </w:rPr>
            </w:pPr>
          </w:p>
        </w:tc>
        <w:tc>
          <w:tcPr>
            <w:tcW w:w="1160" w:type="dxa"/>
            <w:vAlign w:val="bottom"/>
            <w:tcBorders>
              <w:bottom w:val="single" w:sz="8" w:color="793690"/>
            </w:tcBorders>
          </w:tcPr>
          <w:p>
            <w:pPr>
              <w:spacing w:after="0"/>
              <w:rPr>
                <w:sz w:val="2"/>
                <w:szCs w:val="2"/>
                <w:color w:val="auto"/>
              </w:rPr>
            </w:pPr>
          </w:p>
        </w:tc>
        <w:tc>
          <w:tcPr>
            <w:tcW w:w="1300" w:type="dxa"/>
            <w:vAlign w:val="bottom"/>
            <w:tcBorders>
              <w:bottom w:val="single" w:sz="8" w:color="793690"/>
            </w:tcBorders>
          </w:tcPr>
          <w:p>
            <w:pPr>
              <w:spacing w:after="0"/>
              <w:rPr>
                <w:sz w:val="2"/>
                <w:szCs w:val="2"/>
                <w:color w:val="auto"/>
              </w:rPr>
            </w:pPr>
          </w:p>
        </w:tc>
        <w:tc>
          <w:tcPr>
            <w:tcW w:w="1340" w:type="dxa"/>
            <w:vAlign w:val="bottom"/>
            <w:tcBorders>
              <w:bottom w:val="single" w:sz="8" w:color="793690"/>
            </w:tcBorders>
          </w:tcPr>
          <w:p>
            <w:pPr>
              <w:spacing w:after="0"/>
              <w:rPr>
                <w:sz w:val="2"/>
                <w:szCs w:val="2"/>
                <w:color w:val="auto"/>
              </w:rPr>
            </w:pPr>
          </w:p>
        </w:tc>
        <w:tc>
          <w:tcPr>
            <w:tcW w:w="1300" w:type="dxa"/>
            <w:vAlign w:val="bottom"/>
            <w:tcBorders>
              <w:bottom w:val="single" w:sz="8" w:color="793690"/>
            </w:tcBorders>
          </w:tcPr>
          <w:p>
            <w:pPr>
              <w:spacing w:after="0"/>
              <w:rPr>
                <w:sz w:val="2"/>
                <w:szCs w:val="2"/>
                <w:color w:val="auto"/>
              </w:rPr>
            </w:pPr>
          </w:p>
        </w:tc>
        <w:tc>
          <w:tcPr>
            <w:tcW w:w="880" w:type="dxa"/>
            <w:vAlign w:val="bottom"/>
            <w:tcBorders>
              <w:bottom w:val="single" w:sz="8" w:color="793690"/>
            </w:tcBorders>
          </w:tcPr>
          <w:p>
            <w:pPr>
              <w:spacing w:after="0"/>
              <w:rPr>
                <w:sz w:val="2"/>
                <w:szCs w:val="2"/>
                <w:color w:val="auto"/>
              </w:rPr>
            </w:pPr>
          </w:p>
        </w:tc>
      </w:tr>
      <w:tr>
        <w:trPr>
          <w:trHeight w:val="203"/>
        </w:trPr>
        <w:tc>
          <w:tcPr>
            <w:tcW w:w="4060" w:type="dxa"/>
            <w:vAlign w:val="bottom"/>
          </w:tcPr>
          <w:p>
            <w:pPr>
              <w:ind w:left="20"/>
              <w:spacing w:after="0"/>
              <w:rPr>
                <w:sz w:val="20"/>
                <w:szCs w:val="20"/>
                <w:color w:val="auto"/>
              </w:rPr>
            </w:pPr>
            <w:r>
              <w:rPr>
                <w:rFonts w:ascii="Arial" w:cs="Arial" w:eastAsia="Arial" w:hAnsi="Arial"/>
                <w:sz w:val="15"/>
                <w:szCs w:val="15"/>
                <w:color w:val="auto"/>
              </w:rPr>
              <w:t>Adjusted profit/(loss) before tax</w:t>
            </w:r>
          </w:p>
        </w:tc>
        <w:tc>
          <w:tcPr>
            <w:tcW w:w="1180" w:type="dxa"/>
            <w:vAlign w:val="bottom"/>
          </w:tcPr>
          <w:p>
            <w:pPr>
              <w:jc w:val="right"/>
              <w:ind w:right="245"/>
              <w:spacing w:after="0"/>
              <w:rPr>
                <w:sz w:val="20"/>
                <w:szCs w:val="20"/>
                <w:color w:val="auto"/>
              </w:rPr>
            </w:pPr>
            <w:r>
              <w:rPr>
                <w:rFonts w:ascii="Arial" w:cs="Arial" w:eastAsia="Arial" w:hAnsi="Arial"/>
                <w:sz w:val="15"/>
                <w:szCs w:val="15"/>
                <w:color w:val="auto"/>
              </w:rPr>
              <w:t>119.0</w:t>
            </w:r>
          </w:p>
        </w:tc>
        <w:tc>
          <w:tcPr>
            <w:tcW w:w="1160" w:type="dxa"/>
            <w:vAlign w:val="bottom"/>
          </w:tcPr>
          <w:p>
            <w:pPr>
              <w:jc w:val="right"/>
              <w:ind w:right="166"/>
              <w:spacing w:after="0"/>
              <w:rPr>
                <w:sz w:val="20"/>
                <w:szCs w:val="20"/>
                <w:color w:val="auto"/>
              </w:rPr>
            </w:pPr>
            <w:r>
              <w:rPr>
                <w:rFonts w:ascii="Arial" w:cs="Arial" w:eastAsia="Arial" w:hAnsi="Arial"/>
                <w:sz w:val="15"/>
                <w:szCs w:val="15"/>
                <w:color w:val="auto"/>
              </w:rPr>
              <w:t>44.9</w:t>
            </w:r>
          </w:p>
        </w:tc>
        <w:tc>
          <w:tcPr>
            <w:tcW w:w="1300" w:type="dxa"/>
            <w:vAlign w:val="bottom"/>
          </w:tcPr>
          <w:p>
            <w:pPr>
              <w:jc w:val="right"/>
              <w:ind w:right="225"/>
              <w:spacing w:after="0"/>
              <w:rPr>
                <w:sz w:val="20"/>
                <w:szCs w:val="20"/>
                <w:color w:val="auto"/>
              </w:rPr>
            </w:pPr>
            <w:r>
              <w:rPr>
                <w:rFonts w:ascii="Arial" w:cs="Arial" w:eastAsia="Arial" w:hAnsi="Arial"/>
                <w:sz w:val="15"/>
                <w:szCs w:val="15"/>
                <w:color w:val="auto"/>
              </w:rPr>
              <w:t>39.5</w:t>
            </w:r>
          </w:p>
        </w:tc>
        <w:tc>
          <w:tcPr>
            <w:tcW w:w="1340" w:type="dxa"/>
            <w:vAlign w:val="bottom"/>
          </w:tcPr>
          <w:p>
            <w:pPr>
              <w:jc w:val="right"/>
              <w:ind w:right="307"/>
              <w:spacing w:after="0"/>
              <w:rPr>
                <w:sz w:val="20"/>
                <w:szCs w:val="20"/>
                <w:color w:val="auto"/>
              </w:rPr>
            </w:pPr>
            <w:r>
              <w:rPr>
                <w:rFonts w:ascii="Arial" w:cs="Arial" w:eastAsia="Arial" w:hAnsi="Arial"/>
                <w:sz w:val="15"/>
                <w:szCs w:val="15"/>
                <w:color w:val="auto"/>
              </w:rPr>
              <w:t>26.0</w:t>
            </w:r>
          </w:p>
        </w:tc>
        <w:tc>
          <w:tcPr>
            <w:tcW w:w="1300" w:type="dxa"/>
            <w:vAlign w:val="bottom"/>
          </w:tcPr>
          <w:p>
            <w:pPr>
              <w:jc w:val="right"/>
              <w:ind w:right="305"/>
              <w:spacing w:after="0"/>
              <w:rPr>
                <w:sz w:val="20"/>
                <w:szCs w:val="20"/>
                <w:color w:val="auto"/>
              </w:rPr>
            </w:pPr>
            <w:r>
              <w:rPr>
                <w:rFonts w:ascii="Arial" w:cs="Arial" w:eastAsia="Arial" w:hAnsi="Arial"/>
                <w:sz w:val="15"/>
                <w:szCs w:val="15"/>
                <w:color w:val="auto"/>
              </w:rPr>
              <w:t>(70.2)</w:t>
            </w:r>
          </w:p>
        </w:tc>
        <w:tc>
          <w:tcPr>
            <w:tcW w:w="880" w:type="dxa"/>
            <w:vAlign w:val="bottom"/>
          </w:tcPr>
          <w:p>
            <w:pPr>
              <w:jc w:val="right"/>
              <w:spacing w:after="0"/>
              <w:rPr>
                <w:sz w:val="20"/>
                <w:szCs w:val="20"/>
                <w:color w:val="auto"/>
              </w:rPr>
            </w:pPr>
            <w:r>
              <w:rPr>
                <w:rFonts w:ascii="Arial" w:cs="Arial" w:eastAsia="Arial" w:hAnsi="Arial"/>
                <w:sz w:val="15"/>
                <w:szCs w:val="15"/>
                <w:color w:val="auto"/>
              </w:rPr>
              <w:t>159.2</w:t>
            </w:r>
          </w:p>
        </w:tc>
      </w:tr>
      <w:tr>
        <w:trPr>
          <w:trHeight w:val="33"/>
        </w:trPr>
        <w:tc>
          <w:tcPr>
            <w:tcW w:w="4060" w:type="dxa"/>
            <w:vAlign w:val="bottom"/>
            <w:tcBorders>
              <w:bottom w:val="single" w:sz="8" w:color="793690"/>
            </w:tcBorders>
          </w:tcPr>
          <w:p>
            <w:pPr>
              <w:spacing w:after="0"/>
              <w:rPr>
                <w:sz w:val="2"/>
                <w:szCs w:val="2"/>
                <w:color w:val="auto"/>
              </w:rPr>
            </w:pPr>
          </w:p>
        </w:tc>
        <w:tc>
          <w:tcPr>
            <w:tcW w:w="1180" w:type="dxa"/>
            <w:vAlign w:val="bottom"/>
            <w:tcBorders>
              <w:bottom w:val="single" w:sz="8" w:color="793690"/>
            </w:tcBorders>
          </w:tcPr>
          <w:p>
            <w:pPr>
              <w:spacing w:after="0"/>
              <w:rPr>
                <w:sz w:val="2"/>
                <w:szCs w:val="2"/>
                <w:color w:val="auto"/>
              </w:rPr>
            </w:pPr>
          </w:p>
        </w:tc>
        <w:tc>
          <w:tcPr>
            <w:tcW w:w="1160" w:type="dxa"/>
            <w:vAlign w:val="bottom"/>
            <w:tcBorders>
              <w:bottom w:val="single" w:sz="8" w:color="793690"/>
            </w:tcBorders>
          </w:tcPr>
          <w:p>
            <w:pPr>
              <w:spacing w:after="0"/>
              <w:rPr>
                <w:sz w:val="2"/>
                <w:szCs w:val="2"/>
                <w:color w:val="auto"/>
              </w:rPr>
            </w:pPr>
          </w:p>
        </w:tc>
        <w:tc>
          <w:tcPr>
            <w:tcW w:w="1300" w:type="dxa"/>
            <w:vAlign w:val="bottom"/>
            <w:tcBorders>
              <w:bottom w:val="single" w:sz="8" w:color="793690"/>
            </w:tcBorders>
          </w:tcPr>
          <w:p>
            <w:pPr>
              <w:spacing w:after="0"/>
              <w:rPr>
                <w:sz w:val="2"/>
                <w:szCs w:val="2"/>
                <w:color w:val="auto"/>
              </w:rPr>
            </w:pPr>
          </w:p>
        </w:tc>
        <w:tc>
          <w:tcPr>
            <w:tcW w:w="1340" w:type="dxa"/>
            <w:vAlign w:val="bottom"/>
            <w:tcBorders>
              <w:bottom w:val="single" w:sz="8" w:color="793690"/>
            </w:tcBorders>
          </w:tcPr>
          <w:p>
            <w:pPr>
              <w:spacing w:after="0"/>
              <w:rPr>
                <w:sz w:val="2"/>
                <w:szCs w:val="2"/>
                <w:color w:val="auto"/>
              </w:rPr>
            </w:pPr>
          </w:p>
        </w:tc>
        <w:tc>
          <w:tcPr>
            <w:tcW w:w="1300" w:type="dxa"/>
            <w:vAlign w:val="bottom"/>
            <w:tcBorders>
              <w:bottom w:val="single" w:sz="8" w:color="793690"/>
            </w:tcBorders>
          </w:tcPr>
          <w:p>
            <w:pPr>
              <w:spacing w:after="0"/>
              <w:rPr>
                <w:sz w:val="2"/>
                <w:szCs w:val="2"/>
                <w:color w:val="auto"/>
              </w:rPr>
            </w:pPr>
          </w:p>
        </w:tc>
        <w:tc>
          <w:tcPr>
            <w:tcW w:w="880" w:type="dxa"/>
            <w:vAlign w:val="bottom"/>
            <w:tcBorders>
              <w:bottom w:val="single" w:sz="8" w:color="793690"/>
            </w:tcBorders>
          </w:tcPr>
          <w:p>
            <w:pPr>
              <w:spacing w:after="0"/>
              <w:rPr>
                <w:sz w:val="2"/>
                <w:szCs w:val="2"/>
                <w:color w:val="auto"/>
              </w:rPr>
            </w:pPr>
          </w:p>
        </w:tc>
      </w:tr>
      <w:tr>
        <w:trPr>
          <w:trHeight w:val="414"/>
        </w:trPr>
        <w:tc>
          <w:tcPr>
            <w:tcW w:w="4060" w:type="dxa"/>
            <w:vAlign w:val="bottom"/>
          </w:tcPr>
          <w:p>
            <w:pPr>
              <w:ind w:left="20"/>
              <w:spacing w:after="0"/>
              <w:rPr>
                <w:sz w:val="20"/>
                <w:szCs w:val="20"/>
                <w:color w:val="auto"/>
              </w:rPr>
            </w:pPr>
            <w:r>
              <w:rPr>
                <w:rFonts w:ascii="Arial" w:cs="Arial" w:eastAsia="Arial" w:hAnsi="Arial"/>
                <w:sz w:val="15"/>
                <w:szCs w:val="15"/>
                <w:b w:val="1"/>
                <w:bCs w:val="1"/>
                <w:color w:val="auto"/>
              </w:rPr>
              <w:t>Other segment information</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
        </w:trPr>
        <w:tc>
          <w:tcPr>
            <w:tcW w:w="4060" w:type="dxa"/>
            <w:vAlign w:val="bottom"/>
            <w:tcBorders>
              <w:bottom w:val="single" w:sz="8" w:color="DADAE7"/>
            </w:tcBorders>
          </w:tcPr>
          <w:p>
            <w:pPr>
              <w:spacing w:after="0"/>
              <w:rPr>
                <w:sz w:val="2"/>
                <w:szCs w:val="2"/>
                <w:color w:val="auto"/>
              </w:rPr>
            </w:pPr>
          </w:p>
        </w:tc>
        <w:tc>
          <w:tcPr>
            <w:tcW w:w="118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tcPr>
          <w:p>
            <w:pPr>
              <w:spacing w:after="0"/>
              <w:rPr>
                <w:sz w:val="2"/>
                <w:szCs w:val="2"/>
                <w:color w:val="auto"/>
              </w:rPr>
            </w:pPr>
          </w:p>
        </w:tc>
        <w:tc>
          <w:tcPr>
            <w:tcW w:w="1300" w:type="dxa"/>
            <w:vAlign w:val="bottom"/>
            <w:tcBorders>
              <w:bottom w:val="single" w:sz="8" w:color="DADAE7"/>
            </w:tcBorders>
          </w:tcPr>
          <w:p>
            <w:pPr>
              <w:spacing w:after="0"/>
              <w:rPr>
                <w:sz w:val="2"/>
                <w:szCs w:val="2"/>
                <w:color w:val="auto"/>
              </w:rPr>
            </w:pPr>
          </w:p>
        </w:tc>
        <w:tc>
          <w:tcPr>
            <w:tcW w:w="1340" w:type="dxa"/>
            <w:vAlign w:val="bottom"/>
            <w:tcBorders>
              <w:bottom w:val="single" w:sz="8" w:color="DADAE7"/>
            </w:tcBorders>
          </w:tcPr>
          <w:p>
            <w:pPr>
              <w:spacing w:after="0"/>
              <w:rPr>
                <w:sz w:val="2"/>
                <w:szCs w:val="2"/>
                <w:color w:val="auto"/>
              </w:rPr>
            </w:pPr>
          </w:p>
        </w:tc>
        <w:tc>
          <w:tcPr>
            <w:tcW w:w="1300" w:type="dxa"/>
            <w:vAlign w:val="bottom"/>
            <w:tcBorders>
              <w:bottom w:val="single" w:sz="8" w:color="DADAE7"/>
            </w:tcBorders>
          </w:tcPr>
          <w:p>
            <w:pPr>
              <w:spacing w:after="0"/>
              <w:rPr>
                <w:sz w:val="2"/>
                <w:szCs w:val="2"/>
                <w:color w:val="auto"/>
              </w:rPr>
            </w:pPr>
          </w:p>
        </w:tc>
        <w:tc>
          <w:tcPr>
            <w:tcW w:w="880" w:type="dxa"/>
            <w:vAlign w:val="bottom"/>
            <w:tcBorders>
              <w:bottom w:val="single" w:sz="8" w:color="DADAE7"/>
            </w:tcBorders>
          </w:tcPr>
          <w:p>
            <w:pPr>
              <w:spacing w:after="0"/>
              <w:rPr>
                <w:sz w:val="2"/>
                <w:szCs w:val="2"/>
                <w:color w:val="auto"/>
              </w:rPr>
            </w:pPr>
          </w:p>
        </w:tc>
      </w:tr>
      <w:tr>
        <w:trPr>
          <w:trHeight w:val="204"/>
        </w:trPr>
        <w:tc>
          <w:tcPr>
            <w:tcW w:w="4060" w:type="dxa"/>
            <w:vAlign w:val="bottom"/>
          </w:tcPr>
          <w:p>
            <w:pPr>
              <w:ind w:left="20"/>
              <w:spacing w:after="0"/>
              <w:rPr>
                <w:sz w:val="20"/>
                <w:szCs w:val="20"/>
                <w:color w:val="auto"/>
              </w:rPr>
            </w:pPr>
            <w:r>
              <w:rPr>
                <w:rFonts w:ascii="Arial" w:cs="Arial" w:eastAsia="Arial" w:hAnsi="Arial"/>
                <w:sz w:val="15"/>
                <w:szCs w:val="15"/>
                <w:color w:val="auto"/>
              </w:rPr>
              <w:t>Depreciation and amortisation</w:t>
            </w:r>
          </w:p>
        </w:tc>
        <w:tc>
          <w:tcPr>
            <w:tcW w:w="1180" w:type="dxa"/>
            <w:vAlign w:val="bottom"/>
          </w:tcPr>
          <w:p>
            <w:pPr>
              <w:jc w:val="right"/>
              <w:ind w:right="205"/>
              <w:spacing w:after="0"/>
              <w:rPr>
                <w:sz w:val="20"/>
                <w:szCs w:val="20"/>
                <w:color w:val="auto"/>
              </w:rPr>
            </w:pPr>
            <w:r>
              <w:rPr>
                <w:rFonts w:ascii="Arial" w:cs="Arial" w:eastAsia="Arial" w:hAnsi="Arial"/>
                <w:sz w:val="15"/>
                <w:szCs w:val="15"/>
                <w:color w:val="auto"/>
              </w:rPr>
              <w:t>(0.2)</w:t>
            </w:r>
          </w:p>
        </w:tc>
        <w:tc>
          <w:tcPr>
            <w:tcW w:w="1160" w:type="dxa"/>
            <w:vAlign w:val="bottom"/>
          </w:tcPr>
          <w:p>
            <w:pPr>
              <w:jc w:val="right"/>
              <w:ind w:right="126"/>
              <w:spacing w:after="0"/>
              <w:rPr>
                <w:sz w:val="20"/>
                <w:szCs w:val="20"/>
                <w:color w:val="auto"/>
              </w:rPr>
            </w:pPr>
            <w:r>
              <w:rPr>
                <w:rFonts w:ascii="Arial" w:cs="Arial" w:eastAsia="Arial" w:hAnsi="Arial"/>
                <w:sz w:val="15"/>
                <w:szCs w:val="15"/>
                <w:color w:val="auto"/>
              </w:rPr>
              <w:t>(0.5)</w:t>
            </w:r>
          </w:p>
        </w:tc>
        <w:tc>
          <w:tcPr>
            <w:tcW w:w="1300" w:type="dxa"/>
            <w:vAlign w:val="bottom"/>
          </w:tcPr>
          <w:p>
            <w:pPr>
              <w:jc w:val="right"/>
              <w:ind w:right="185"/>
              <w:spacing w:after="0"/>
              <w:rPr>
                <w:sz w:val="20"/>
                <w:szCs w:val="20"/>
                <w:color w:val="auto"/>
              </w:rPr>
            </w:pPr>
            <w:r>
              <w:rPr>
                <w:rFonts w:ascii="Arial" w:cs="Arial" w:eastAsia="Arial" w:hAnsi="Arial"/>
                <w:sz w:val="15"/>
                <w:szCs w:val="15"/>
                <w:color w:val="auto"/>
              </w:rPr>
              <w:t>(0.2)</w:t>
            </w:r>
          </w:p>
        </w:tc>
        <w:tc>
          <w:tcPr>
            <w:tcW w:w="1340" w:type="dxa"/>
            <w:vAlign w:val="bottom"/>
          </w:tcPr>
          <w:p>
            <w:pPr>
              <w:jc w:val="right"/>
              <w:ind w:right="267"/>
              <w:spacing w:after="0"/>
              <w:rPr>
                <w:sz w:val="20"/>
                <w:szCs w:val="20"/>
                <w:color w:val="auto"/>
              </w:rPr>
            </w:pPr>
            <w:r>
              <w:rPr>
                <w:rFonts w:ascii="Arial" w:cs="Arial" w:eastAsia="Arial" w:hAnsi="Arial"/>
                <w:sz w:val="15"/>
                <w:szCs w:val="15"/>
                <w:color w:val="auto"/>
              </w:rPr>
              <w:t>(0.3)</w:t>
            </w:r>
          </w:p>
        </w:tc>
        <w:tc>
          <w:tcPr>
            <w:tcW w:w="1300" w:type="dxa"/>
            <w:vAlign w:val="bottom"/>
          </w:tcPr>
          <w:p>
            <w:pPr>
              <w:jc w:val="right"/>
              <w:ind w:right="305"/>
              <w:spacing w:after="0"/>
              <w:rPr>
                <w:sz w:val="20"/>
                <w:szCs w:val="20"/>
                <w:color w:val="auto"/>
              </w:rPr>
            </w:pPr>
            <w:r>
              <w:rPr>
                <w:rFonts w:ascii="Arial" w:cs="Arial" w:eastAsia="Arial" w:hAnsi="Arial"/>
                <w:sz w:val="15"/>
                <w:szCs w:val="15"/>
                <w:color w:val="auto"/>
              </w:rPr>
              <w:t>(14.3)</w:t>
            </w:r>
          </w:p>
        </w:tc>
        <w:tc>
          <w:tcPr>
            <w:tcW w:w="880" w:type="dxa"/>
            <w:vAlign w:val="bottom"/>
          </w:tcPr>
          <w:p>
            <w:pPr>
              <w:jc w:val="right"/>
              <w:spacing w:after="0"/>
              <w:rPr>
                <w:sz w:val="20"/>
                <w:szCs w:val="20"/>
                <w:color w:val="auto"/>
              </w:rPr>
            </w:pPr>
            <w:r>
              <w:rPr>
                <w:rFonts w:ascii="Arial" w:cs="Arial" w:eastAsia="Arial" w:hAnsi="Arial"/>
                <w:sz w:val="15"/>
                <w:szCs w:val="15"/>
                <w:color w:val="auto"/>
              </w:rPr>
              <w:t>(15.5)</w:t>
            </w:r>
          </w:p>
        </w:tc>
      </w:tr>
      <w:tr>
        <w:trPr>
          <w:trHeight w:val="33"/>
        </w:trPr>
        <w:tc>
          <w:tcPr>
            <w:tcW w:w="4060" w:type="dxa"/>
            <w:vAlign w:val="bottom"/>
            <w:tcBorders>
              <w:bottom w:val="single" w:sz="8" w:color="DADAE7"/>
            </w:tcBorders>
          </w:tcPr>
          <w:p>
            <w:pPr>
              <w:spacing w:after="0"/>
              <w:rPr>
                <w:sz w:val="2"/>
                <w:szCs w:val="2"/>
                <w:color w:val="auto"/>
              </w:rPr>
            </w:pPr>
          </w:p>
        </w:tc>
        <w:tc>
          <w:tcPr>
            <w:tcW w:w="118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tcPr>
          <w:p>
            <w:pPr>
              <w:spacing w:after="0"/>
              <w:rPr>
                <w:sz w:val="2"/>
                <w:szCs w:val="2"/>
                <w:color w:val="auto"/>
              </w:rPr>
            </w:pPr>
          </w:p>
        </w:tc>
        <w:tc>
          <w:tcPr>
            <w:tcW w:w="1300" w:type="dxa"/>
            <w:vAlign w:val="bottom"/>
            <w:tcBorders>
              <w:bottom w:val="single" w:sz="8" w:color="DADAE7"/>
            </w:tcBorders>
          </w:tcPr>
          <w:p>
            <w:pPr>
              <w:spacing w:after="0"/>
              <w:rPr>
                <w:sz w:val="2"/>
                <w:szCs w:val="2"/>
                <w:color w:val="auto"/>
              </w:rPr>
            </w:pPr>
          </w:p>
        </w:tc>
        <w:tc>
          <w:tcPr>
            <w:tcW w:w="1340" w:type="dxa"/>
            <w:vAlign w:val="bottom"/>
            <w:tcBorders>
              <w:bottom w:val="single" w:sz="8" w:color="DADAE7"/>
            </w:tcBorders>
          </w:tcPr>
          <w:p>
            <w:pPr>
              <w:spacing w:after="0"/>
              <w:rPr>
                <w:sz w:val="2"/>
                <w:szCs w:val="2"/>
                <w:color w:val="auto"/>
              </w:rPr>
            </w:pPr>
          </w:p>
        </w:tc>
        <w:tc>
          <w:tcPr>
            <w:tcW w:w="1300" w:type="dxa"/>
            <w:vAlign w:val="bottom"/>
            <w:tcBorders>
              <w:bottom w:val="single" w:sz="8" w:color="DADAE7"/>
            </w:tcBorders>
          </w:tcPr>
          <w:p>
            <w:pPr>
              <w:spacing w:after="0"/>
              <w:rPr>
                <w:sz w:val="2"/>
                <w:szCs w:val="2"/>
                <w:color w:val="auto"/>
              </w:rPr>
            </w:pPr>
          </w:p>
        </w:tc>
        <w:tc>
          <w:tcPr>
            <w:tcW w:w="880" w:type="dxa"/>
            <w:vAlign w:val="bottom"/>
            <w:tcBorders>
              <w:bottom w:val="single" w:sz="8" w:color="DADAE7"/>
            </w:tcBorders>
          </w:tcPr>
          <w:p>
            <w:pPr>
              <w:spacing w:after="0"/>
              <w:rPr>
                <w:sz w:val="2"/>
                <w:szCs w:val="2"/>
                <w:color w:val="auto"/>
              </w:rPr>
            </w:pPr>
          </w:p>
        </w:tc>
      </w:tr>
      <w:tr>
        <w:trPr>
          <w:trHeight w:val="203"/>
        </w:trPr>
        <w:tc>
          <w:tcPr>
            <w:tcW w:w="4060" w:type="dxa"/>
            <w:vAlign w:val="bottom"/>
          </w:tcPr>
          <w:p>
            <w:pPr>
              <w:ind w:left="20"/>
              <w:spacing w:after="0"/>
              <w:rPr>
                <w:sz w:val="20"/>
                <w:szCs w:val="20"/>
                <w:color w:val="auto"/>
              </w:rPr>
            </w:pPr>
            <w:r>
              <w:rPr>
                <w:rFonts w:ascii="Arial" w:cs="Arial" w:eastAsia="Arial" w:hAnsi="Arial"/>
                <w:sz w:val="15"/>
                <w:szCs w:val="15"/>
                <w:color w:val="auto"/>
              </w:rPr>
              <w:t>Compensation and benefits</w:t>
            </w:r>
          </w:p>
        </w:tc>
        <w:tc>
          <w:tcPr>
            <w:tcW w:w="1180" w:type="dxa"/>
            <w:vAlign w:val="bottom"/>
          </w:tcPr>
          <w:p>
            <w:pPr>
              <w:jc w:val="right"/>
              <w:ind w:right="205"/>
              <w:spacing w:after="0"/>
              <w:rPr>
                <w:sz w:val="20"/>
                <w:szCs w:val="20"/>
                <w:color w:val="auto"/>
              </w:rPr>
            </w:pPr>
            <w:r>
              <w:rPr>
                <w:rFonts w:ascii="Arial" w:cs="Arial" w:eastAsia="Arial" w:hAnsi="Arial"/>
                <w:sz w:val="15"/>
                <w:szCs w:val="15"/>
                <w:color w:val="auto"/>
              </w:rPr>
              <w:t>(57.2)</w:t>
            </w:r>
          </w:p>
        </w:tc>
        <w:tc>
          <w:tcPr>
            <w:tcW w:w="1160" w:type="dxa"/>
            <w:vAlign w:val="bottom"/>
          </w:tcPr>
          <w:p>
            <w:pPr>
              <w:jc w:val="right"/>
              <w:ind w:right="126"/>
              <w:spacing w:after="0"/>
              <w:rPr>
                <w:sz w:val="20"/>
                <w:szCs w:val="20"/>
                <w:color w:val="auto"/>
              </w:rPr>
            </w:pPr>
            <w:r>
              <w:rPr>
                <w:rFonts w:ascii="Arial" w:cs="Arial" w:eastAsia="Arial" w:hAnsi="Arial"/>
                <w:sz w:val="15"/>
                <w:szCs w:val="15"/>
                <w:color w:val="auto"/>
              </w:rPr>
              <w:t>(221.8)</w:t>
            </w:r>
          </w:p>
        </w:tc>
        <w:tc>
          <w:tcPr>
            <w:tcW w:w="1300" w:type="dxa"/>
            <w:vAlign w:val="bottom"/>
          </w:tcPr>
          <w:p>
            <w:pPr>
              <w:jc w:val="right"/>
              <w:ind w:right="185"/>
              <w:spacing w:after="0"/>
              <w:rPr>
                <w:sz w:val="20"/>
                <w:szCs w:val="20"/>
                <w:color w:val="auto"/>
              </w:rPr>
            </w:pPr>
            <w:r>
              <w:rPr>
                <w:rFonts w:ascii="Arial" w:cs="Arial" w:eastAsia="Arial" w:hAnsi="Arial"/>
                <w:sz w:val="15"/>
                <w:szCs w:val="15"/>
                <w:color w:val="auto"/>
              </w:rPr>
              <w:t>(45.4)</w:t>
            </w:r>
          </w:p>
        </w:tc>
        <w:tc>
          <w:tcPr>
            <w:tcW w:w="1340" w:type="dxa"/>
            <w:vAlign w:val="bottom"/>
          </w:tcPr>
          <w:p>
            <w:pPr>
              <w:jc w:val="right"/>
              <w:ind w:right="267"/>
              <w:spacing w:after="0"/>
              <w:rPr>
                <w:sz w:val="20"/>
                <w:szCs w:val="20"/>
                <w:color w:val="auto"/>
              </w:rPr>
            </w:pPr>
            <w:r>
              <w:rPr>
                <w:rFonts w:ascii="Arial" w:cs="Arial" w:eastAsia="Arial" w:hAnsi="Arial"/>
                <w:sz w:val="15"/>
                <w:szCs w:val="15"/>
                <w:color w:val="auto"/>
              </w:rPr>
              <w:t>(37.9)</w:t>
            </w:r>
          </w:p>
        </w:tc>
        <w:tc>
          <w:tcPr>
            <w:tcW w:w="1300" w:type="dxa"/>
            <w:vAlign w:val="bottom"/>
          </w:tcPr>
          <w:p>
            <w:pPr>
              <w:jc w:val="right"/>
              <w:ind w:right="305"/>
              <w:spacing w:after="0"/>
              <w:rPr>
                <w:sz w:val="20"/>
                <w:szCs w:val="20"/>
                <w:color w:val="auto"/>
              </w:rPr>
            </w:pPr>
            <w:r>
              <w:rPr>
                <w:rFonts w:ascii="Arial" w:cs="Arial" w:eastAsia="Arial" w:hAnsi="Arial"/>
                <w:sz w:val="15"/>
                <w:szCs w:val="15"/>
                <w:color w:val="auto"/>
              </w:rPr>
              <w:t>(123.6)</w:t>
            </w:r>
          </w:p>
        </w:tc>
        <w:tc>
          <w:tcPr>
            <w:tcW w:w="880" w:type="dxa"/>
            <w:vAlign w:val="bottom"/>
          </w:tcPr>
          <w:p>
            <w:pPr>
              <w:jc w:val="right"/>
              <w:spacing w:after="0"/>
              <w:rPr>
                <w:sz w:val="20"/>
                <w:szCs w:val="20"/>
                <w:color w:val="auto"/>
              </w:rPr>
            </w:pPr>
            <w:r>
              <w:rPr>
                <w:rFonts w:ascii="Arial" w:cs="Arial" w:eastAsia="Arial" w:hAnsi="Arial"/>
                <w:sz w:val="15"/>
                <w:szCs w:val="15"/>
                <w:color w:val="auto"/>
              </w:rPr>
              <w:t>(485.9)</w:t>
            </w:r>
          </w:p>
        </w:tc>
      </w:tr>
      <w:tr>
        <w:trPr>
          <w:trHeight w:val="33"/>
        </w:trPr>
        <w:tc>
          <w:tcPr>
            <w:tcW w:w="4060" w:type="dxa"/>
            <w:vAlign w:val="bottom"/>
            <w:tcBorders>
              <w:bottom w:val="single" w:sz="8" w:color="793690"/>
            </w:tcBorders>
          </w:tcPr>
          <w:p>
            <w:pPr>
              <w:spacing w:after="0"/>
              <w:rPr>
                <w:sz w:val="2"/>
                <w:szCs w:val="2"/>
                <w:color w:val="auto"/>
              </w:rPr>
            </w:pPr>
          </w:p>
        </w:tc>
        <w:tc>
          <w:tcPr>
            <w:tcW w:w="1180" w:type="dxa"/>
            <w:vAlign w:val="bottom"/>
            <w:tcBorders>
              <w:bottom w:val="single" w:sz="8" w:color="793690"/>
            </w:tcBorders>
          </w:tcPr>
          <w:p>
            <w:pPr>
              <w:spacing w:after="0"/>
              <w:rPr>
                <w:sz w:val="2"/>
                <w:szCs w:val="2"/>
                <w:color w:val="auto"/>
              </w:rPr>
            </w:pPr>
          </w:p>
        </w:tc>
        <w:tc>
          <w:tcPr>
            <w:tcW w:w="1160" w:type="dxa"/>
            <w:vAlign w:val="bottom"/>
            <w:tcBorders>
              <w:bottom w:val="single" w:sz="8" w:color="793690"/>
            </w:tcBorders>
          </w:tcPr>
          <w:p>
            <w:pPr>
              <w:spacing w:after="0"/>
              <w:rPr>
                <w:sz w:val="2"/>
                <w:szCs w:val="2"/>
                <w:color w:val="auto"/>
              </w:rPr>
            </w:pPr>
          </w:p>
        </w:tc>
        <w:tc>
          <w:tcPr>
            <w:tcW w:w="1300" w:type="dxa"/>
            <w:vAlign w:val="bottom"/>
            <w:tcBorders>
              <w:bottom w:val="single" w:sz="8" w:color="793690"/>
            </w:tcBorders>
          </w:tcPr>
          <w:p>
            <w:pPr>
              <w:spacing w:after="0"/>
              <w:rPr>
                <w:sz w:val="2"/>
                <w:szCs w:val="2"/>
                <w:color w:val="auto"/>
              </w:rPr>
            </w:pPr>
          </w:p>
        </w:tc>
        <w:tc>
          <w:tcPr>
            <w:tcW w:w="1340" w:type="dxa"/>
            <w:vAlign w:val="bottom"/>
            <w:tcBorders>
              <w:bottom w:val="single" w:sz="8" w:color="793690"/>
            </w:tcBorders>
          </w:tcPr>
          <w:p>
            <w:pPr>
              <w:spacing w:after="0"/>
              <w:rPr>
                <w:sz w:val="2"/>
                <w:szCs w:val="2"/>
                <w:color w:val="auto"/>
              </w:rPr>
            </w:pPr>
          </w:p>
        </w:tc>
        <w:tc>
          <w:tcPr>
            <w:tcW w:w="1300" w:type="dxa"/>
            <w:vAlign w:val="bottom"/>
            <w:tcBorders>
              <w:bottom w:val="single" w:sz="8" w:color="793690"/>
            </w:tcBorders>
          </w:tcPr>
          <w:p>
            <w:pPr>
              <w:spacing w:after="0"/>
              <w:rPr>
                <w:sz w:val="2"/>
                <w:szCs w:val="2"/>
                <w:color w:val="auto"/>
              </w:rPr>
            </w:pPr>
          </w:p>
        </w:tc>
        <w:tc>
          <w:tcPr>
            <w:tcW w:w="880" w:type="dxa"/>
            <w:vAlign w:val="bottom"/>
            <w:tcBorders>
              <w:bottom w:val="single" w:sz="8" w:color="793690"/>
            </w:tcBorders>
          </w:tcPr>
          <w:p>
            <w:pPr>
              <w:spacing w:after="0"/>
              <w:rPr>
                <w:sz w:val="2"/>
                <w:szCs w:val="2"/>
                <w:color w:val="auto"/>
              </w:rPr>
            </w:pPr>
          </w:p>
        </w:tc>
      </w:tr>
    </w:tbl>
    <w:p>
      <w:pPr>
        <w:spacing w:after="0" w:line="297" w:lineRule="exact"/>
        <w:rPr>
          <w:sz w:val="20"/>
          <w:szCs w:val="20"/>
          <w:color w:val="auto"/>
        </w:rPr>
      </w:pPr>
    </w:p>
    <w:p>
      <w:pPr>
        <w:ind w:left="160" w:right="240" w:hanging="152"/>
        <w:spacing w:after="0" w:line="285" w:lineRule="auto"/>
        <w:tabs>
          <w:tab w:leader="none" w:pos="226" w:val="left"/>
        </w:tabs>
        <w:numPr>
          <w:ilvl w:val="0"/>
          <w:numId w:val="24"/>
        </w:numPr>
        <w:rPr>
          <w:rFonts w:ascii="Arial" w:cs="Arial" w:eastAsia="Arial" w:hAnsi="Arial"/>
          <w:sz w:val="11"/>
          <w:szCs w:val="11"/>
          <w:color w:val="auto"/>
        </w:rPr>
      </w:pPr>
      <w:r>
        <w:rPr>
          <w:rFonts w:ascii="Arial" w:cs="Arial" w:eastAsia="Arial" w:hAnsi="Arial"/>
          <w:sz w:val="11"/>
          <w:szCs w:val="11"/>
          <w:color w:val="auto"/>
        </w:rPr>
        <w:t>The Inter-segmental funding allocation represents the interest costs borne by the Group, excluding interest earned centrally on house cash balances, which is subsequently recharged to the business segments. The recharge is based on the funding requirements of each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11</w:t>
      </w:r>
    </w:p>
    <w:p>
      <w:pPr>
        <w:sectPr>
          <w:pgSz w:w="11900" w:h="16838" w:orient="portrait"/>
          <w:cols w:equalWidth="0" w:num="1">
            <w:col w:w="11220"/>
          </w:cols>
          <w:pgMar w:left="320" w:top="1353" w:right="359" w:bottom="1440" w:gutter="0" w:footer="0" w:header="0"/>
        </w:sectPr>
      </w:pPr>
    </w:p>
    <w:bookmarkStart w:id="32" w:name="page33"/>
    <w:bookmarkEnd w:id="32"/>
    <w:p>
      <w:pPr>
        <w:spacing w:after="0"/>
        <w:rPr>
          <w:sz w:val="20"/>
          <w:szCs w:val="20"/>
          <w:color w:val="auto"/>
        </w:rPr>
      </w:pPr>
      <w:r>
        <w:rPr>
          <w:rFonts w:ascii="Arial" w:cs="Arial" w:eastAsia="Arial" w:hAnsi="Arial"/>
          <w:sz w:val="22"/>
          <w:szCs w:val="22"/>
          <w:b w:val="1"/>
          <w:bCs w:val="1"/>
          <w:color w:val="793690"/>
        </w:rPr>
        <w:t xml:space="preserve">Notes to the Unaudited Condensed Consolidated Financial Statements </w:t>
      </w:r>
      <w:r>
        <w:rPr>
          <w:rFonts w:ascii="Arial" w:cs="Arial" w:eastAsia="Arial" w:hAnsi="Arial"/>
          <w:sz w:val="22"/>
          <w:szCs w:val="22"/>
          <w:color w:val="793690"/>
        </w:rPr>
        <w:t>(continued)</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793690"/>
        </w:rPr>
        <w:t xml:space="preserve">3 Segmental Analysis </w:t>
      </w:r>
      <w:r>
        <w:rPr>
          <w:rFonts w:ascii="Arial" w:cs="Arial" w:eastAsia="Arial" w:hAnsi="Arial"/>
          <w:sz w:val="18"/>
          <w:szCs w:val="18"/>
          <w:color w:val="793690"/>
        </w:rPr>
        <w:t>(continued)</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Reconciliation of total segments Adjusted Profit Before Tax to the Group's profit before tax per the income statement:</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6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6 months ended</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6 months ended</w:t>
            </w:r>
          </w:p>
        </w:tc>
      </w:tr>
      <w:tr>
        <w:trPr>
          <w:trHeight w:val="191"/>
        </w:trPr>
        <w:tc>
          <w:tcPr>
            <w:tcW w:w="7860" w:type="dxa"/>
            <w:vAlign w:val="bottom"/>
          </w:tcPr>
          <w:p>
            <w:pPr>
              <w:spacing w:after="0"/>
              <w:rPr>
                <w:sz w:val="16"/>
                <w:szCs w:val="16"/>
                <w:color w:val="auto"/>
              </w:rPr>
            </w:pPr>
          </w:p>
        </w:tc>
        <w:tc>
          <w:tcPr>
            <w:tcW w:w="16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30 June 2024</w:t>
            </w:r>
          </w:p>
        </w:tc>
      </w:tr>
      <w:tr>
        <w:trPr>
          <w:trHeight w:val="224"/>
        </w:trPr>
        <w:tc>
          <w:tcPr>
            <w:tcW w:w="7860" w:type="dxa"/>
            <w:vAlign w:val="bottom"/>
          </w:tcPr>
          <w:p>
            <w:pPr>
              <w:spacing w:after="0"/>
              <w:rPr>
                <w:sz w:val="19"/>
                <w:szCs w:val="19"/>
                <w:color w:val="auto"/>
              </w:rPr>
            </w:pPr>
          </w:p>
        </w:tc>
        <w:tc>
          <w:tcPr>
            <w:tcW w:w="16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$m</w:t>
            </w:r>
          </w:p>
        </w:tc>
      </w:tr>
      <w:tr>
        <w:trPr>
          <w:trHeight w:val="236"/>
        </w:trPr>
        <w:tc>
          <w:tcPr>
            <w:tcW w:w="786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Total segments Adjusted Profit Before Tax</w:t>
            </w:r>
          </w:p>
        </w:tc>
        <w:tc>
          <w:tcPr>
            <w:tcW w:w="1620" w:type="dxa"/>
            <w:vAlign w:val="bottom"/>
            <w:tcBorders>
              <w:top w:val="single" w:sz="8" w:color="793690"/>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202.7</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159.2</w:t>
            </w:r>
          </w:p>
        </w:tc>
      </w:tr>
      <w:tr>
        <w:trPr>
          <w:trHeight w:val="237"/>
        </w:trPr>
        <w:tc>
          <w:tcPr>
            <w:tcW w:w="7860" w:type="dxa"/>
            <w:vAlign w:val="bottom"/>
            <w:tcBorders>
              <w:top w:val="single" w:sz="8" w:color="DADAE7"/>
              <w:bottom w:val="single" w:sz="8" w:color="DADAE7"/>
            </w:tcBorders>
          </w:tcPr>
          <w:p>
            <w:pPr>
              <w:ind w:left="20"/>
              <w:spacing w:after="0"/>
              <w:rPr>
                <w:sz w:val="20"/>
                <w:szCs w:val="20"/>
                <w:color w:val="auto"/>
              </w:rPr>
            </w:pPr>
            <w:r>
              <w:rPr>
                <w:rFonts w:ascii="Arial" w:cs="Arial" w:eastAsia="Arial" w:hAnsi="Arial"/>
                <w:sz w:val="15"/>
                <w:szCs w:val="15"/>
                <w:color w:val="auto"/>
              </w:rPr>
              <w:t>Bargain purchase gain</w:t>
            </w:r>
            <w:r>
              <w:rPr>
                <w:rFonts w:ascii="Arial" w:cs="Arial" w:eastAsia="Arial" w:hAnsi="Arial"/>
                <w:sz w:val="19"/>
                <w:szCs w:val="19"/>
                <w:color w:val="auto"/>
                <w:vertAlign w:val="superscript"/>
              </w:rPr>
              <w:t>1</w:t>
            </w:r>
          </w:p>
        </w:tc>
        <w:tc>
          <w:tcPr>
            <w:tcW w:w="1620" w:type="dxa"/>
            <w:vAlign w:val="bottom"/>
            <w:tcBorders>
              <w:top w:val="single" w:sz="8" w:color="DADAE7"/>
              <w:bottom w:val="single" w:sz="8" w:color="DADAE7"/>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3.6</w:t>
            </w:r>
          </w:p>
        </w:tc>
        <w:tc>
          <w:tcPr>
            <w:tcW w:w="1740" w:type="dxa"/>
            <w:vAlign w:val="bottom"/>
            <w:tcBorders>
              <w:top w:val="single" w:sz="8" w:color="DADAE7"/>
              <w:bottom w:val="single" w:sz="8" w:color="DADAE7"/>
            </w:tcBorders>
          </w:tcPr>
          <w:p>
            <w:pPr>
              <w:jc w:val="right"/>
              <w:spacing w:after="0"/>
              <w:rPr>
                <w:sz w:val="20"/>
                <w:szCs w:val="20"/>
                <w:color w:val="auto"/>
              </w:rPr>
            </w:pPr>
            <w:r>
              <w:rPr>
                <w:rFonts w:ascii="Arial" w:cs="Arial" w:eastAsia="Arial" w:hAnsi="Arial"/>
                <w:sz w:val="15"/>
                <w:szCs w:val="15"/>
                <w:color w:val="auto"/>
              </w:rPr>
              <w:t>—</w:t>
            </w:r>
          </w:p>
        </w:tc>
      </w:tr>
      <w:tr>
        <w:trPr>
          <w:trHeight w:val="237"/>
        </w:trPr>
        <w:tc>
          <w:tcPr>
            <w:tcW w:w="786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Amortisation of acquired brands and customer lists</w:t>
            </w:r>
            <w:r>
              <w:rPr>
                <w:rFonts w:ascii="Arial" w:cs="Arial" w:eastAsia="Arial" w:hAnsi="Arial"/>
                <w:sz w:val="19"/>
                <w:szCs w:val="19"/>
                <w:color w:val="auto"/>
                <w:vertAlign w:val="superscript"/>
              </w:rPr>
              <w:t>2</w:t>
            </w:r>
          </w:p>
        </w:tc>
        <w:tc>
          <w:tcPr>
            <w:tcW w:w="162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(3.0)</w:t>
            </w:r>
          </w:p>
        </w:tc>
        <w:tc>
          <w:tcPr>
            <w:tcW w:w="1740" w:type="dxa"/>
            <w:vAlign w:val="bottom"/>
            <w:tcBorders>
              <w:bottom w:val="single" w:sz="8" w:color="DADAE7"/>
            </w:tcBorders>
          </w:tcPr>
          <w:p>
            <w:pPr>
              <w:jc w:val="right"/>
              <w:spacing w:after="0"/>
              <w:rPr>
                <w:sz w:val="20"/>
                <w:szCs w:val="20"/>
                <w:color w:val="auto"/>
              </w:rPr>
            </w:pPr>
            <w:r>
              <w:rPr>
                <w:rFonts w:ascii="Arial" w:cs="Arial" w:eastAsia="Arial" w:hAnsi="Arial"/>
                <w:sz w:val="15"/>
                <w:szCs w:val="15"/>
                <w:color w:val="auto"/>
              </w:rPr>
              <w:t>(2.6)</w:t>
            </w:r>
          </w:p>
        </w:tc>
      </w:tr>
      <w:tr>
        <w:trPr>
          <w:trHeight w:val="237"/>
        </w:trPr>
        <w:tc>
          <w:tcPr>
            <w:tcW w:w="786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Activities in relation to shareholders</w:t>
            </w:r>
            <w:r>
              <w:rPr>
                <w:rFonts w:ascii="Arial" w:cs="Arial" w:eastAsia="Arial" w:hAnsi="Arial"/>
                <w:sz w:val="19"/>
                <w:szCs w:val="19"/>
                <w:color w:val="auto"/>
                <w:vertAlign w:val="superscript"/>
              </w:rPr>
              <w:t>3</w:t>
            </w:r>
          </w:p>
        </w:tc>
        <w:tc>
          <w:tcPr>
            <w:tcW w:w="1620" w:type="dxa"/>
            <w:vAlign w:val="bottom"/>
            <w:tcBorders>
              <w:bottom w:val="single" w:sz="8" w:color="DADAE7"/>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w:t>
            </w:r>
          </w:p>
        </w:tc>
        <w:tc>
          <w:tcPr>
            <w:tcW w:w="1740" w:type="dxa"/>
            <w:vAlign w:val="bottom"/>
            <w:tcBorders>
              <w:bottom w:val="single" w:sz="8" w:color="DADAE7"/>
            </w:tcBorders>
          </w:tcPr>
          <w:p>
            <w:pPr>
              <w:jc w:val="right"/>
              <w:spacing w:after="0"/>
              <w:rPr>
                <w:sz w:val="20"/>
                <w:szCs w:val="20"/>
                <w:color w:val="auto"/>
              </w:rPr>
            </w:pPr>
            <w:r>
              <w:rPr>
                <w:rFonts w:ascii="Arial" w:cs="Arial" w:eastAsia="Arial" w:hAnsi="Arial"/>
                <w:sz w:val="15"/>
                <w:szCs w:val="15"/>
                <w:color w:val="auto"/>
              </w:rPr>
              <w:t>(2.4)</w:t>
            </w:r>
          </w:p>
        </w:tc>
      </w:tr>
      <w:tr>
        <w:trPr>
          <w:trHeight w:val="237"/>
        </w:trPr>
        <w:tc>
          <w:tcPr>
            <w:tcW w:w="786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Employer tax on vesting of the growth shares</w:t>
            </w:r>
            <w:r>
              <w:rPr>
                <w:rFonts w:ascii="Arial" w:cs="Arial" w:eastAsia="Arial" w:hAnsi="Arial"/>
                <w:sz w:val="19"/>
                <w:szCs w:val="19"/>
                <w:color w:val="auto"/>
                <w:vertAlign w:val="superscript"/>
              </w:rPr>
              <w:t>4</w:t>
            </w:r>
          </w:p>
        </w:tc>
        <w:tc>
          <w:tcPr>
            <w:tcW w:w="1620" w:type="dxa"/>
            <w:vAlign w:val="bottom"/>
            <w:tcBorders>
              <w:bottom w:val="single" w:sz="8" w:color="DADAE7"/>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w:t>
            </w:r>
          </w:p>
        </w:tc>
        <w:tc>
          <w:tcPr>
            <w:tcW w:w="1740" w:type="dxa"/>
            <w:vAlign w:val="bottom"/>
            <w:tcBorders>
              <w:bottom w:val="single" w:sz="8" w:color="DADAE7"/>
            </w:tcBorders>
          </w:tcPr>
          <w:p>
            <w:pPr>
              <w:jc w:val="right"/>
              <w:spacing w:after="0"/>
              <w:rPr>
                <w:sz w:val="20"/>
                <w:szCs w:val="20"/>
                <w:color w:val="auto"/>
              </w:rPr>
            </w:pPr>
            <w:r>
              <w:rPr>
                <w:rFonts w:ascii="Arial" w:cs="Arial" w:eastAsia="Arial" w:hAnsi="Arial"/>
                <w:sz w:val="15"/>
                <w:szCs w:val="15"/>
                <w:color w:val="auto"/>
              </w:rPr>
              <w:t>(2.2)</w:t>
            </w:r>
          </w:p>
        </w:tc>
      </w:tr>
      <w:tr>
        <w:trPr>
          <w:trHeight w:val="236"/>
        </w:trPr>
        <w:tc>
          <w:tcPr>
            <w:tcW w:w="786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Owner fees</w:t>
            </w:r>
            <w:r>
              <w:rPr>
                <w:rFonts w:ascii="Arial" w:cs="Arial" w:eastAsia="Arial" w:hAnsi="Arial"/>
                <w:sz w:val="19"/>
                <w:szCs w:val="19"/>
                <w:color w:val="auto"/>
                <w:vertAlign w:val="superscript"/>
              </w:rPr>
              <w:t>5</w:t>
            </w:r>
          </w:p>
        </w:tc>
        <w:tc>
          <w:tcPr>
            <w:tcW w:w="162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(0.4)</w:t>
            </w:r>
          </w:p>
        </w:tc>
        <w:tc>
          <w:tcPr>
            <w:tcW w:w="1740" w:type="dxa"/>
            <w:vAlign w:val="bottom"/>
            <w:tcBorders>
              <w:bottom w:val="single" w:sz="8" w:color="DADAE7"/>
            </w:tcBorders>
          </w:tcPr>
          <w:p>
            <w:pPr>
              <w:jc w:val="right"/>
              <w:spacing w:after="0"/>
              <w:rPr>
                <w:sz w:val="20"/>
                <w:szCs w:val="20"/>
                <w:color w:val="auto"/>
              </w:rPr>
            </w:pPr>
            <w:r>
              <w:rPr>
                <w:rFonts w:ascii="Arial" w:cs="Arial" w:eastAsia="Arial" w:hAnsi="Arial"/>
                <w:sz w:val="15"/>
                <w:szCs w:val="15"/>
                <w:color w:val="auto"/>
              </w:rPr>
              <w:t>(2.4)</w:t>
            </w:r>
          </w:p>
        </w:tc>
      </w:tr>
      <w:tr>
        <w:trPr>
          <w:trHeight w:val="237"/>
        </w:trPr>
        <w:tc>
          <w:tcPr>
            <w:tcW w:w="786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IPO preparation costs</w:t>
            </w:r>
            <w:r>
              <w:rPr>
                <w:rFonts w:ascii="Arial" w:cs="Arial" w:eastAsia="Arial" w:hAnsi="Arial"/>
                <w:sz w:val="19"/>
                <w:szCs w:val="19"/>
                <w:color w:val="auto"/>
                <w:vertAlign w:val="superscript"/>
              </w:rPr>
              <w:t>6</w:t>
            </w:r>
          </w:p>
        </w:tc>
        <w:tc>
          <w:tcPr>
            <w:tcW w:w="1620" w:type="dxa"/>
            <w:vAlign w:val="bottom"/>
            <w:tcBorders>
              <w:bottom w:val="single" w:sz="8" w:color="DADAE7"/>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w:t>
            </w:r>
          </w:p>
        </w:tc>
        <w:tc>
          <w:tcPr>
            <w:tcW w:w="1740" w:type="dxa"/>
            <w:vAlign w:val="bottom"/>
            <w:tcBorders>
              <w:bottom w:val="single" w:sz="8" w:color="DADAE7"/>
            </w:tcBorders>
          </w:tcPr>
          <w:p>
            <w:pPr>
              <w:jc w:val="right"/>
              <w:spacing w:after="0"/>
              <w:rPr>
                <w:sz w:val="20"/>
                <w:szCs w:val="20"/>
                <w:color w:val="auto"/>
              </w:rPr>
            </w:pPr>
            <w:r>
              <w:rPr>
                <w:rFonts w:ascii="Arial" w:cs="Arial" w:eastAsia="Arial" w:hAnsi="Arial"/>
                <w:sz w:val="15"/>
                <w:szCs w:val="15"/>
                <w:color w:val="auto"/>
              </w:rPr>
              <w:t>(8.3)</w:t>
            </w:r>
          </w:p>
        </w:tc>
      </w:tr>
      <w:tr>
        <w:trPr>
          <w:trHeight w:val="237"/>
        </w:trPr>
        <w:tc>
          <w:tcPr>
            <w:tcW w:w="786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Fair value of the cash settlement option on the growth shares</w:t>
            </w:r>
            <w:r>
              <w:rPr>
                <w:rFonts w:ascii="Arial" w:cs="Arial" w:eastAsia="Arial" w:hAnsi="Arial"/>
                <w:sz w:val="19"/>
                <w:szCs w:val="19"/>
                <w:color w:val="auto"/>
                <w:vertAlign w:val="superscript"/>
              </w:rPr>
              <w:t>7</w:t>
            </w:r>
          </w:p>
        </w:tc>
        <w:tc>
          <w:tcPr>
            <w:tcW w:w="1620" w:type="dxa"/>
            <w:vAlign w:val="bottom"/>
            <w:tcBorders>
              <w:bottom w:val="single" w:sz="8" w:color="DADAE7"/>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w:t>
            </w:r>
          </w:p>
        </w:tc>
        <w:tc>
          <w:tcPr>
            <w:tcW w:w="1740" w:type="dxa"/>
            <w:vAlign w:val="bottom"/>
            <w:tcBorders>
              <w:bottom w:val="single" w:sz="8" w:color="DADAE7"/>
            </w:tcBorders>
          </w:tcPr>
          <w:p>
            <w:pPr>
              <w:jc w:val="right"/>
              <w:spacing w:after="0"/>
              <w:rPr>
                <w:sz w:val="20"/>
                <w:szCs w:val="20"/>
                <w:color w:val="auto"/>
              </w:rPr>
            </w:pPr>
            <w:r>
              <w:rPr>
                <w:rFonts w:ascii="Arial" w:cs="Arial" w:eastAsia="Arial" w:hAnsi="Arial"/>
                <w:sz w:val="15"/>
                <w:szCs w:val="15"/>
                <w:color w:val="auto"/>
              </w:rPr>
              <w:t>(2.3)</w:t>
            </w:r>
          </w:p>
        </w:tc>
      </w:tr>
      <w:tr>
        <w:trPr>
          <w:trHeight w:val="237"/>
        </w:trPr>
        <w:tc>
          <w:tcPr>
            <w:tcW w:w="7860" w:type="dxa"/>
            <w:vAlign w:val="bottom"/>
            <w:tcBorders>
              <w:bottom w:val="single" w:sz="8" w:color="793690"/>
            </w:tcBorders>
          </w:tcPr>
          <w:p>
            <w:pPr>
              <w:ind w:left="20"/>
              <w:spacing w:after="0"/>
              <w:rPr>
                <w:sz w:val="20"/>
                <w:szCs w:val="20"/>
                <w:color w:val="auto"/>
              </w:rPr>
            </w:pPr>
            <w:r>
              <w:rPr>
                <w:rFonts w:ascii="Arial" w:cs="Arial" w:eastAsia="Arial" w:hAnsi="Arial"/>
                <w:sz w:val="15"/>
                <w:szCs w:val="15"/>
                <w:color w:val="auto"/>
              </w:rPr>
              <w:t>Public offering of ordinary shares</w:t>
            </w:r>
            <w:r>
              <w:rPr>
                <w:rFonts w:ascii="Arial" w:cs="Arial" w:eastAsia="Arial" w:hAnsi="Arial"/>
                <w:sz w:val="19"/>
                <w:szCs w:val="19"/>
                <w:color w:val="auto"/>
                <w:vertAlign w:val="superscript"/>
              </w:rPr>
              <w:t>8</w:t>
            </w:r>
          </w:p>
        </w:tc>
        <w:tc>
          <w:tcPr>
            <w:tcW w:w="1620" w:type="dxa"/>
            <w:vAlign w:val="bottom"/>
            <w:tcBorders>
              <w:bottom w:val="single" w:sz="8" w:color="793690"/>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(1.3)</w:t>
            </w:r>
          </w:p>
        </w:tc>
        <w:tc>
          <w:tcPr>
            <w:tcW w:w="1740" w:type="dxa"/>
            <w:vAlign w:val="bottom"/>
            <w:tcBorders>
              <w:bottom w:val="single" w:sz="8" w:color="793690"/>
            </w:tcBorders>
          </w:tcPr>
          <w:p>
            <w:pPr>
              <w:jc w:val="right"/>
              <w:spacing w:after="0"/>
              <w:rPr>
                <w:sz w:val="20"/>
                <w:szCs w:val="20"/>
                <w:color w:val="auto"/>
              </w:rPr>
            </w:pPr>
            <w:r>
              <w:rPr>
                <w:rFonts w:ascii="Arial" w:cs="Arial" w:eastAsia="Arial" w:hAnsi="Arial"/>
                <w:sz w:val="15"/>
                <w:szCs w:val="15"/>
                <w:color w:val="auto"/>
              </w:rPr>
              <w:t>—</w:t>
            </w:r>
          </w:p>
        </w:tc>
      </w:tr>
      <w:tr>
        <w:trPr>
          <w:trHeight w:val="216"/>
        </w:trPr>
        <w:tc>
          <w:tcPr>
            <w:tcW w:w="7860" w:type="dxa"/>
            <w:vAlign w:val="bottom"/>
          </w:tcPr>
          <w:p>
            <w:pPr>
              <w:ind w:left="20"/>
              <w:spacing w:after="0"/>
              <w:rPr>
                <w:sz w:val="20"/>
                <w:szCs w:val="20"/>
                <w:color w:val="auto"/>
              </w:rPr>
            </w:pPr>
            <w:r>
              <w:rPr>
                <w:rFonts w:ascii="Arial" w:cs="Arial" w:eastAsia="Arial" w:hAnsi="Arial"/>
                <w:sz w:val="15"/>
                <w:szCs w:val="15"/>
                <w:b w:val="1"/>
                <w:bCs w:val="1"/>
                <w:color w:val="auto"/>
              </w:rPr>
              <w:t>Profit before tax</w:t>
            </w:r>
          </w:p>
        </w:tc>
        <w:tc>
          <w:tcPr>
            <w:tcW w:w="1620" w:type="dxa"/>
            <w:vAlign w:val="bottom"/>
            <w:tcBorders>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201.6</w:t>
            </w:r>
          </w:p>
        </w:tc>
        <w:tc>
          <w:tcPr>
            <w:tcW w:w="1740" w:type="dxa"/>
            <w:vAlign w:val="bottom"/>
          </w:tcPr>
          <w:p>
            <w:pPr>
              <w:jc w:val="right"/>
              <w:spacing w:after="0"/>
              <w:rPr>
                <w:sz w:val="20"/>
                <w:szCs w:val="20"/>
                <w:color w:val="auto"/>
              </w:rPr>
            </w:pPr>
            <w:r>
              <w:rPr>
                <w:rFonts w:ascii="Arial" w:cs="Arial" w:eastAsia="Arial" w:hAnsi="Arial"/>
                <w:sz w:val="15"/>
                <w:szCs w:val="15"/>
                <w:color w:val="auto"/>
              </w:rPr>
              <w:t>139.0</w:t>
            </w:r>
          </w:p>
        </w:tc>
      </w:tr>
      <w:tr>
        <w:trPr>
          <w:trHeight w:val="20"/>
        </w:trPr>
        <w:tc>
          <w:tcPr>
            <w:tcW w:w="7860" w:type="dxa"/>
            <w:vAlign w:val="bottom"/>
            <w:shd w:val="clear" w:color="auto" w:fill="793690"/>
          </w:tcPr>
          <w:p>
            <w:pPr>
              <w:spacing w:after="0" w:line="20" w:lineRule="exact"/>
              <w:rPr>
                <w:sz w:val="1"/>
                <w:szCs w:val="1"/>
                <w:color w:val="auto"/>
              </w:rPr>
            </w:pPr>
          </w:p>
        </w:tc>
        <w:tc>
          <w:tcPr>
            <w:tcW w:w="1620" w:type="dxa"/>
            <w:vAlign w:val="bottom"/>
            <w:shd w:val="clear" w:color="auto" w:fill="793690"/>
          </w:tcPr>
          <w:p>
            <w:pPr>
              <w:spacing w:after="0" w:line="20" w:lineRule="exact"/>
              <w:rPr>
                <w:sz w:val="1"/>
                <w:szCs w:val="1"/>
                <w:color w:val="auto"/>
              </w:rPr>
            </w:pPr>
          </w:p>
        </w:tc>
        <w:tc>
          <w:tcPr>
            <w:tcW w:w="1740" w:type="dxa"/>
            <w:vAlign w:val="bottom"/>
            <w:shd w:val="clear" w:color="auto" w:fill="793690"/>
          </w:tcPr>
          <w:p>
            <w:pPr>
              <w:spacing w:after="0" w:line="20" w:lineRule="exact"/>
              <w:rPr>
                <w:sz w:val="1"/>
                <w:szCs w:val="1"/>
                <w:color w:val="auto"/>
              </w:rPr>
            </w:pPr>
          </w:p>
        </w:tc>
      </w:tr>
    </w:tbl>
    <w:p>
      <w:pPr>
        <w:spacing w:after="0" w:line="230" w:lineRule="exact"/>
        <w:rPr>
          <w:sz w:val="20"/>
          <w:szCs w:val="20"/>
          <w:color w:val="auto"/>
        </w:rPr>
      </w:pPr>
    </w:p>
    <w:p>
      <w:pPr>
        <w:ind w:left="200" w:hanging="192"/>
        <w:spacing w:after="0"/>
        <w:tabs>
          <w:tab w:leader="none" w:pos="200" w:val="left"/>
        </w:tabs>
        <w:numPr>
          <w:ilvl w:val="0"/>
          <w:numId w:val="25"/>
        </w:numPr>
        <w:rPr>
          <w:rFonts w:ascii="Arial" w:cs="Arial" w:eastAsia="Arial" w:hAnsi="Arial"/>
          <w:sz w:val="11"/>
          <w:szCs w:val="11"/>
          <w:color w:val="auto"/>
        </w:rPr>
      </w:pPr>
      <w:r>
        <w:rPr>
          <w:rFonts w:ascii="Arial" w:cs="Arial" w:eastAsia="Arial" w:hAnsi="Arial"/>
          <w:sz w:val="11"/>
          <w:szCs w:val="11"/>
          <w:color w:val="auto"/>
        </w:rPr>
        <w:t>A bargain purchase gain was recognised as a result of the Group's acquisition of Darton Group Limited (“Darton”).</w:t>
      </w:r>
    </w:p>
    <w:p>
      <w:pPr>
        <w:spacing w:after="0" w:line="49" w:lineRule="exact"/>
        <w:rPr>
          <w:rFonts w:ascii="Arial" w:cs="Arial" w:eastAsia="Arial" w:hAnsi="Arial"/>
          <w:sz w:val="11"/>
          <w:szCs w:val="11"/>
          <w:color w:val="auto"/>
        </w:rPr>
      </w:pPr>
    </w:p>
    <w:p>
      <w:pPr>
        <w:ind w:left="220" w:hanging="212"/>
        <w:spacing w:after="0"/>
        <w:tabs>
          <w:tab w:leader="none" w:pos="220" w:val="left"/>
        </w:tabs>
        <w:numPr>
          <w:ilvl w:val="0"/>
          <w:numId w:val="25"/>
        </w:numPr>
        <w:rPr>
          <w:rFonts w:ascii="Arial" w:cs="Arial" w:eastAsia="Arial" w:hAnsi="Arial"/>
          <w:sz w:val="11"/>
          <w:szCs w:val="11"/>
          <w:color w:val="auto"/>
        </w:rPr>
      </w:pPr>
      <w:r>
        <w:rPr>
          <w:rFonts w:ascii="Arial" w:cs="Arial" w:eastAsia="Arial" w:hAnsi="Arial"/>
          <w:sz w:val="11"/>
          <w:szCs w:val="11"/>
          <w:color w:val="auto"/>
        </w:rPr>
        <w:t>This represents the amortisation charge for the period of acquired brands and customers lists.</w:t>
      </w:r>
    </w:p>
    <w:p>
      <w:pPr>
        <w:spacing w:after="0" w:line="62" w:lineRule="exact"/>
        <w:rPr>
          <w:rFonts w:ascii="Arial" w:cs="Arial" w:eastAsia="Arial" w:hAnsi="Arial"/>
          <w:sz w:val="11"/>
          <w:szCs w:val="11"/>
          <w:color w:val="auto"/>
        </w:rPr>
      </w:pPr>
    </w:p>
    <w:p>
      <w:pPr>
        <w:ind w:left="220" w:hanging="212"/>
        <w:spacing w:after="0"/>
        <w:tabs>
          <w:tab w:leader="none" w:pos="220" w:val="left"/>
        </w:tabs>
        <w:numPr>
          <w:ilvl w:val="0"/>
          <w:numId w:val="25"/>
        </w:numPr>
        <w:rPr>
          <w:rFonts w:ascii="Arial" w:cs="Arial" w:eastAsia="Arial" w:hAnsi="Arial"/>
          <w:sz w:val="11"/>
          <w:szCs w:val="11"/>
          <w:color w:val="auto"/>
        </w:rPr>
      </w:pPr>
      <w:r>
        <w:rPr>
          <w:rFonts w:ascii="Arial" w:cs="Arial" w:eastAsia="Arial" w:hAnsi="Arial"/>
          <w:sz w:val="11"/>
          <w:szCs w:val="11"/>
          <w:color w:val="auto"/>
        </w:rPr>
        <w:t>Activities in relation to shareholders primarily consist of dividend-like contributions made to participants within certain of our share-based payments schemes.</w:t>
      </w:r>
    </w:p>
    <w:p>
      <w:pPr>
        <w:spacing w:after="0" w:line="49" w:lineRule="exact"/>
        <w:rPr>
          <w:rFonts w:ascii="Arial" w:cs="Arial" w:eastAsia="Arial" w:hAnsi="Arial"/>
          <w:sz w:val="11"/>
          <w:szCs w:val="11"/>
          <w:color w:val="auto"/>
        </w:rPr>
      </w:pPr>
    </w:p>
    <w:p>
      <w:pPr>
        <w:ind w:left="220" w:hanging="212"/>
        <w:spacing w:after="0"/>
        <w:tabs>
          <w:tab w:leader="none" w:pos="220" w:val="left"/>
        </w:tabs>
        <w:numPr>
          <w:ilvl w:val="0"/>
          <w:numId w:val="25"/>
        </w:numPr>
        <w:rPr>
          <w:rFonts w:ascii="Arial" w:cs="Arial" w:eastAsia="Arial" w:hAnsi="Arial"/>
          <w:sz w:val="11"/>
          <w:szCs w:val="11"/>
          <w:color w:val="auto"/>
        </w:rPr>
      </w:pPr>
      <w:r>
        <w:rPr>
          <w:rFonts w:ascii="Arial" w:cs="Arial" w:eastAsia="Arial" w:hAnsi="Arial"/>
          <w:sz w:val="11"/>
          <w:szCs w:val="11"/>
          <w:color w:val="auto"/>
        </w:rPr>
        <w:t>Employer tax on vesting of the growth shares represents the Group's tax charge arising from the vesting of the growth shares.</w:t>
      </w:r>
    </w:p>
    <w:p>
      <w:pPr>
        <w:spacing w:after="0" w:line="62" w:lineRule="exact"/>
        <w:rPr>
          <w:rFonts w:ascii="Arial" w:cs="Arial" w:eastAsia="Arial" w:hAnsi="Arial"/>
          <w:sz w:val="11"/>
          <w:szCs w:val="11"/>
          <w:color w:val="auto"/>
        </w:rPr>
      </w:pPr>
    </w:p>
    <w:p>
      <w:pPr>
        <w:ind w:left="160" w:right="40" w:hanging="152"/>
        <w:spacing w:after="0" w:line="257" w:lineRule="auto"/>
        <w:tabs>
          <w:tab w:leader="none" w:pos="228" w:val="left"/>
        </w:tabs>
        <w:numPr>
          <w:ilvl w:val="0"/>
          <w:numId w:val="25"/>
        </w:numPr>
        <w:rPr>
          <w:rFonts w:ascii="Arial" w:cs="Arial" w:eastAsia="Arial" w:hAnsi="Arial"/>
          <w:sz w:val="11"/>
          <w:szCs w:val="11"/>
          <w:color w:val="auto"/>
        </w:rPr>
      </w:pPr>
      <w:r>
        <w:rPr>
          <w:rFonts w:ascii="Arial" w:cs="Arial" w:eastAsia="Arial" w:hAnsi="Arial"/>
          <w:sz w:val="11"/>
          <w:szCs w:val="11"/>
          <w:color w:val="auto"/>
        </w:rPr>
        <w:t>Owner fees relate to management services fees paid to parties associated with the ultimate controlling party based on a percentage of our earnings before interest, tax, depreciation and amortisation ("EBITDA") in each year, presented in the income statement within other expenses. This agreement ended once the Group became listed, however as the calculation is based on audited full year EBITDA, a payment was made during the first quarter of 2025 representing the final adjustments to the fees owed.</w:t>
      </w:r>
    </w:p>
    <w:p>
      <w:pPr>
        <w:spacing w:after="0" w:line="39" w:lineRule="exact"/>
        <w:rPr>
          <w:rFonts w:ascii="Arial" w:cs="Arial" w:eastAsia="Arial" w:hAnsi="Arial"/>
          <w:sz w:val="11"/>
          <w:szCs w:val="11"/>
          <w:color w:val="auto"/>
        </w:rPr>
      </w:pPr>
    </w:p>
    <w:p>
      <w:pPr>
        <w:ind w:left="220" w:hanging="212"/>
        <w:spacing w:after="0"/>
        <w:tabs>
          <w:tab w:leader="none" w:pos="220" w:val="left"/>
        </w:tabs>
        <w:numPr>
          <w:ilvl w:val="0"/>
          <w:numId w:val="25"/>
        </w:numPr>
        <w:rPr>
          <w:rFonts w:ascii="Arial" w:cs="Arial" w:eastAsia="Arial" w:hAnsi="Arial"/>
          <w:sz w:val="11"/>
          <w:szCs w:val="11"/>
          <w:color w:val="auto"/>
        </w:rPr>
      </w:pPr>
      <w:r>
        <w:rPr>
          <w:rFonts w:ascii="Arial" w:cs="Arial" w:eastAsia="Arial" w:hAnsi="Arial"/>
          <w:sz w:val="11"/>
          <w:szCs w:val="11"/>
          <w:color w:val="auto"/>
        </w:rPr>
        <w:t>IPO preparation costs related to consulting, legal and audit fees, presented in the income statement within other expenses.</w:t>
      </w:r>
    </w:p>
    <w:p>
      <w:pPr>
        <w:spacing w:after="0" w:line="49" w:lineRule="exact"/>
        <w:rPr>
          <w:rFonts w:ascii="Arial" w:cs="Arial" w:eastAsia="Arial" w:hAnsi="Arial"/>
          <w:sz w:val="11"/>
          <w:szCs w:val="11"/>
          <w:color w:val="auto"/>
        </w:rPr>
      </w:pPr>
    </w:p>
    <w:p>
      <w:pPr>
        <w:ind w:left="160" w:right="260" w:hanging="152"/>
        <w:spacing w:after="0" w:line="285" w:lineRule="auto"/>
        <w:tabs>
          <w:tab w:leader="none" w:pos="228" w:val="left"/>
        </w:tabs>
        <w:numPr>
          <w:ilvl w:val="0"/>
          <w:numId w:val="25"/>
        </w:numPr>
        <w:rPr>
          <w:rFonts w:ascii="Arial" w:cs="Arial" w:eastAsia="Arial" w:hAnsi="Arial"/>
          <w:sz w:val="11"/>
          <w:szCs w:val="11"/>
          <w:color w:val="auto"/>
        </w:rPr>
      </w:pPr>
      <w:r>
        <w:rPr>
          <w:rFonts w:ascii="Arial" w:cs="Arial" w:eastAsia="Arial" w:hAnsi="Arial"/>
          <w:sz w:val="11"/>
          <w:szCs w:val="11"/>
          <w:color w:val="auto"/>
        </w:rPr>
        <w:t>Fair value of the cash settlement option on the growth shares in H1 2024 represents the fair value liability of the growth shares at $2.3m. Subsequent to the initial public offering when the holders of the growth shares elected to settle the awards in ordinary shares, the liability was derecognised.</w:t>
      </w:r>
    </w:p>
    <w:p>
      <w:pPr>
        <w:spacing w:after="0" w:line="10" w:lineRule="exact"/>
        <w:rPr>
          <w:rFonts w:ascii="Arial" w:cs="Arial" w:eastAsia="Arial" w:hAnsi="Arial"/>
          <w:sz w:val="11"/>
          <w:szCs w:val="11"/>
          <w:color w:val="auto"/>
        </w:rPr>
      </w:pPr>
    </w:p>
    <w:p>
      <w:pPr>
        <w:ind w:left="220" w:hanging="212"/>
        <w:spacing w:after="0"/>
        <w:tabs>
          <w:tab w:leader="none" w:pos="220" w:val="left"/>
        </w:tabs>
        <w:numPr>
          <w:ilvl w:val="0"/>
          <w:numId w:val="25"/>
        </w:numPr>
        <w:rPr>
          <w:rFonts w:ascii="Arial" w:cs="Arial" w:eastAsia="Arial" w:hAnsi="Arial"/>
          <w:sz w:val="11"/>
          <w:szCs w:val="11"/>
          <w:color w:val="auto"/>
        </w:rPr>
      </w:pPr>
      <w:r>
        <w:rPr>
          <w:rFonts w:ascii="Arial" w:cs="Arial" w:eastAsia="Arial" w:hAnsi="Arial"/>
          <w:sz w:val="11"/>
          <w:szCs w:val="11"/>
          <w:color w:val="auto"/>
        </w:rPr>
        <w:t>Costs relating to the public offerings of ordinary shares by certain selling shareholders.</w:t>
      </w:r>
    </w:p>
    <w:p>
      <w:pPr>
        <w:spacing w:after="0" w:line="180" w:lineRule="exact"/>
        <w:rPr>
          <w:sz w:val="20"/>
          <w:szCs w:val="20"/>
          <w:color w:val="auto"/>
        </w:rPr>
      </w:pPr>
    </w:p>
    <w:p>
      <w:pPr>
        <w:ind w:right="160"/>
        <w:spacing w:after="0" w:line="293" w:lineRule="auto"/>
        <w:rPr>
          <w:sz w:val="20"/>
          <w:szCs w:val="20"/>
          <w:color w:val="auto"/>
        </w:rPr>
      </w:pPr>
      <w:r>
        <w:rPr>
          <w:rFonts w:ascii="Arial" w:cs="Arial" w:eastAsia="Arial" w:hAnsi="Arial"/>
          <w:sz w:val="15"/>
          <w:szCs w:val="15"/>
          <w:color w:val="auto"/>
        </w:rPr>
        <w:t>The Group’s revenue and total assets by geography are as follows. In presenting geographical information, revenue is based on the geographic location of the legal entity where the customers' revenue is recorded. Total assets are based on the geographic location of the legal entity where the assets are recorded.</w:t>
      </w:r>
    </w:p>
    <w:tbl>
      <w:tblPr>
        <w:tblLayout w:type="fixed"/>
        <w:tblInd w:w="0" w:type="dxa"/>
        <w:tblCellMar>
          <w:top w:w="0" w:type="dxa"/>
          <w:left w:w="0" w:type="dxa"/>
          <w:bottom w:w="0" w:type="dxa"/>
          <w:right w:w="0" w:type="dxa"/>
        </w:tblCellMar>
      </w:tblPr>
      <w:tr>
        <w:trPr>
          <w:trHeight w:val="204"/>
        </w:trPr>
        <w:tc>
          <w:tcPr>
            <w:tcW w:w="4660" w:type="dxa"/>
            <w:vAlign w:val="bottom"/>
          </w:tcPr>
          <w:p>
            <w:pPr>
              <w:spacing w:after="0"/>
              <w:rPr>
                <w:sz w:val="17"/>
                <w:szCs w:val="17"/>
                <w:color w:val="auto"/>
              </w:rPr>
            </w:pPr>
          </w:p>
        </w:tc>
        <w:tc>
          <w:tcPr>
            <w:tcW w:w="2040" w:type="dxa"/>
            <w:vAlign w:val="bottom"/>
            <w:tcBorders>
              <w:bottom w:val="single" w:sz="8" w:color="793690"/>
            </w:tcBorders>
            <w:gridSpan w:val="2"/>
          </w:tcPr>
          <w:p>
            <w:pPr>
              <w:ind w:left="1340"/>
              <w:spacing w:after="0"/>
              <w:rPr>
                <w:sz w:val="20"/>
                <w:szCs w:val="20"/>
                <w:color w:val="auto"/>
              </w:rPr>
            </w:pPr>
            <w:r>
              <w:rPr>
                <w:rFonts w:ascii="Arial" w:cs="Arial" w:eastAsia="Arial" w:hAnsi="Arial"/>
                <w:sz w:val="13"/>
                <w:szCs w:val="13"/>
                <w:b w:val="1"/>
                <w:bCs w:val="1"/>
                <w:color w:val="auto"/>
              </w:rPr>
              <w:t>Revenue</w:t>
            </w:r>
          </w:p>
        </w:tc>
        <w:tc>
          <w:tcPr>
            <w:tcW w:w="1160" w:type="dxa"/>
            <w:vAlign w:val="bottom"/>
            <w:tcBorders>
              <w:bottom w:val="single" w:sz="8" w:color="793690"/>
            </w:tcBorders>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tcBorders>
              <w:bottom w:val="single" w:sz="8" w:color="793690"/>
            </w:tcBorders>
            <w:gridSpan w:val="2"/>
          </w:tcPr>
          <w:p>
            <w:pPr>
              <w:ind w:left="1220"/>
              <w:spacing w:after="0"/>
              <w:rPr>
                <w:sz w:val="20"/>
                <w:szCs w:val="20"/>
                <w:color w:val="auto"/>
              </w:rPr>
            </w:pPr>
            <w:r>
              <w:rPr>
                <w:rFonts w:ascii="Arial" w:cs="Arial" w:eastAsia="Arial" w:hAnsi="Arial"/>
                <w:sz w:val="13"/>
                <w:szCs w:val="13"/>
                <w:b w:val="1"/>
                <w:bCs w:val="1"/>
                <w:color w:val="auto"/>
                <w:w w:val="98"/>
              </w:rPr>
              <w:t>Total assets</w:t>
            </w:r>
            <w:r>
              <w:rPr>
                <w:rFonts w:ascii="Arial" w:cs="Arial" w:eastAsia="Arial" w:hAnsi="Arial"/>
                <w:sz w:val="16"/>
                <w:szCs w:val="16"/>
                <w:b w:val="1"/>
                <w:bCs w:val="1"/>
                <w:color w:val="auto"/>
                <w:w w:val="98"/>
                <w:vertAlign w:val="superscript"/>
              </w:rPr>
              <w:t>1</w:t>
            </w:r>
          </w:p>
        </w:tc>
        <w:tc>
          <w:tcPr>
            <w:tcW w:w="1160" w:type="dxa"/>
            <w:vAlign w:val="bottom"/>
            <w:tcBorders>
              <w:bottom w:val="single" w:sz="8" w:color="793690"/>
            </w:tcBorders>
          </w:tcPr>
          <w:p>
            <w:pPr>
              <w:spacing w:after="0"/>
              <w:rPr>
                <w:sz w:val="17"/>
                <w:szCs w:val="17"/>
                <w:color w:val="auto"/>
              </w:rPr>
            </w:pPr>
          </w:p>
        </w:tc>
      </w:tr>
      <w:tr>
        <w:trPr>
          <w:trHeight w:val="175"/>
        </w:trPr>
        <w:tc>
          <w:tcPr>
            <w:tcW w:w="4660" w:type="dxa"/>
            <w:vAlign w:val="bottom"/>
          </w:tcPr>
          <w:p>
            <w:pPr>
              <w:spacing w:after="0"/>
              <w:rPr>
                <w:sz w:val="15"/>
                <w:szCs w:val="15"/>
                <w:color w:val="auto"/>
              </w:rPr>
            </w:pPr>
          </w:p>
        </w:tc>
        <w:tc>
          <w:tcPr>
            <w:tcW w:w="160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6 months ended</w:t>
            </w:r>
          </w:p>
        </w:tc>
        <w:tc>
          <w:tcPr>
            <w:tcW w:w="44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6 months ended</w:t>
            </w:r>
          </w:p>
        </w:tc>
        <w:tc>
          <w:tcPr>
            <w:tcW w:w="1600" w:type="dxa"/>
            <w:vAlign w:val="bottom"/>
            <w:shd w:val="clear" w:color="auto" w:fill="F4EFF6"/>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3"/>
        </w:trPr>
        <w:tc>
          <w:tcPr>
            <w:tcW w:w="4660" w:type="dxa"/>
            <w:vAlign w:val="bottom"/>
          </w:tcPr>
          <w:p>
            <w:pPr>
              <w:spacing w:after="0"/>
              <w:rPr>
                <w:sz w:val="17"/>
                <w:szCs w:val="17"/>
                <w:color w:val="auto"/>
              </w:rPr>
            </w:pPr>
          </w:p>
        </w:tc>
        <w:tc>
          <w:tcPr>
            <w:tcW w:w="160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4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30 June 2024</w:t>
            </w:r>
          </w:p>
        </w:tc>
        <w:tc>
          <w:tcPr>
            <w:tcW w:w="160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4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w w:val="98"/>
              </w:rPr>
              <w:t>31 December 2024</w:t>
            </w:r>
          </w:p>
        </w:tc>
      </w:tr>
      <w:tr>
        <w:trPr>
          <w:trHeight w:val="224"/>
        </w:trPr>
        <w:tc>
          <w:tcPr>
            <w:tcW w:w="4660" w:type="dxa"/>
            <w:vAlign w:val="bottom"/>
          </w:tcPr>
          <w:p>
            <w:pPr>
              <w:spacing w:after="0"/>
              <w:rPr>
                <w:sz w:val="19"/>
                <w:szCs w:val="19"/>
                <w:color w:val="auto"/>
              </w:rPr>
            </w:pPr>
          </w:p>
        </w:tc>
        <w:tc>
          <w:tcPr>
            <w:tcW w:w="160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4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$m</w:t>
            </w:r>
          </w:p>
        </w:tc>
        <w:tc>
          <w:tcPr>
            <w:tcW w:w="160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$m</w:t>
            </w:r>
          </w:p>
        </w:tc>
      </w:tr>
      <w:tr>
        <w:trPr>
          <w:trHeight w:val="236"/>
        </w:trPr>
        <w:tc>
          <w:tcPr>
            <w:tcW w:w="466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United Kingdom</w:t>
            </w:r>
          </w:p>
        </w:tc>
        <w:tc>
          <w:tcPr>
            <w:tcW w:w="1600" w:type="dxa"/>
            <w:vAlign w:val="bottom"/>
            <w:tcBorders>
              <w:top w:val="single" w:sz="8" w:color="793690"/>
              <w:bottom w:val="single" w:sz="8" w:color="F4EFF6"/>
            </w:tcBorders>
            <w:shd w:val="clear" w:color="auto" w:fill="F4EFF6"/>
          </w:tcPr>
          <w:p>
            <w:pPr>
              <w:jc w:val="right"/>
              <w:ind w:right="10"/>
              <w:spacing w:after="0"/>
              <w:rPr>
                <w:sz w:val="20"/>
                <w:szCs w:val="20"/>
                <w:color w:val="auto"/>
              </w:rPr>
            </w:pPr>
            <w:r>
              <w:rPr>
                <w:rFonts w:ascii="Arial" w:cs="Arial" w:eastAsia="Arial" w:hAnsi="Arial"/>
                <w:sz w:val="15"/>
                <w:szCs w:val="15"/>
                <w:b w:val="1"/>
                <w:bCs w:val="1"/>
                <w:color w:val="auto"/>
              </w:rPr>
              <w:t>362.5</w:t>
            </w:r>
          </w:p>
        </w:tc>
        <w:tc>
          <w:tcPr>
            <w:tcW w:w="440" w:type="dxa"/>
            <w:vAlign w:val="bottom"/>
            <w:tcBorders>
              <w:top w:val="single" w:sz="8" w:color="793690"/>
            </w:tcBorders>
          </w:tcPr>
          <w:p>
            <w:pPr>
              <w:spacing w:after="0"/>
              <w:rPr>
                <w:sz w:val="20"/>
                <w:szCs w:val="20"/>
                <w:color w:val="auto"/>
              </w:rPr>
            </w:pPr>
          </w:p>
        </w:tc>
        <w:tc>
          <w:tcPr>
            <w:tcW w:w="116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398.4</w:t>
            </w:r>
          </w:p>
        </w:tc>
        <w:tc>
          <w:tcPr>
            <w:tcW w:w="160" w:type="dxa"/>
            <w:vAlign w:val="bottom"/>
            <w:tcBorders>
              <w:top w:val="single" w:sz="8" w:color="793690"/>
            </w:tcBorders>
          </w:tcPr>
          <w:p>
            <w:pPr>
              <w:spacing w:after="0"/>
              <w:rPr>
                <w:sz w:val="20"/>
                <w:szCs w:val="20"/>
                <w:color w:val="auto"/>
              </w:rPr>
            </w:pPr>
          </w:p>
        </w:tc>
        <w:tc>
          <w:tcPr>
            <w:tcW w:w="160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4,713.3</w:t>
            </w:r>
          </w:p>
        </w:tc>
        <w:tc>
          <w:tcPr>
            <w:tcW w:w="440" w:type="dxa"/>
            <w:vAlign w:val="bottom"/>
            <w:tcBorders>
              <w:top w:val="single" w:sz="8" w:color="793690"/>
            </w:tcBorders>
          </w:tcPr>
          <w:p>
            <w:pPr>
              <w:spacing w:after="0"/>
              <w:rPr>
                <w:sz w:val="20"/>
                <w:szCs w:val="20"/>
                <w:color w:val="auto"/>
              </w:rPr>
            </w:pPr>
          </w:p>
        </w:tc>
        <w:tc>
          <w:tcPr>
            <w:tcW w:w="116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6,094.7</w:t>
            </w:r>
          </w:p>
        </w:tc>
      </w:tr>
      <w:tr>
        <w:trPr>
          <w:trHeight w:val="237"/>
        </w:trPr>
        <w:tc>
          <w:tcPr>
            <w:tcW w:w="46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United States</w:t>
            </w:r>
          </w:p>
        </w:tc>
        <w:tc>
          <w:tcPr>
            <w:tcW w:w="1600" w:type="dxa"/>
            <w:vAlign w:val="bottom"/>
            <w:tcBorders>
              <w:top w:val="single" w:sz="8" w:color="DADAE7"/>
              <w:bottom w:val="single" w:sz="8" w:color="F4EFF6"/>
            </w:tcBorders>
            <w:shd w:val="clear" w:color="auto" w:fill="F4EFF6"/>
          </w:tcPr>
          <w:p>
            <w:pPr>
              <w:jc w:val="right"/>
              <w:ind w:right="10"/>
              <w:spacing w:after="0"/>
              <w:rPr>
                <w:sz w:val="20"/>
                <w:szCs w:val="20"/>
                <w:color w:val="auto"/>
              </w:rPr>
            </w:pPr>
            <w:r>
              <w:rPr>
                <w:rFonts w:ascii="Arial" w:cs="Arial" w:eastAsia="Arial" w:hAnsi="Arial"/>
                <w:sz w:val="15"/>
                <w:szCs w:val="15"/>
                <w:b w:val="1"/>
                <w:bCs w:val="1"/>
                <w:color w:val="auto"/>
              </w:rPr>
              <w:t>391.8</w:t>
            </w:r>
          </w:p>
        </w:tc>
        <w:tc>
          <w:tcPr>
            <w:tcW w:w="440" w:type="dxa"/>
            <w:vAlign w:val="bottom"/>
            <w:tcBorders>
              <w:top w:val="single" w:sz="8" w:color="DADAE7"/>
            </w:tcBorders>
          </w:tcPr>
          <w:p>
            <w:pPr>
              <w:spacing w:after="0"/>
              <w:rPr>
                <w:sz w:val="20"/>
                <w:szCs w:val="20"/>
                <w:color w:val="auto"/>
              </w:rPr>
            </w:pPr>
          </w:p>
        </w:tc>
        <w:tc>
          <w:tcPr>
            <w:tcW w:w="11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261.4</w:t>
            </w:r>
          </w:p>
        </w:tc>
        <w:tc>
          <w:tcPr>
            <w:tcW w:w="160" w:type="dxa"/>
            <w:vAlign w:val="bottom"/>
            <w:tcBorders>
              <w:top w:val="single" w:sz="8" w:color="DADAE7"/>
            </w:tcBorders>
          </w:tcPr>
          <w:p>
            <w:pPr>
              <w:spacing w:after="0"/>
              <w:rPr>
                <w:sz w:val="20"/>
                <w:szCs w:val="20"/>
                <w:color w:val="auto"/>
              </w:rPr>
            </w:pPr>
          </w:p>
        </w:tc>
        <w:tc>
          <w:tcPr>
            <w:tcW w:w="16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22,950.1</w:t>
            </w:r>
          </w:p>
        </w:tc>
        <w:tc>
          <w:tcPr>
            <w:tcW w:w="440" w:type="dxa"/>
            <w:vAlign w:val="bottom"/>
            <w:tcBorders>
              <w:top w:val="single" w:sz="8" w:color="DADAE7"/>
            </w:tcBorders>
          </w:tcPr>
          <w:p>
            <w:pPr>
              <w:spacing w:after="0"/>
              <w:rPr>
                <w:sz w:val="20"/>
                <w:szCs w:val="20"/>
                <w:color w:val="auto"/>
              </w:rPr>
            </w:pPr>
          </w:p>
        </w:tc>
        <w:tc>
          <w:tcPr>
            <w:tcW w:w="11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17,322.9</w:t>
            </w:r>
          </w:p>
        </w:tc>
      </w:tr>
      <w:tr>
        <w:trPr>
          <w:trHeight w:val="236"/>
        </w:trPr>
        <w:tc>
          <w:tcPr>
            <w:tcW w:w="46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Rest of the world</w:t>
            </w:r>
          </w:p>
        </w:tc>
        <w:tc>
          <w:tcPr>
            <w:tcW w:w="1600" w:type="dxa"/>
            <w:vAlign w:val="bottom"/>
            <w:tcBorders>
              <w:top w:val="single" w:sz="8" w:color="DADAE7"/>
              <w:bottom w:val="single" w:sz="8" w:color="F4EFF6"/>
            </w:tcBorders>
            <w:shd w:val="clear" w:color="auto" w:fill="F4EFF6"/>
          </w:tcPr>
          <w:p>
            <w:pPr>
              <w:jc w:val="right"/>
              <w:ind w:right="10"/>
              <w:spacing w:after="0"/>
              <w:rPr>
                <w:sz w:val="20"/>
                <w:szCs w:val="20"/>
                <w:color w:val="auto"/>
              </w:rPr>
            </w:pPr>
            <w:r>
              <w:rPr>
                <w:rFonts w:ascii="Arial" w:cs="Arial" w:eastAsia="Arial" w:hAnsi="Arial"/>
                <w:sz w:val="15"/>
                <w:szCs w:val="15"/>
                <w:b w:val="1"/>
                <w:bCs w:val="1"/>
                <w:color w:val="auto"/>
              </w:rPr>
              <w:t>213.1</w:t>
            </w:r>
          </w:p>
        </w:tc>
        <w:tc>
          <w:tcPr>
            <w:tcW w:w="440" w:type="dxa"/>
            <w:vAlign w:val="bottom"/>
            <w:tcBorders>
              <w:top w:val="single" w:sz="8" w:color="DADAE7"/>
            </w:tcBorders>
          </w:tcPr>
          <w:p>
            <w:pPr>
              <w:spacing w:after="0"/>
              <w:rPr>
                <w:sz w:val="20"/>
                <w:szCs w:val="20"/>
                <w:color w:val="auto"/>
              </w:rPr>
            </w:pPr>
          </w:p>
        </w:tc>
        <w:tc>
          <w:tcPr>
            <w:tcW w:w="11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128.1</w:t>
            </w:r>
          </w:p>
        </w:tc>
        <w:tc>
          <w:tcPr>
            <w:tcW w:w="160" w:type="dxa"/>
            <w:vAlign w:val="bottom"/>
            <w:tcBorders>
              <w:top w:val="single" w:sz="8" w:color="DADAE7"/>
            </w:tcBorders>
          </w:tcPr>
          <w:p>
            <w:pPr>
              <w:spacing w:after="0"/>
              <w:rPr>
                <w:sz w:val="20"/>
                <w:szCs w:val="20"/>
                <w:color w:val="auto"/>
              </w:rPr>
            </w:pPr>
          </w:p>
        </w:tc>
        <w:tc>
          <w:tcPr>
            <w:tcW w:w="16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3,524.9</w:t>
            </w:r>
          </w:p>
        </w:tc>
        <w:tc>
          <w:tcPr>
            <w:tcW w:w="440" w:type="dxa"/>
            <w:vAlign w:val="bottom"/>
            <w:tcBorders>
              <w:top w:val="single" w:sz="8" w:color="DADAE7"/>
            </w:tcBorders>
          </w:tcPr>
          <w:p>
            <w:pPr>
              <w:spacing w:after="0"/>
              <w:rPr>
                <w:sz w:val="20"/>
                <w:szCs w:val="20"/>
                <w:color w:val="auto"/>
              </w:rPr>
            </w:pPr>
          </w:p>
        </w:tc>
        <w:tc>
          <w:tcPr>
            <w:tcW w:w="11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894.9</w:t>
            </w:r>
          </w:p>
        </w:tc>
      </w:tr>
      <w:tr>
        <w:trPr>
          <w:trHeight w:val="217"/>
        </w:trPr>
        <w:tc>
          <w:tcPr>
            <w:tcW w:w="466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Total</w:t>
            </w:r>
          </w:p>
        </w:tc>
        <w:tc>
          <w:tcPr>
            <w:tcW w:w="1600" w:type="dxa"/>
            <w:vAlign w:val="bottom"/>
            <w:tcBorders>
              <w:top w:val="single" w:sz="8" w:color="793690"/>
              <w:bottom w:val="single" w:sz="8" w:color="F4EFF6"/>
            </w:tcBorders>
            <w:shd w:val="clear" w:color="auto" w:fill="F4EFF6"/>
          </w:tcPr>
          <w:p>
            <w:pPr>
              <w:jc w:val="right"/>
              <w:ind w:right="10"/>
              <w:spacing w:after="0"/>
              <w:rPr>
                <w:sz w:val="20"/>
                <w:szCs w:val="20"/>
                <w:color w:val="auto"/>
              </w:rPr>
            </w:pPr>
            <w:r>
              <w:rPr>
                <w:rFonts w:ascii="Arial" w:cs="Arial" w:eastAsia="Arial" w:hAnsi="Arial"/>
                <w:sz w:val="15"/>
                <w:szCs w:val="15"/>
                <w:b w:val="1"/>
                <w:bCs w:val="1"/>
                <w:color w:val="auto"/>
              </w:rPr>
              <w:t>967.4</w:t>
            </w:r>
          </w:p>
        </w:tc>
        <w:tc>
          <w:tcPr>
            <w:tcW w:w="440" w:type="dxa"/>
            <w:vAlign w:val="bottom"/>
            <w:tcBorders>
              <w:top w:val="single" w:sz="8" w:color="793690"/>
            </w:tcBorders>
          </w:tcPr>
          <w:p>
            <w:pPr>
              <w:spacing w:after="0"/>
              <w:rPr>
                <w:sz w:val="18"/>
                <w:szCs w:val="18"/>
                <w:color w:val="auto"/>
              </w:rPr>
            </w:pPr>
          </w:p>
        </w:tc>
        <w:tc>
          <w:tcPr>
            <w:tcW w:w="116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787.9</w:t>
            </w:r>
          </w:p>
        </w:tc>
        <w:tc>
          <w:tcPr>
            <w:tcW w:w="160" w:type="dxa"/>
            <w:vAlign w:val="bottom"/>
            <w:tcBorders>
              <w:top w:val="single" w:sz="8" w:color="793690"/>
            </w:tcBorders>
          </w:tcPr>
          <w:p>
            <w:pPr>
              <w:spacing w:after="0"/>
              <w:rPr>
                <w:sz w:val="18"/>
                <w:szCs w:val="18"/>
                <w:color w:val="auto"/>
              </w:rPr>
            </w:pPr>
          </w:p>
        </w:tc>
        <w:tc>
          <w:tcPr>
            <w:tcW w:w="160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31,188.3</w:t>
            </w:r>
          </w:p>
        </w:tc>
        <w:tc>
          <w:tcPr>
            <w:tcW w:w="440" w:type="dxa"/>
            <w:vAlign w:val="bottom"/>
            <w:tcBorders>
              <w:top w:val="single" w:sz="8" w:color="793690"/>
            </w:tcBorders>
          </w:tcPr>
          <w:p>
            <w:pPr>
              <w:spacing w:after="0"/>
              <w:rPr>
                <w:sz w:val="18"/>
                <w:szCs w:val="18"/>
                <w:color w:val="auto"/>
              </w:rPr>
            </w:pPr>
          </w:p>
        </w:tc>
        <w:tc>
          <w:tcPr>
            <w:tcW w:w="116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24,312.5</w:t>
            </w:r>
          </w:p>
        </w:tc>
      </w:tr>
      <w:tr>
        <w:trPr>
          <w:trHeight w:val="20"/>
        </w:trPr>
        <w:tc>
          <w:tcPr>
            <w:tcW w:w="4660" w:type="dxa"/>
            <w:vAlign w:val="bottom"/>
            <w:shd w:val="clear" w:color="auto" w:fill="793690"/>
          </w:tcPr>
          <w:p>
            <w:pPr>
              <w:spacing w:after="0" w:line="20" w:lineRule="exact"/>
              <w:rPr>
                <w:sz w:val="1"/>
                <w:szCs w:val="1"/>
                <w:color w:val="auto"/>
              </w:rPr>
            </w:pPr>
          </w:p>
        </w:tc>
        <w:tc>
          <w:tcPr>
            <w:tcW w:w="1600" w:type="dxa"/>
            <w:vAlign w:val="bottom"/>
            <w:shd w:val="clear" w:color="auto" w:fill="793690"/>
          </w:tcPr>
          <w:p>
            <w:pPr>
              <w:spacing w:after="0" w:line="20" w:lineRule="exact"/>
              <w:rPr>
                <w:sz w:val="1"/>
                <w:szCs w:val="1"/>
                <w:color w:val="auto"/>
              </w:rPr>
            </w:pPr>
          </w:p>
        </w:tc>
        <w:tc>
          <w:tcPr>
            <w:tcW w:w="440" w:type="dxa"/>
            <w:vAlign w:val="bottom"/>
            <w:shd w:val="clear" w:color="auto" w:fill="793690"/>
          </w:tcPr>
          <w:p>
            <w:pPr>
              <w:spacing w:after="0" w:line="20" w:lineRule="exact"/>
              <w:rPr>
                <w:sz w:val="1"/>
                <w:szCs w:val="1"/>
                <w:color w:val="auto"/>
              </w:rPr>
            </w:pPr>
          </w:p>
        </w:tc>
        <w:tc>
          <w:tcPr>
            <w:tcW w:w="1160" w:type="dxa"/>
            <w:vAlign w:val="bottom"/>
            <w:shd w:val="clear" w:color="auto" w:fill="793690"/>
          </w:tcPr>
          <w:p>
            <w:pPr>
              <w:spacing w:after="0" w:line="20" w:lineRule="exact"/>
              <w:rPr>
                <w:sz w:val="1"/>
                <w:szCs w:val="1"/>
                <w:color w:val="auto"/>
              </w:rPr>
            </w:pPr>
          </w:p>
        </w:tc>
        <w:tc>
          <w:tcPr>
            <w:tcW w:w="160" w:type="dxa"/>
            <w:vAlign w:val="bottom"/>
            <w:shd w:val="clear" w:color="auto" w:fill="793690"/>
          </w:tcPr>
          <w:p>
            <w:pPr>
              <w:spacing w:after="0" w:line="20" w:lineRule="exact"/>
              <w:rPr>
                <w:sz w:val="1"/>
                <w:szCs w:val="1"/>
                <w:color w:val="auto"/>
              </w:rPr>
            </w:pPr>
          </w:p>
        </w:tc>
        <w:tc>
          <w:tcPr>
            <w:tcW w:w="1600" w:type="dxa"/>
            <w:vAlign w:val="bottom"/>
            <w:shd w:val="clear" w:color="auto" w:fill="793690"/>
          </w:tcPr>
          <w:p>
            <w:pPr>
              <w:spacing w:after="0" w:line="20" w:lineRule="exact"/>
              <w:rPr>
                <w:sz w:val="1"/>
                <w:szCs w:val="1"/>
                <w:color w:val="auto"/>
              </w:rPr>
            </w:pPr>
          </w:p>
        </w:tc>
        <w:tc>
          <w:tcPr>
            <w:tcW w:w="440" w:type="dxa"/>
            <w:vAlign w:val="bottom"/>
            <w:shd w:val="clear" w:color="auto" w:fill="793690"/>
          </w:tcPr>
          <w:p>
            <w:pPr>
              <w:spacing w:after="0" w:line="20" w:lineRule="exact"/>
              <w:rPr>
                <w:sz w:val="1"/>
                <w:szCs w:val="1"/>
                <w:color w:val="auto"/>
              </w:rPr>
            </w:pPr>
          </w:p>
        </w:tc>
        <w:tc>
          <w:tcPr>
            <w:tcW w:w="1160" w:type="dxa"/>
            <w:vAlign w:val="bottom"/>
            <w:shd w:val="clear" w:color="auto" w:fill="793690"/>
          </w:tcPr>
          <w:p>
            <w:pPr>
              <w:spacing w:after="0" w:line="20" w:lineRule="exact"/>
              <w:rPr>
                <w:sz w:val="1"/>
                <w:szCs w:val="1"/>
                <w:color w:val="auto"/>
              </w:rPr>
            </w:pPr>
          </w:p>
        </w:tc>
      </w:tr>
    </w:tbl>
    <w:p>
      <w:pPr>
        <w:spacing w:after="0" w:line="216" w:lineRule="exact"/>
        <w:rPr>
          <w:sz w:val="20"/>
          <w:szCs w:val="20"/>
          <w:color w:val="auto"/>
        </w:rPr>
      </w:pPr>
    </w:p>
    <w:p>
      <w:pPr>
        <w:ind w:left="160" w:right="160" w:hanging="152"/>
        <w:spacing w:after="0" w:line="257" w:lineRule="auto"/>
        <w:tabs>
          <w:tab w:leader="none" w:pos="228" w:val="left"/>
        </w:tabs>
        <w:numPr>
          <w:ilvl w:val="0"/>
          <w:numId w:val="26"/>
        </w:numPr>
        <w:rPr>
          <w:rFonts w:ascii="Arial" w:cs="Arial" w:eastAsia="Arial" w:hAnsi="Arial"/>
          <w:sz w:val="11"/>
          <w:szCs w:val="11"/>
          <w:color w:val="auto"/>
        </w:rPr>
      </w:pPr>
      <w:r>
        <w:rPr>
          <w:rFonts w:ascii="Arial" w:cs="Arial" w:eastAsia="Arial" w:hAnsi="Arial"/>
          <w:sz w:val="11"/>
          <w:szCs w:val="11"/>
          <w:color w:val="auto"/>
        </w:rPr>
        <w:t>Non-current assets included in Group total assets as at 30 June 2025 amounted to $398.9m (31 December 2024: $337.7m), being $330.6m in the United Kingdom (31 December 2024: $259.6m), $49.0m in the United States (31 December 2024: $61.7m) and $19.3m in the rest of the world (31 December 2024: $16.4m). Non-current assets for this purpose consist of goodwill, intangible assets, property, plant and equipment, right-of-use assets and investments.</w:t>
      </w:r>
    </w:p>
    <w:p>
      <w:pPr>
        <w:spacing w:after="0" w:line="197" w:lineRule="exact"/>
        <w:rPr>
          <w:sz w:val="20"/>
          <w:szCs w:val="20"/>
          <w:color w:val="auto"/>
        </w:rPr>
      </w:pPr>
    </w:p>
    <w:p>
      <w:pPr>
        <w:ind w:right="260"/>
        <w:spacing w:after="0" w:line="283" w:lineRule="auto"/>
        <w:rPr>
          <w:sz w:val="20"/>
          <w:szCs w:val="20"/>
          <w:color w:val="auto"/>
        </w:rPr>
      </w:pPr>
      <w:r>
        <w:rPr>
          <w:rFonts w:ascii="Arial" w:cs="Arial" w:eastAsia="Arial" w:hAnsi="Arial"/>
          <w:sz w:val="15"/>
          <w:szCs w:val="15"/>
          <w:color w:val="auto"/>
        </w:rPr>
        <w:t>The balances in Rest of the world mainly consist of those from countries in Europe and the Asia Pacific region, none of which are individually material for separate disclosure.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4 Tax</w:t>
      </w:r>
    </w:p>
    <w:p>
      <w:pPr>
        <w:spacing w:after="0" w:line="24" w:lineRule="exact"/>
        <w:rPr>
          <w:sz w:val="20"/>
          <w:szCs w:val="20"/>
          <w:color w:val="auto"/>
        </w:rPr>
      </w:pPr>
    </w:p>
    <w:p>
      <w:pPr>
        <w:ind w:right="180"/>
        <w:spacing w:after="0" w:line="263" w:lineRule="auto"/>
        <w:rPr>
          <w:sz w:val="20"/>
          <w:szCs w:val="20"/>
          <w:color w:val="auto"/>
        </w:rPr>
      </w:pPr>
      <w:r>
        <w:rPr>
          <w:rFonts w:ascii="Arial" w:cs="Arial" w:eastAsia="Arial" w:hAnsi="Arial"/>
          <w:sz w:val="15"/>
          <w:szCs w:val="15"/>
          <w:color w:val="auto"/>
        </w:rPr>
        <w:t>The effective rate of tax on profit before tax is 26% for the period ended 30 June 2025 (H1 2024: 26%). The effective tax rate is greater than the statutory tax rate in the UK of 25% due to the jurisdictional profit mix of the group.</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5 Dividends Paid and Proposed</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Dividends of $20.7m were paid to ordinary shareholders and $6.6m to holders of AT1 securities during the period ended 30 June 2025 (30 June 2024: ordinary</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dividends: $44.1m, AT1 securities dividends: $6.6m). Please refer to note </w:t>
      </w:r>
      <w:r>
        <w:rPr>
          <w:rFonts w:ascii="Arial" w:cs="Arial" w:eastAsia="Arial" w:hAnsi="Arial"/>
          <w:sz w:val="15"/>
          <w:szCs w:val="15"/>
          <w:u w:val="single" w:color="auto"/>
          <w:color w:val="auto"/>
        </w:rPr>
        <w:t>18</w:t>
      </w:r>
      <w:r>
        <w:rPr>
          <w:rFonts w:ascii="Arial" w:cs="Arial" w:eastAsia="Arial" w:hAnsi="Arial"/>
          <w:sz w:val="15"/>
          <w:szCs w:val="15"/>
          <w:color w:val="auto"/>
        </w:rPr>
        <w:t xml:space="preserve"> for Dividends that are proposed and expected to be paid post period end.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6 Business Combinations</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Acquisition of Aarna Capital Limited</w:t>
      </w:r>
    </w:p>
    <w:p>
      <w:pPr>
        <w:spacing w:after="0" w:line="17" w:lineRule="exact"/>
        <w:rPr>
          <w:sz w:val="20"/>
          <w:szCs w:val="20"/>
          <w:color w:val="auto"/>
        </w:rPr>
      </w:pPr>
    </w:p>
    <w:p>
      <w:pPr>
        <w:ind w:right="260"/>
        <w:spacing w:after="0" w:line="263" w:lineRule="auto"/>
        <w:rPr>
          <w:sz w:val="20"/>
          <w:szCs w:val="20"/>
          <w:color w:val="auto"/>
        </w:rPr>
      </w:pPr>
      <w:r>
        <w:rPr>
          <w:rFonts w:ascii="Arial" w:cs="Arial" w:eastAsia="Arial" w:hAnsi="Arial"/>
          <w:sz w:val="15"/>
          <w:szCs w:val="15"/>
          <w:color w:val="auto"/>
        </w:rPr>
        <w:t>On 27 March 2025, the Group acquired the fully issued share capital of the Aarna Group ("Aarna") which collectively comprises of Aarna Capital Limited, ACL Holdings Limited and ACL Capital (IFSC) Private Limited. Aarna provides clearing, execution and customised risk management solutions in the Middle East expanding the Group's operations and growing its clearing business. The acquisition of Aarna provides the Group with additional capabilities in a new location and access to approximately 180 local clients, which include institutional investors, family offices and corporate clients.</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auto"/>
        </w:rPr>
        <w:t>The preliminary consideration for the acquisition consisted of the fixed premium of $48.5m and the net asset value of $10.4m totalling $58.9m.</w:t>
      </w:r>
    </w:p>
    <w:p>
      <w:pPr>
        <w:sectPr>
          <w:pgSz w:w="11900" w:h="16838" w:orient="portrait"/>
          <w:cols w:equalWidth="0" w:num="1">
            <w:col w:w="11220"/>
          </w:cols>
          <w:pgMar w:left="320" w:top="1353" w:right="359" w:bottom="9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12</w:t>
      </w:r>
    </w:p>
    <w:p>
      <w:pPr>
        <w:sectPr>
          <w:pgSz w:w="11900" w:h="16838" w:orient="portrait"/>
          <w:cols w:equalWidth="0" w:num="1">
            <w:col w:w="11220"/>
          </w:cols>
          <w:pgMar w:left="320" w:top="1353" w:right="359" w:bottom="970" w:gutter="0" w:footer="0" w:header="0"/>
          <w:type w:val="continuous"/>
        </w:sectPr>
      </w:pPr>
    </w:p>
    <w:bookmarkStart w:id="33" w:name="page34"/>
    <w:bookmarkEnd w:id="33"/>
    <w:p>
      <w:pPr>
        <w:spacing w:after="0"/>
        <w:rPr>
          <w:sz w:val="20"/>
          <w:szCs w:val="20"/>
          <w:color w:val="auto"/>
        </w:rPr>
      </w:pPr>
      <w:r>
        <w:rPr>
          <w:rFonts w:ascii="Arial" w:cs="Arial" w:eastAsia="Arial" w:hAnsi="Arial"/>
          <w:sz w:val="22"/>
          <w:szCs w:val="22"/>
          <w:b w:val="1"/>
          <w:bCs w:val="1"/>
          <w:color w:val="793690"/>
        </w:rPr>
        <w:t xml:space="preserve">Notes to the Unaudited Condensed Consolidated Financial Statements </w:t>
      </w:r>
      <w:r>
        <w:rPr>
          <w:rFonts w:ascii="Arial" w:cs="Arial" w:eastAsia="Arial" w:hAnsi="Arial"/>
          <w:sz w:val="22"/>
          <w:szCs w:val="22"/>
          <w:color w:val="793690"/>
        </w:rPr>
        <w:t>(continued)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 xml:space="preserve">6 Business Combinations </w:t>
      </w:r>
      <w:r>
        <w:rPr>
          <w:rFonts w:ascii="Arial" w:cs="Arial" w:eastAsia="Arial" w:hAnsi="Arial"/>
          <w:sz w:val="18"/>
          <w:szCs w:val="18"/>
          <w:color w:val="793690"/>
        </w:rPr>
        <w:t>(continued)</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 Acquisition of Aarna Capital Limited </w:t>
      </w:r>
      <w:r>
        <w:rPr>
          <w:rFonts w:ascii="Arial" w:cs="Arial" w:eastAsia="Arial" w:hAnsi="Arial"/>
          <w:sz w:val="15"/>
          <w:szCs w:val="15"/>
          <w:color w:val="auto"/>
        </w:rPr>
        <w:t>(continued)</w:t>
      </w:r>
    </w:p>
    <w:p>
      <w:pPr>
        <w:spacing w:after="0" w:line="3"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The Group is currently in the process of determining the final net asset value with the buyer and thus the provisional accounting is based on the following preliminary values: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20" w:type="dxa"/>
            <w:vAlign w:val="bottom"/>
            <w:tcBorders>
              <w:bottom w:val="single" w:sz="8" w:color="793690"/>
            </w:tcBorders>
          </w:tcPr>
          <w:p>
            <w:pPr>
              <w:spacing w:after="0"/>
              <w:rPr>
                <w:sz w:val="17"/>
                <w:szCs w:val="17"/>
                <w:color w:val="auto"/>
              </w:rPr>
            </w:pPr>
          </w:p>
        </w:tc>
        <w:tc>
          <w:tcPr>
            <w:tcW w:w="1600" w:type="dxa"/>
            <w:vAlign w:val="bottom"/>
            <w:tcBorders>
              <w:bottom w:val="single" w:sz="8" w:color="793690"/>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r>
      <w:tr>
        <w:trPr>
          <w:trHeight w:val="242"/>
        </w:trPr>
        <w:tc>
          <w:tcPr>
            <w:tcW w:w="9620" w:type="dxa"/>
            <w:vAlign w:val="bottom"/>
          </w:tcPr>
          <w:p>
            <w:pPr>
              <w:ind w:left="20"/>
              <w:spacing w:after="0"/>
              <w:rPr>
                <w:sz w:val="20"/>
                <w:szCs w:val="20"/>
                <w:color w:val="auto"/>
              </w:rPr>
            </w:pPr>
            <w:r>
              <w:rPr>
                <w:rFonts w:ascii="Arial" w:cs="Arial" w:eastAsia="Arial" w:hAnsi="Arial"/>
                <w:sz w:val="15"/>
                <w:szCs w:val="15"/>
                <w:color w:val="auto"/>
              </w:rPr>
              <w:t>Initial cash consideration</w:t>
            </w:r>
          </w:p>
        </w:tc>
        <w:tc>
          <w:tcPr>
            <w:tcW w:w="160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58.9</w:t>
            </w:r>
          </w:p>
        </w:tc>
      </w:tr>
      <w:tr>
        <w:trPr>
          <w:trHeight w:val="237"/>
        </w:trPr>
        <w:tc>
          <w:tcPr>
            <w:tcW w:w="962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Total consideration</w:t>
            </w:r>
          </w:p>
        </w:tc>
        <w:tc>
          <w:tcPr>
            <w:tcW w:w="160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58.9</w:t>
            </w:r>
          </w:p>
        </w:tc>
      </w:tr>
      <w:tr>
        <w:trPr>
          <w:trHeight w:val="196"/>
        </w:trPr>
        <w:tc>
          <w:tcPr>
            <w:tcW w:w="9620" w:type="dxa"/>
            <w:vAlign w:val="bottom"/>
            <w:tcBorders>
              <w:top w:val="single" w:sz="8" w:color="793690"/>
              <w:bottom w:val="single" w:sz="8" w:color="DADAE7"/>
            </w:tcBorders>
          </w:tcPr>
          <w:p>
            <w:pPr>
              <w:spacing w:after="0"/>
              <w:rPr>
                <w:sz w:val="17"/>
                <w:szCs w:val="17"/>
                <w:color w:val="auto"/>
              </w:rPr>
            </w:pPr>
          </w:p>
        </w:tc>
        <w:tc>
          <w:tcPr>
            <w:tcW w:w="1600" w:type="dxa"/>
            <w:vAlign w:val="bottom"/>
            <w:tcBorders>
              <w:top w:val="single" w:sz="8" w:color="793690"/>
              <w:bottom w:val="single" w:sz="8" w:color="DADAE7"/>
            </w:tcBorders>
            <w:shd w:val="clear" w:color="auto" w:fill="F4EFF6"/>
          </w:tcPr>
          <w:p>
            <w:pPr>
              <w:spacing w:after="0"/>
              <w:rPr>
                <w:sz w:val="17"/>
                <w:szCs w:val="17"/>
                <w:color w:val="auto"/>
              </w:rPr>
            </w:pPr>
          </w:p>
        </w:tc>
      </w:tr>
      <w:tr>
        <w:trPr>
          <w:trHeight w:val="237"/>
        </w:trPr>
        <w:tc>
          <w:tcPr>
            <w:tcW w:w="9620" w:type="dxa"/>
            <w:vAlign w:val="bottom"/>
          </w:tcPr>
          <w:p>
            <w:pPr>
              <w:ind w:left="20"/>
              <w:spacing w:after="0"/>
              <w:rPr>
                <w:sz w:val="20"/>
                <w:szCs w:val="20"/>
                <w:color w:val="auto"/>
              </w:rPr>
            </w:pPr>
            <w:r>
              <w:rPr>
                <w:rFonts w:ascii="Arial" w:cs="Arial" w:eastAsia="Arial" w:hAnsi="Arial"/>
                <w:sz w:val="15"/>
                <w:szCs w:val="15"/>
                <w:color w:val="auto"/>
              </w:rPr>
              <w:t>Fair value of identifiable net assets:</w:t>
            </w:r>
          </w:p>
        </w:tc>
        <w:tc>
          <w:tcPr>
            <w:tcW w:w="1600" w:type="dxa"/>
            <w:vAlign w:val="bottom"/>
            <w:tcBorders>
              <w:bottom w:val="single" w:sz="8" w:color="F4EFF6"/>
            </w:tcBorders>
            <w:shd w:val="clear" w:color="auto" w:fill="F4EFF6"/>
          </w:tcPr>
          <w:p>
            <w:pPr>
              <w:spacing w:after="0"/>
              <w:rPr>
                <w:sz w:val="20"/>
                <w:szCs w:val="20"/>
                <w:color w:val="auto"/>
              </w:rPr>
            </w:pPr>
          </w:p>
        </w:tc>
      </w:tr>
      <w:tr>
        <w:trPr>
          <w:trHeight w:val="237"/>
        </w:trPr>
        <w:tc>
          <w:tcPr>
            <w:tcW w:w="96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Intangible assets</w:t>
            </w:r>
          </w:p>
        </w:tc>
        <w:tc>
          <w:tcPr>
            <w:tcW w:w="16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14.1</w:t>
            </w:r>
          </w:p>
        </w:tc>
      </w:tr>
      <w:tr>
        <w:trPr>
          <w:trHeight w:val="237"/>
        </w:trPr>
        <w:tc>
          <w:tcPr>
            <w:tcW w:w="96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Property, plant and equipment</w:t>
            </w:r>
          </w:p>
        </w:tc>
        <w:tc>
          <w:tcPr>
            <w:tcW w:w="16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0.3</w:t>
            </w:r>
          </w:p>
        </w:tc>
      </w:tr>
      <w:tr>
        <w:trPr>
          <w:trHeight w:val="237"/>
        </w:trPr>
        <w:tc>
          <w:tcPr>
            <w:tcW w:w="96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Right-of-use asset</w:t>
            </w:r>
          </w:p>
        </w:tc>
        <w:tc>
          <w:tcPr>
            <w:tcW w:w="16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1.1</w:t>
            </w:r>
          </w:p>
        </w:tc>
      </w:tr>
      <w:tr>
        <w:trPr>
          <w:trHeight w:val="236"/>
        </w:trPr>
        <w:tc>
          <w:tcPr>
            <w:tcW w:w="96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Trade and other receivables</w:t>
            </w:r>
          </w:p>
        </w:tc>
        <w:tc>
          <w:tcPr>
            <w:tcW w:w="16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200.7</w:t>
            </w:r>
          </w:p>
        </w:tc>
      </w:tr>
      <w:tr>
        <w:trPr>
          <w:trHeight w:val="237"/>
        </w:trPr>
        <w:tc>
          <w:tcPr>
            <w:tcW w:w="96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Derivative instruments - asset</w:t>
            </w:r>
          </w:p>
        </w:tc>
        <w:tc>
          <w:tcPr>
            <w:tcW w:w="16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45.5</w:t>
            </w:r>
          </w:p>
        </w:tc>
      </w:tr>
      <w:tr>
        <w:trPr>
          <w:trHeight w:val="237"/>
        </w:trPr>
        <w:tc>
          <w:tcPr>
            <w:tcW w:w="96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Cash and cash equivalents</w:t>
            </w:r>
          </w:p>
        </w:tc>
        <w:tc>
          <w:tcPr>
            <w:tcW w:w="16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92.3</w:t>
            </w:r>
          </w:p>
        </w:tc>
      </w:tr>
      <w:tr>
        <w:trPr>
          <w:trHeight w:val="237"/>
        </w:trPr>
        <w:tc>
          <w:tcPr>
            <w:tcW w:w="96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Lease liability</w:t>
            </w:r>
          </w:p>
        </w:tc>
        <w:tc>
          <w:tcPr>
            <w:tcW w:w="16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(1.0)</w:t>
            </w:r>
          </w:p>
        </w:tc>
      </w:tr>
      <w:tr>
        <w:trPr>
          <w:trHeight w:val="236"/>
        </w:trPr>
        <w:tc>
          <w:tcPr>
            <w:tcW w:w="96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Trade and other payables</w:t>
            </w:r>
          </w:p>
        </w:tc>
        <w:tc>
          <w:tcPr>
            <w:tcW w:w="16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(288.8)</w:t>
            </w:r>
          </w:p>
        </w:tc>
      </w:tr>
      <w:tr>
        <w:trPr>
          <w:trHeight w:val="237"/>
        </w:trPr>
        <w:tc>
          <w:tcPr>
            <w:tcW w:w="96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Corporation tax</w:t>
            </w:r>
          </w:p>
        </w:tc>
        <w:tc>
          <w:tcPr>
            <w:tcW w:w="16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(1.0)</w:t>
            </w:r>
          </w:p>
        </w:tc>
      </w:tr>
      <w:tr>
        <w:trPr>
          <w:trHeight w:val="237"/>
        </w:trPr>
        <w:tc>
          <w:tcPr>
            <w:tcW w:w="96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Derivative instruments - liability</w:t>
            </w:r>
          </w:p>
        </w:tc>
        <w:tc>
          <w:tcPr>
            <w:tcW w:w="16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(38.7)</w:t>
            </w:r>
          </w:p>
        </w:tc>
      </w:tr>
      <w:tr>
        <w:trPr>
          <w:trHeight w:val="237"/>
        </w:trPr>
        <w:tc>
          <w:tcPr>
            <w:tcW w:w="96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Deferred tax liability</w:t>
            </w:r>
          </w:p>
        </w:tc>
        <w:tc>
          <w:tcPr>
            <w:tcW w:w="16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(1.3)</w:t>
            </w:r>
          </w:p>
        </w:tc>
      </w:tr>
      <w:tr>
        <w:trPr>
          <w:trHeight w:val="236"/>
        </w:trPr>
        <w:tc>
          <w:tcPr>
            <w:tcW w:w="962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Total fair value of identifiable assets and liabilities</w:t>
            </w:r>
          </w:p>
        </w:tc>
        <w:tc>
          <w:tcPr>
            <w:tcW w:w="160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23.2</w:t>
            </w:r>
          </w:p>
        </w:tc>
      </w:tr>
      <w:tr>
        <w:trPr>
          <w:trHeight w:val="217"/>
        </w:trPr>
        <w:tc>
          <w:tcPr>
            <w:tcW w:w="962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Goodwill</w:t>
            </w:r>
          </w:p>
        </w:tc>
        <w:tc>
          <w:tcPr>
            <w:tcW w:w="160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35.7</w:t>
            </w:r>
          </w:p>
        </w:tc>
      </w:tr>
      <w:tr>
        <w:trPr>
          <w:trHeight w:val="20"/>
        </w:trPr>
        <w:tc>
          <w:tcPr>
            <w:tcW w:w="9620" w:type="dxa"/>
            <w:vAlign w:val="bottom"/>
            <w:shd w:val="clear" w:color="auto" w:fill="793690"/>
          </w:tcPr>
          <w:p>
            <w:pPr>
              <w:spacing w:after="0" w:line="20" w:lineRule="exact"/>
              <w:rPr>
                <w:sz w:val="1"/>
                <w:szCs w:val="1"/>
                <w:color w:val="auto"/>
              </w:rPr>
            </w:pPr>
          </w:p>
        </w:tc>
        <w:tc>
          <w:tcPr>
            <w:tcW w:w="1600" w:type="dxa"/>
            <w:vAlign w:val="bottom"/>
            <w:shd w:val="clear" w:color="auto" w:fill="793690"/>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Trade and other receivables</w:t>
      </w:r>
    </w:p>
    <w:p>
      <w:pPr>
        <w:spacing w:after="0" w:line="28" w:lineRule="exact"/>
        <w:rPr>
          <w:sz w:val="20"/>
          <w:szCs w:val="20"/>
          <w:color w:val="auto"/>
        </w:rPr>
      </w:pPr>
    </w:p>
    <w:p>
      <w:pPr>
        <w:jc w:val="both"/>
        <w:ind w:right="20"/>
        <w:spacing w:after="0" w:line="267" w:lineRule="auto"/>
        <w:rPr>
          <w:sz w:val="20"/>
          <w:szCs w:val="20"/>
          <w:color w:val="auto"/>
        </w:rPr>
      </w:pPr>
      <w:r>
        <w:rPr>
          <w:rFonts w:ascii="Arial" w:cs="Arial" w:eastAsia="Arial" w:hAnsi="Arial"/>
          <w:sz w:val="15"/>
          <w:szCs w:val="15"/>
          <w:color w:val="auto"/>
        </w:rPr>
        <w:t>Trade and other receivables mainly consist of broker balances of $184.1m. The fair value and gross contractual amounts of other receivables approximates their book value.</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Acquisition related costs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Costs directly related to the acquisition (included in other expenses) consist mainly of legal expenses totalling $2.7m.</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Contribution to the Group's results</w:t>
      </w:r>
    </w:p>
    <w:p>
      <w:pPr>
        <w:spacing w:after="0" w:line="28" w:lineRule="exact"/>
        <w:rPr>
          <w:sz w:val="20"/>
          <w:szCs w:val="20"/>
          <w:color w:val="auto"/>
        </w:rPr>
      </w:pPr>
    </w:p>
    <w:p>
      <w:pPr>
        <w:ind w:right="180"/>
        <w:spacing w:after="0" w:line="265" w:lineRule="auto"/>
        <w:rPr>
          <w:sz w:val="20"/>
          <w:szCs w:val="20"/>
          <w:color w:val="auto"/>
        </w:rPr>
      </w:pPr>
      <w:r>
        <w:rPr>
          <w:rFonts w:ascii="Arial" w:cs="Arial" w:eastAsia="Arial" w:hAnsi="Arial"/>
          <w:sz w:val="15"/>
          <w:szCs w:val="15"/>
          <w:color w:val="auto"/>
        </w:rPr>
        <w:t>Aarna contributed $7.0m revenue and profit before tax of $3.5m to the Group’s results for the period between the date of acquisition and the reporting date. If the acquisition of Aarna had been completed on the first day of the financial year, Group revenue for the period would have increased by $4.6m and Group profit before tax would have increased by $3.0m.</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Goodwill</w:t>
      </w:r>
    </w:p>
    <w:p>
      <w:pPr>
        <w:spacing w:after="0" w:line="28"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The goodwill recognised on acquisition relates to the expected growth and revenue synergies with the Group's existing product and service offerings and the valuation of Aarna's workforce which cannot be separately recognised as an intangible asset.</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Pre-existing relationship</w:t>
      </w:r>
    </w:p>
    <w:p>
      <w:pPr>
        <w:spacing w:after="0" w:line="125" w:lineRule="exact"/>
        <w:rPr>
          <w:sz w:val="20"/>
          <w:szCs w:val="20"/>
          <w:color w:val="auto"/>
        </w:rPr>
      </w:pPr>
    </w:p>
    <w:p>
      <w:pPr>
        <w:ind w:right="80"/>
        <w:spacing w:after="0" w:line="283" w:lineRule="auto"/>
        <w:rPr>
          <w:sz w:val="20"/>
          <w:szCs w:val="20"/>
          <w:color w:val="auto"/>
        </w:rPr>
      </w:pPr>
      <w:r>
        <w:rPr>
          <w:rFonts w:ascii="Arial" w:cs="Arial" w:eastAsia="Arial" w:hAnsi="Arial"/>
          <w:sz w:val="15"/>
          <w:szCs w:val="15"/>
          <w:color w:val="auto"/>
        </w:rPr>
        <w:t>Prior to the acquisition, the Group had a pre-existing relationship with Aarna owing to the brokerage services offered by the Group. The broker balance at the point of acquisition amounted to $114.2m and was deemed to be settled at the point of acquisition.</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 Acquisition of Darton Group Limited</w:t>
      </w:r>
    </w:p>
    <w:p>
      <w:pPr>
        <w:spacing w:after="0" w:line="19" w:lineRule="exact"/>
        <w:rPr>
          <w:sz w:val="20"/>
          <w:szCs w:val="20"/>
          <w:color w:val="auto"/>
        </w:rPr>
      </w:pPr>
    </w:p>
    <w:p>
      <w:pPr>
        <w:ind w:right="180"/>
        <w:spacing w:after="0" w:line="263" w:lineRule="auto"/>
        <w:rPr>
          <w:sz w:val="20"/>
          <w:szCs w:val="20"/>
          <w:color w:val="auto"/>
        </w:rPr>
      </w:pPr>
      <w:r>
        <w:rPr>
          <w:rFonts w:ascii="Arial" w:cs="Arial" w:eastAsia="Arial" w:hAnsi="Arial"/>
          <w:sz w:val="15"/>
          <w:szCs w:val="15"/>
          <w:color w:val="auto"/>
        </w:rPr>
        <w:t>On 25 March 2025, the Group acquired the fully issued share capital of Darton Group Limited, ("Darton"), a metals trader based in the United Kingdom. The interest was acquired from several individual shareholders for a consideration of £1 resulting in an expected bargain purchase gain of $3.6m based on estimates from the provisional accounting of the transaction. The gain arose due to the entity encountering a market dislocation between the physical price and the quoted derivatives price resulting in liquidity constraints which provided the Group an opportunity to purchase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13</w:t>
      </w:r>
    </w:p>
    <w:p>
      <w:pPr>
        <w:sectPr>
          <w:pgSz w:w="11900" w:h="16838" w:orient="portrait"/>
          <w:cols w:equalWidth="0" w:num="1">
            <w:col w:w="11240"/>
          </w:cols>
          <w:pgMar w:left="320" w:top="1353" w:right="33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color w:val="793690"/>
        </w:rPr>
        <w:t xml:space="preserve">Notes to the Unaudited Condensed Consolidated Financial Statements </w:t>
      </w:r>
      <w:r>
        <w:rPr>
          <w:rFonts w:ascii="Arial" w:cs="Arial" w:eastAsia="Arial" w:hAnsi="Arial"/>
          <w:sz w:val="22"/>
          <w:szCs w:val="22"/>
          <w:color w:val="793690"/>
        </w:rPr>
        <w:t>(continued)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 xml:space="preserve">6 Business Combinations </w:t>
      </w:r>
      <w:r>
        <w:rPr>
          <w:rFonts w:ascii="Arial" w:cs="Arial" w:eastAsia="Arial" w:hAnsi="Arial"/>
          <w:sz w:val="18"/>
          <w:szCs w:val="18"/>
          <w:color w:val="793690"/>
        </w:rPr>
        <w:t>(continued)</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 Acquisition of Darton Group Limited (continued)</w:t>
      </w:r>
    </w:p>
    <w:p>
      <w:pPr>
        <w:spacing w:after="0" w:line="3" w:lineRule="exact"/>
        <w:rPr>
          <w:sz w:val="20"/>
          <w:szCs w:val="20"/>
          <w:color w:val="auto"/>
        </w:rPr>
      </w:pPr>
    </w:p>
    <w:p>
      <w:pPr>
        <w:ind w:right="360"/>
        <w:spacing w:after="0" w:line="282" w:lineRule="auto"/>
        <w:rPr>
          <w:sz w:val="20"/>
          <w:szCs w:val="20"/>
          <w:color w:val="auto"/>
        </w:rPr>
      </w:pPr>
      <w:r>
        <w:rPr>
          <w:rFonts w:ascii="Arial" w:cs="Arial" w:eastAsia="Arial" w:hAnsi="Arial"/>
          <w:sz w:val="15"/>
          <w:szCs w:val="15"/>
          <w:color w:val="auto"/>
        </w:rPr>
        <w:t>A valuation exercise is currently in progress to determine the fair value of the assets acquired and liabilities assumed. The provisional accounting is based on the following preliminary values: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20" w:type="dxa"/>
            <w:vAlign w:val="bottom"/>
            <w:tcBorders>
              <w:bottom w:val="single" w:sz="8" w:color="793690"/>
            </w:tcBorders>
          </w:tcPr>
          <w:p>
            <w:pPr>
              <w:spacing w:after="0"/>
              <w:rPr>
                <w:sz w:val="17"/>
                <w:szCs w:val="17"/>
                <w:color w:val="auto"/>
              </w:rPr>
            </w:pPr>
          </w:p>
        </w:tc>
        <w:tc>
          <w:tcPr>
            <w:tcW w:w="1600" w:type="dxa"/>
            <w:vAlign w:val="bottom"/>
            <w:tcBorders>
              <w:bottom w:val="single" w:sz="8" w:color="793690"/>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r>
      <w:tr>
        <w:trPr>
          <w:trHeight w:val="242"/>
        </w:trPr>
        <w:tc>
          <w:tcPr>
            <w:tcW w:w="9620" w:type="dxa"/>
            <w:vAlign w:val="bottom"/>
          </w:tcPr>
          <w:p>
            <w:pPr>
              <w:ind w:left="20"/>
              <w:spacing w:after="0"/>
              <w:rPr>
                <w:sz w:val="20"/>
                <w:szCs w:val="20"/>
                <w:color w:val="auto"/>
              </w:rPr>
            </w:pPr>
            <w:r>
              <w:rPr>
                <w:rFonts w:ascii="Arial" w:cs="Arial" w:eastAsia="Arial" w:hAnsi="Arial"/>
                <w:sz w:val="15"/>
                <w:szCs w:val="15"/>
                <w:color w:val="auto"/>
              </w:rPr>
              <w:t>Initial cash consideration of £1</w:t>
            </w:r>
          </w:p>
        </w:tc>
        <w:tc>
          <w:tcPr>
            <w:tcW w:w="160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w:t>
            </w:r>
          </w:p>
        </w:tc>
      </w:tr>
      <w:tr>
        <w:trPr>
          <w:trHeight w:val="236"/>
        </w:trPr>
        <w:tc>
          <w:tcPr>
            <w:tcW w:w="962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Settlement of pre-existing liability</w:t>
            </w:r>
          </w:p>
        </w:tc>
        <w:tc>
          <w:tcPr>
            <w:tcW w:w="160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8.7</w:t>
            </w:r>
          </w:p>
        </w:tc>
      </w:tr>
      <w:tr>
        <w:trPr>
          <w:trHeight w:val="237"/>
        </w:trPr>
        <w:tc>
          <w:tcPr>
            <w:tcW w:w="962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Total consideration</w:t>
            </w:r>
          </w:p>
        </w:tc>
        <w:tc>
          <w:tcPr>
            <w:tcW w:w="160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8.7</w:t>
            </w:r>
          </w:p>
        </w:tc>
      </w:tr>
      <w:tr>
        <w:trPr>
          <w:trHeight w:val="439"/>
        </w:trPr>
        <w:tc>
          <w:tcPr>
            <w:tcW w:w="962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Fair value of identifiable net assets:</w:t>
            </w:r>
          </w:p>
        </w:tc>
        <w:tc>
          <w:tcPr>
            <w:tcW w:w="1600" w:type="dxa"/>
            <w:vAlign w:val="bottom"/>
            <w:tcBorders>
              <w:top w:val="single" w:sz="8" w:color="793690"/>
              <w:bottom w:val="single" w:sz="8" w:color="F4EFF6"/>
            </w:tcBorders>
            <w:shd w:val="clear" w:color="auto" w:fill="F4EFF6"/>
          </w:tcPr>
          <w:p>
            <w:pPr>
              <w:spacing w:after="0"/>
              <w:rPr>
                <w:sz w:val="24"/>
                <w:szCs w:val="24"/>
                <w:color w:val="auto"/>
              </w:rPr>
            </w:pPr>
          </w:p>
        </w:tc>
      </w:tr>
      <w:tr>
        <w:trPr>
          <w:trHeight w:val="237"/>
        </w:trPr>
        <w:tc>
          <w:tcPr>
            <w:tcW w:w="96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Inventory</w:t>
            </w:r>
          </w:p>
        </w:tc>
        <w:tc>
          <w:tcPr>
            <w:tcW w:w="16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25.9</w:t>
            </w:r>
          </w:p>
        </w:tc>
      </w:tr>
      <w:tr>
        <w:trPr>
          <w:trHeight w:val="236"/>
        </w:trPr>
        <w:tc>
          <w:tcPr>
            <w:tcW w:w="96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Trade and other receivables</w:t>
            </w:r>
          </w:p>
        </w:tc>
        <w:tc>
          <w:tcPr>
            <w:tcW w:w="16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7.3</w:t>
            </w:r>
          </w:p>
        </w:tc>
      </w:tr>
      <w:tr>
        <w:trPr>
          <w:trHeight w:val="237"/>
        </w:trPr>
        <w:tc>
          <w:tcPr>
            <w:tcW w:w="96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Cash and cash equivalents</w:t>
            </w:r>
          </w:p>
        </w:tc>
        <w:tc>
          <w:tcPr>
            <w:tcW w:w="16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0.3</w:t>
            </w:r>
          </w:p>
        </w:tc>
      </w:tr>
      <w:tr>
        <w:trPr>
          <w:trHeight w:val="237"/>
        </w:trPr>
        <w:tc>
          <w:tcPr>
            <w:tcW w:w="96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Trade and other payables</w:t>
            </w:r>
          </w:p>
        </w:tc>
        <w:tc>
          <w:tcPr>
            <w:tcW w:w="16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(0.7)</w:t>
            </w:r>
          </w:p>
        </w:tc>
      </w:tr>
      <w:tr>
        <w:trPr>
          <w:trHeight w:val="237"/>
        </w:trPr>
        <w:tc>
          <w:tcPr>
            <w:tcW w:w="96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Corporation tax</w:t>
            </w:r>
          </w:p>
        </w:tc>
        <w:tc>
          <w:tcPr>
            <w:tcW w:w="16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(0.3)</w:t>
            </w:r>
          </w:p>
        </w:tc>
      </w:tr>
      <w:tr>
        <w:trPr>
          <w:trHeight w:val="236"/>
        </w:trPr>
        <w:tc>
          <w:tcPr>
            <w:tcW w:w="96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Borrowings</w:t>
            </w:r>
          </w:p>
        </w:tc>
        <w:tc>
          <w:tcPr>
            <w:tcW w:w="16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(20.2)</w:t>
            </w:r>
          </w:p>
        </w:tc>
      </w:tr>
      <w:tr>
        <w:trPr>
          <w:trHeight w:val="237"/>
        </w:trPr>
        <w:tc>
          <w:tcPr>
            <w:tcW w:w="962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Total fair value of identifiable assets and liabilities</w:t>
            </w:r>
          </w:p>
        </w:tc>
        <w:tc>
          <w:tcPr>
            <w:tcW w:w="160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12.3</w:t>
            </w:r>
          </w:p>
        </w:tc>
      </w:tr>
      <w:tr>
        <w:trPr>
          <w:trHeight w:val="217"/>
        </w:trPr>
        <w:tc>
          <w:tcPr>
            <w:tcW w:w="962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Bargain purchase gain</w:t>
            </w:r>
          </w:p>
        </w:tc>
        <w:tc>
          <w:tcPr>
            <w:tcW w:w="160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(3.6)</w:t>
            </w:r>
          </w:p>
        </w:tc>
      </w:tr>
      <w:tr>
        <w:trPr>
          <w:trHeight w:val="20"/>
        </w:trPr>
        <w:tc>
          <w:tcPr>
            <w:tcW w:w="9620" w:type="dxa"/>
            <w:vAlign w:val="bottom"/>
            <w:shd w:val="clear" w:color="auto" w:fill="793690"/>
          </w:tcPr>
          <w:p>
            <w:pPr>
              <w:spacing w:after="0" w:line="20" w:lineRule="exact"/>
              <w:rPr>
                <w:sz w:val="1"/>
                <w:szCs w:val="1"/>
                <w:color w:val="auto"/>
              </w:rPr>
            </w:pPr>
          </w:p>
        </w:tc>
        <w:tc>
          <w:tcPr>
            <w:tcW w:w="1600" w:type="dxa"/>
            <w:vAlign w:val="bottom"/>
            <w:shd w:val="clear" w:color="auto" w:fill="793690"/>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Trade and other receivables</w:t>
      </w:r>
    </w:p>
    <w:p>
      <w:pPr>
        <w:spacing w:after="0" w:line="28" w:lineRule="exact"/>
        <w:rPr>
          <w:sz w:val="20"/>
          <w:szCs w:val="20"/>
          <w:color w:val="auto"/>
        </w:rPr>
      </w:pPr>
    </w:p>
    <w:p>
      <w:pPr>
        <w:ind w:right="60"/>
        <w:spacing w:after="0" w:line="267" w:lineRule="auto"/>
        <w:rPr>
          <w:sz w:val="20"/>
          <w:szCs w:val="20"/>
          <w:color w:val="auto"/>
        </w:rPr>
      </w:pPr>
      <w:r>
        <w:rPr>
          <w:rFonts w:ascii="Arial" w:cs="Arial" w:eastAsia="Arial" w:hAnsi="Arial"/>
          <w:sz w:val="15"/>
          <w:szCs w:val="15"/>
          <w:color w:val="auto"/>
        </w:rPr>
        <w:t>Trade and other receivables mainly consist of trade debtors of $6.8m. The fair value and gross contractual amounts of trade and other receivables approximates their book value.</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Acquisition related costs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Costs directly related to the acquisition (included in other expenses) consist mainly of legal expenses totalling $0.1m.</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Contribution to the Group's results</w:t>
      </w:r>
    </w:p>
    <w:p>
      <w:pPr>
        <w:spacing w:after="0" w:line="28"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Darton contributed revenue loss of $0.4m and a loss before tax of $0.9m to the Group's results for the period from the acquisition date of 25 March 2025 to 30 June 2025. Had the acquisition been completed on 1 January 2025, and the Group's accounting policies applied, Group revenue for the six months ended 30 June 2025 would have been $7.4m lower and Group would have incurred an additional loss before tax of $ 8.4m. These pro forma amounts are based on Darton's standalone results for the period prior to acquisition, adjusted for differences in accounting policies, and are provided for illustrative purposes only. At the acquisition date, the total consideration included the settlement of a pre-existing margin loan receivable of $8.7m that Marex Financial Limited held with Darton.</w:t>
      </w:r>
    </w:p>
    <w:p>
      <w:pPr>
        <w:spacing w:after="0" w:line="3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 Other</w:t>
      </w:r>
    </w:p>
    <w:p>
      <w:pPr>
        <w:spacing w:after="0" w:line="19" w:lineRule="exact"/>
        <w:rPr>
          <w:sz w:val="20"/>
          <w:szCs w:val="20"/>
          <w:color w:val="auto"/>
        </w:rPr>
      </w:pPr>
    </w:p>
    <w:p>
      <w:pPr>
        <w:ind w:left="160" w:right="320" w:hanging="152"/>
        <w:spacing w:after="0" w:line="282" w:lineRule="auto"/>
        <w:tabs>
          <w:tab w:leader="none" w:pos="155" w:val="left"/>
        </w:tabs>
        <w:numPr>
          <w:ilvl w:val="0"/>
          <w:numId w:val="27"/>
        </w:numPr>
        <w:rPr>
          <w:rFonts w:ascii="Arial" w:cs="Arial" w:eastAsia="Arial" w:hAnsi="Arial"/>
          <w:sz w:val="15"/>
          <w:szCs w:val="15"/>
          <w:color w:val="505068"/>
        </w:rPr>
      </w:pPr>
      <w:r>
        <w:rPr>
          <w:rFonts w:ascii="Arial" w:cs="Arial" w:eastAsia="Arial" w:hAnsi="Arial"/>
          <w:sz w:val="15"/>
          <w:szCs w:val="15"/>
          <w:color w:val="auto"/>
        </w:rPr>
        <w:t>During the period, the Group also made an acquisition of Edgemere Terminals Limited, resulting in the recognition of goodwill of $2.9m and a contribution to net cash flow of $2.6m.</w:t>
      </w:r>
    </w:p>
    <w:p>
      <w:pPr>
        <w:spacing w:after="0" w:line="53" w:lineRule="exact"/>
        <w:rPr>
          <w:rFonts w:ascii="Arial" w:cs="Arial" w:eastAsia="Arial" w:hAnsi="Arial"/>
          <w:sz w:val="15"/>
          <w:szCs w:val="15"/>
          <w:color w:val="505068"/>
        </w:rPr>
      </w:pPr>
    </w:p>
    <w:p>
      <w:pPr>
        <w:ind w:left="160" w:hanging="152"/>
        <w:spacing w:after="0"/>
        <w:tabs>
          <w:tab w:leader="none" w:pos="160" w:val="left"/>
        </w:tabs>
        <w:numPr>
          <w:ilvl w:val="0"/>
          <w:numId w:val="27"/>
        </w:numPr>
        <w:rPr>
          <w:rFonts w:ascii="Arial" w:cs="Arial" w:eastAsia="Arial" w:hAnsi="Arial"/>
          <w:sz w:val="15"/>
          <w:szCs w:val="15"/>
          <w:color w:val="505068"/>
        </w:rPr>
      </w:pPr>
      <w:r>
        <w:rPr>
          <w:rFonts w:ascii="Arial" w:cs="Arial" w:eastAsia="Arial" w:hAnsi="Arial"/>
          <w:sz w:val="15"/>
          <w:szCs w:val="15"/>
          <w:color w:val="auto"/>
        </w:rPr>
        <w:t>For the acquisitions and disposals for the six months ended 30 June 2024, refer to the 2024 Group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14</w:t>
      </w:r>
    </w:p>
    <w:p>
      <w:pPr>
        <w:sectPr>
          <w:pgSz w:w="11900" w:h="16838" w:orient="portrait"/>
          <w:cols w:equalWidth="0" w:num="1">
            <w:col w:w="11240"/>
          </w:cols>
          <w:pgMar w:left="320" w:top="1353" w:right="339" w:bottom="1440" w:gutter="0" w:footer="0" w:header="0"/>
        </w:sectPr>
      </w:pPr>
    </w:p>
    <w:bookmarkStart w:id="35" w:name="page36"/>
    <w:bookmarkEnd w:id="35"/>
    <w:p>
      <w:pPr>
        <w:spacing w:after="0"/>
        <w:rPr>
          <w:sz w:val="20"/>
          <w:szCs w:val="20"/>
          <w:color w:val="auto"/>
        </w:rPr>
      </w:pPr>
      <w:r>
        <w:rPr>
          <w:rFonts w:ascii="Arial" w:cs="Arial" w:eastAsia="Arial" w:hAnsi="Arial"/>
          <w:sz w:val="22"/>
          <w:szCs w:val="22"/>
          <w:b w:val="1"/>
          <w:bCs w:val="1"/>
          <w:color w:val="793690"/>
        </w:rPr>
        <w:t xml:space="preserve">Notes to the Unaudited Condensed Consolidated Financial Statements </w:t>
      </w:r>
      <w:r>
        <w:rPr>
          <w:rFonts w:ascii="Arial" w:cs="Arial" w:eastAsia="Arial" w:hAnsi="Arial"/>
          <w:sz w:val="22"/>
          <w:szCs w:val="22"/>
          <w:color w:val="793690"/>
        </w:rPr>
        <w:t>(continued)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7 Goodwill</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6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31 December 2024</w:t>
            </w:r>
          </w:p>
        </w:tc>
      </w:tr>
      <w:tr>
        <w:trPr>
          <w:trHeight w:val="208"/>
        </w:trPr>
        <w:tc>
          <w:tcPr>
            <w:tcW w:w="7860" w:type="dxa"/>
            <w:vAlign w:val="bottom"/>
          </w:tcPr>
          <w:p>
            <w:pPr>
              <w:spacing w:after="0"/>
              <w:rPr>
                <w:sz w:val="18"/>
                <w:szCs w:val="18"/>
                <w:color w:val="auto"/>
              </w:rPr>
            </w:pPr>
          </w:p>
        </w:tc>
        <w:tc>
          <w:tcPr>
            <w:tcW w:w="16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$m</w:t>
            </w:r>
          </w:p>
        </w:tc>
      </w:tr>
      <w:tr>
        <w:trPr>
          <w:trHeight w:val="237"/>
        </w:trPr>
        <w:tc>
          <w:tcPr>
            <w:tcW w:w="786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Cost</w:t>
            </w:r>
          </w:p>
        </w:tc>
        <w:tc>
          <w:tcPr>
            <w:tcW w:w="1620" w:type="dxa"/>
            <w:vAlign w:val="bottom"/>
            <w:tcBorders>
              <w:top w:val="single" w:sz="8" w:color="793690"/>
              <w:bottom w:val="single" w:sz="8" w:color="F4EFF6"/>
            </w:tcBorders>
            <w:shd w:val="clear" w:color="auto" w:fill="F4EFF6"/>
          </w:tcPr>
          <w:p>
            <w:pPr>
              <w:spacing w:after="0"/>
              <w:rPr>
                <w:sz w:val="20"/>
                <w:szCs w:val="20"/>
                <w:color w:val="auto"/>
              </w:rPr>
            </w:pPr>
          </w:p>
        </w:tc>
        <w:tc>
          <w:tcPr>
            <w:tcW w:w="1740" w:type="dxa"/>
            <w:vAlign w:val="bottom"/>
            <w:tcBorders>
              <w:top w:val="single" w:sz="8" w:color="793690"/>
            </w:tcBorders>
          </w:tcPr>
          <w:p>
            <w:pPr>
              <w:spacing w:after="0"/>
              <w:rPr>
                <w:sz w:val="20"/>
                <w:szCs w:val="20"/>
                <w:color w:val="auto"/>
              </w:rPr>
            </w:pP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At 1 January</w:t>
            </w:r>
          </w:p>
        </w:tc>
        <w:tc>
          <w:tcPr>
            <w:tcW w:w="1620" w:type="dxa"/>
            <w:vAlign w:val="bottom"/>
            <w:tcBorders>
              <w:top w:val="single" w:sz="8" w:color="DADAE7"/>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252.1</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239.2</w:t>
            </w:r>
          </w:p>
        </w:tc>
      </w:tr>
      <w:tr>
        <w:trPr>
          <w:trHeight w:val="237"/>
        </w:trPr>
        <w:tc>
          <w:tcPr>
            <w:tcW w:w="7860" w:type="dxa"/>
            <w:vAlign w:val="bottom"/>
            <w:tcBorders>
              <w:top w:val="single" w:sz="8" w:color="DADAE7"/>
              <w:bottom w:val="single" w:sz="8" w:color="DADAE7"/>
            </w:tcBorders>
          </w:tcPr>
          <w:p>
            <w:pPr>
              <w:ind w:left="20"/>
              <w:spacing w:after="0"/>
              <w:rPr>
                <w:sz w:val="20"/>
                <w:szCs w:val="20"/>
                <w:color w:val="auto"/>
              </w:rPr>
            </w:pPr>
            <w:r>
              <w:rPr>
                <w:rFonts w:ascii="Arial" w:cs="Arial" w:eastAsia="Arial" w:hAnsi="Arial"/>
                <w:sz w:val="15"/>
                <w:szCs w:val="15"/>
                <w:color w:val="auto"/>
              </w:rPr>
              <w:t>Additions during the period</w:t>
            </w:r>
            <w:r>
              <w:rPr>
                <w:rFonts w:ascii="Arial" w:cs="Arial" w:eastAsia="Arial" w:hAnsi="Arial"/>
                <w:sz w:val="19"/>
                <w:szCs w:val="19"/>
                <w:color w:val="auto"/>
                <w:vertAlign w:val="superscript"/>
              </w:rPr>
              <w:t>1</w:t>
            </w:r>
          </w:p>
        </w:tc>
        <w:tc>
          <w:tcPr>
            <w:tcW w:w="1620" w:type="dxa"/>
            <w:vAlign w:val="bottom"/>
            <w:tcBorders>
              <w:top w:val="single" w:sz="8" w:color="DADAE7"/>
              <w:bottom w:val="single" w:sz="8" w:color="DADAE7"/>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38.6</w:t>
            </w:r>
          </w:p>
        </w:tc>
        <w:tc>
          <w:tcPr>
            <w:tcW w:w="1740" w:type="dxa"/>
            <w:vAlign w:val="bottom"/>
            <w:tcBorders>
              <w:top w:val="single" w:sz="8" w:color="DADAE7"/>
              <w:bottom w:val="single" w:sz="8" w:color="DADAE7"/>
            </w:tcBorders>
          </w:tcPr>
          <w:p>
            <w:pPr>
              <w:jc w:val="right"/>
              <w:spacing w:after="0"/>
              <w:rPr>
                <w:sz w:val="20"/>
                <w:szCs w:val="20"/>
                <w:color w:val="auto"/>
              </w:rPr>
            </w:pPr>
            <w:r>
              <w:rPr>
                <w:rFonts w:ascii="Arial" w:cs="Arial" w:eastAsia="Arial" w:hAnsi="Arial"/>
                <w:sz w:val="15"/>
                <w:szCs w:val="15"/>
                <w:color w:val="auto"/>
              </w:rPr>
              <w:t>12.9</w:t>
            </w:r>
          </w:p>
        </w:tc>
      </w:tr>
      <w:tr>
        <w:trPr>
          <w:trHeight w:val="236"/>
        </w:trPr>
        <w:tc>
          <w:tcPr>
            <w:tcW w:w="7860" w:type="dxa"/>
            <w:vAlign w:val="bottom"/>
          </w:tcPr>
          <w:p>
            <w:pPr>
              <w:ind w:left="20"/>
              <w:spacing w:after="0"/>
              <w:rPr>
                <w:sz w:val="20"/>
                <w:szCs w:val="20"/>
                <w:color w:val="auto"/>
              </w:rPr>
            </w:pPr>
            <w:r>
              <w:rPr>
                <w:rFonts w:ascii="Arial" w:cs="Arial" w:eastAsia="Arial" w:hAnsi="Arial"/>
                <w:sz w:val="15"/>
                <w:szCs w:val="15"/>
                <w:color w:val="auto"/>
              </w:rPr>
              <w:t>Cost at 30 June and 31 December</w:t>
            </w:r>
          </w:p>
        </w:tc>
        <w:tc>
          <w:tcPr>
            <w:tcW w:w="1620" w:type="dxa"/>
            <w:vAlign w:val="bottom"/>
            <w:tcBorders>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290.7</w:t>
            </w:r>
          </w:p>
        </w:tc>
        <w:tc>
          <w:tcPr>
            <w:tcW w:w="1740" w:type="dxa"/>
            <w:vAlign w:val="bottom"/>
          </w:tcPr>
          <w:p>
            <w:pPr>
              <w:jc w:val="right"/>
              <w:spacing w:after="0"/>
              <w:rPr>
                <w:sz w:val="20"/>
                <w:szCs w:val="20"/>
                <w:color w:val="auto"/>
              </w:rPr>
            </w:pPr>
            <w:r>
              <w:rPr>
                <w:rFonts w:ascii="Arial" w:cs="Arial" w:eastAsia="Arial" w:hAnsi="Arial"/>
                <w:sz w:val="15"/>
                <w:szCs w:val="15"/>
                <w:color w:val="auto"/>
              </w:rPr>
              <w:t>252.1</w:t>
            </w: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Impairment losses at 1 January</w:t>
            </w:r>
          </w:p>
        </w:tc>
        <w:tc>
          <w:tcPr>
            <w:tcW w:w="16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(75.6)</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(75.6)</w:t>
            </w:r>
          </w:p>
        </w:tc>
      </w:tr>
      <w:tr>
        <w:trPr>
          <w:trHeight w:val="21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i w:val="1"/>
                <w:iCs w:val="1"/>
                <w:color w:val="auto"/>
              </w:rPr>
              <w:t>Net book value at 30 June and 31 December</w:t>
            </w:r>
          </w:p>
        </w:tc>
        <w:tc>
          <w:tcPr>
            <w:tcW w:w="1620" w:type="dxa"/>
            <w:vAlign w:val="bottom"/>
            <w:tcBorders>
              <w:top w:val="single" w:sz="8" w:color="DADAE7"/>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215.1</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176.5</w:t>
            </w:r>
          </w:p>
        </w:tc>
      </w:tr>
      <w:tr>
        <w:trPr>
          <w:trHeight w:val="20"/>
        </w:trPr>
        <w:tc>
          <w:tcPr>
            <w:tcW w:w="7860" w:type="dxa"/>
            <w:vAlign w:val="bottom"/>
            <w:shd w:val="clear" w:color="auto" w:fill="793690"/>
          </w:tcPr>
          <w:p>
            <w:pPr>
              <w:spacing w:after="0" w:line="20" w:lineRule="exact"/>
              <w:rPr>
                <w:sz w:val="1"/>
                <w:szCs w:val="1"/>
                <w:color w:val="auto"/>
              </w:rPr>
            </w:pPr>
          </w:p>
        </w:tc>
        <w:tc>
          <w:tcPr>
            <w:tcW w:w="1620" w:type="dxa"/>
            <w:vAlign w:val="bottom"/>
            <w:shd w:val="clear" w:color="auto" w:fill="793690"/>
          </w:tcPr>
          <w:p>
            <w:pPr>
              <w:spacing w:after="0" w:line="20" w:lineRule="exact"/>
              <w:rPr>
                <w:sz w:val="1"/>
                <w:szCs w:val="1"/>
                <w:color w:val="auto"/>
              </w:rPr>
            </w:pPr>
          </w:p>
        </w:tc>
        <w:tc>
          <w:tcPr>
            <w:tcW w:w="1740" w:type="dxa"/>
            <w:vAlign w:val="bottom"/>
            <w:shd w:val="clear" w:color="auto" w:fill="793690"/>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1"/>
          <w:szCs w:val="11"/>
          <w:color w:val="auto"/>
        </w:rPr>
        <w:t>1. Goodwill arising from the acquisition of Aarna and Edgemere has been recognised during the period. The acquisition of Aarna is described more fully in note 6.</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Goodwill Allocation and Impairment Testing</w:t>
      </w:r>
    </w:p>
    <w:p>
      <w:pPr>
        <w:spacing w:after="0" w:line="19" w:lineRule="exact"/>
        <w:rPr>
          <w:sz w:val="20"/>
          <w:szCs w:val="20"/>
          <w:color w:val="auto"/>
        </w:rPr>
      </w:pPr>
    </w:p>
    <w:p>
      <w:pPr>
        <w:ind w:right="740"/>
        <w:spacing w:after="0" w:line="282" w:lineRule="auto"/>
        <w:rPr>
          <w:sz w:val="20"/>
          <w:szCs w:val="20"/>
          <w:color w:val="auto"/>
        </w:rPr>
      </w:pPr>
      <w:r>
        <w:rPr>
          <w:rFonts w:ascii="Arial" w:cs="Arial" w:eastAsia="Arial" w:hAnsi="Arial"/>
          <w:sz w:val="15"/>
          <w:szCs w:val="15"/>
          <w:color w:val="auto"/>
        </w:rPr>
        <w:t>The Group performs its annual impairment test as at 1 October each year. Between annual tests, the Group reviews each Cash Generating Unit ('CGU') for impairment triggers that could adversely impact the valuation of the CGU and, if necessary, undertakes additional impairment testing.</w:t>
      </w:r>
    </w:p>
    <w:p>
      <w:pPr>
        <w:spacing w:after="0" w:line="67" w:lineRule="exact"/>
        <w:rPr>
          <w:sz w:val="20"/>
          <w:szCs w:val="20"/>
          <w:color w:val="auto"/>
        </w:rPr>
      </w:pPr>
    </w:p>
    <w:p>
      <w:pPr>
        <w:ind w:right="140"/>
        <w:spacing w:after="0" w:line="244" w:lineRule="auto"/>
        <w:rPr>
          <w:sz w:val="20"/>
          <w:szCs w:val="20"/>
          <w:color w:val="auto"/>
        </w:rPr>
      </w:pPr>
      <w:r>
        <w:rPr>
          <w:rFonts w:ascii="Arial" w:cs="Arial" w:eastAsia="Arial" w:hAnsi="Arial"/>
          <w:sz w:val="15"/>
          <w:szCs w:val="15"/>
          <w:color w:val="auto"/>
        </w:rPr>
        <w:t>During the six months ended 30 June 2025, the Group refined the way certain businesses are managed and monitored, including how strategic decisions are made. This required adjustments to internal management reporting and led to an updated view of the CGUs for IAS 36 impairment purposes, including for the purpose of</w:t>
      </w:r>
    </w:p>
    <w:p>
      <w:pPr>
        <w:spacing w:after="0" w:line="1" w:lineRule="exact"/>
        <w:rPr>
          <w:sz w:val="20"/>
          <w:szCs w:val="20"/>
          <w:color w:val="auto"/>
        </w:rPr>
      </w:pPr>
    </w:p>
    <w:p>
      <w:pPr>
        <w:ind w:right="440"/>
        <w:spacing w:after="0" w:line="263" w:lineRule="auto"/>
        <w:rPr>
          <w:sz w:val="20"/>
          <w:szCs w:val="20"/>
          <w:color w:val="auto"/>
        </w:rPr>
      </w:pPr>
      <w:r>
        <w:rPr>
          <w:rFonts w:ascii="Arial" w:cs="Arial" w:eastAsia="Arial" w:hAnsi="Arial"/>
          <w:sz w:val="15"/>
          <w:szCs w:val="15"/>
          <w:color w:val="auto"/>
        </w:rPr>
        <w:t>allocating goodwill. This ensured alignment with the way performance is being tracked internally. Consequently, as at 30 June 2025, goodwill impairment trigger assessments were performed using this updated CGU structure.</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Previously, goodwill allocation was primarily based on the legal entity acquired at the time of acquisition.</w:t>
      </w:r>
    </w:p>
    <w:p>
      <w:pPr>
        <w:spacing w:after="0" w:line="125" w:lineRule="exact"/>
        <w:rPr>
          <w:sz w:val="20"/>
          <w:szCs w:val="20"/>
          <w:color w:val="auto"/>
        </w:rPr>
      </w:pPr>
    </w:p>
    <w:p>
      <w:pPr>
        <w:ind w:right="120"/>
        <w:spacing w:after="0" w:line="301" w:lineRule="auto"/>
        <w:rPr>
          <w:sz w:val="20"/>
          <w:szCs w:val="20"/>
          <w:color w:val="auto"/>
        </w:rPr>
      </w:pPr>
      <w:r>
        <w:rPr>
          <w:rFonts w:ascii="Arial" w:cs="Arial" w:eastAsia="Arial" w:hAnsi="Arial"/>
          <w:sz w:val="15"/>
          <w:szCs w:val="15"/>
          <w:color w:val="auto"/>
        </w:rPr>
        <w:t>The Group's goodwill of $215.1m as at 30 June 2025, has been reallocated to the post-reorganisation CGUs based on the relative fair values approach derived from revenue splits.</w:t>
      </w:r>
    </w:p>
    <w:p>
      <w:pPr>
        <w:spacing w:after="0" w:line="40"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Impairment triggers were assessed on both the pre and post reorganisation CGUs to confirm that no impairment would have arisen. As at 30 June 2025, the review of the indicators of impairment did not require any further testing. The table below outlines how the new CGU allocations align to the allocations as presented in the Group's 2024 Annual Report and Accounts: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Group Goodwill by CGU</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80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w:t>
            </w:r>
          </w:p>
        </w:tc>
        <w:tc>
          <w:tcPr>
            <w:tcW w:w="2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80" w:type="dxa"/>
            <w:vAlign w:val="bottom"/>
          </w:tcPr>
          <w:p>
            <w:pPr>
              <w:spacing w:after="0"/>
              <w:rPr>
                <w:sz w:val="14"/>
                <w:szCs w:val="14"/>
                <w:color w:val="auto"/>
              </w:rPr>
            </w:pPr>
          </w:p>
        </w:tc>
        <w:tc>
          <w:tcPr>
            <w:tcW w:w="80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2025</w:t>
            </w:r>
          </w:p>
        </w:tc>
        <w:tc>
          <w:tcPr>
            <w:tcW w:w="29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30 June 2025</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CGU (New Allocations)</w:t>
            </w:r>
          </w:p>
        </w:tc>
        <w:tc>
          <w:tcPr>
            <w:tcW w:w="80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2980" w:type="dxa"/>
            <w:vAlign w:val="bottom"/>
          </w:tcPr>
          <w:p>
            <w:pPr>
              <w:ind w:left="20"/>
              <w:spacing w:after="0"/>
              <w:rPr>
                <w:sz w:val="20"/>
                <w:szCs w:val="20"/>
                <w:color w:val="auto"/>
              </w:rPr>
            </w:pPr>
            <w:r>
              <w:rPr>
                <w:rFonts w:ascii="Arial" w:cs="Arial" w:eastAsia="Arial" w:hAnsi="Arial"/>
                <w:sz w:val="13"/>
                <w:szCs w:val="13"/>
                <w:b w:val="1"/>
                <w:bCs w:val="1"/>
                <w:color w:val="auto"/>
              </w:rPr>
              <w:t>CGU (Allocations as at 31 December 2024)</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$m</w:t>
            </w:r>
          </w:p>
        </w:tc>
        <w:tc>
          <w:tcPr>
            <w:tcW w:w="0" w:type="dxa"/>
            <w:vAlign w:val="bottom"/>
          </w:tcPr>
          <w:p>
            <w:pPr>
              <w:spacing w:after="0"/>
              <w:rPr>
                <w:sz w:val="1"/>
                <w:szCs w:val="1"/>
                <w:color w:val="auto"/>
              </w:rPr>
            </w:pPr>
          </w:p>
        </w:tc>
      </w:tr>
      <w:tr>
        <w:trPr>
          <w:trHeight w:val="211"/>
        </w:trPr>
        <w:tc>
          <w:tcPr>
            <w:tcW w:w="3380" w:type="dxa"/>
            <w:vAlign w:val="bottom"/>
            <w:tcBorders>
              <w:top w:val="single" w:sz="8" w:color="793690"/>
            </w:tcBorders>
          </w:tcPr>
          <w:p>
            <w:pPr>
              <w:spacing w:after="0"/>
              <w:rPr>
                <w:sz w:val="18"/>
                <w:szCs w:val="18"/>
                <w:color w:val="auto"/>
              </w:rPr>
            </w:pPr>
          </w:p>
        </w:tc>
        <w:tc>
          <w:tcPr>
            <w:tcW w:w="800" w:type="dxa"/>
            <w:vAlign w:val="bottom"/>
            <w:tcBorders>
              <w:top w:val="single" w:sz="8" w:color="793690"/>
            </w:tcBorders>
            <w:shd w:val="clear" w:color="auto" w:fill="F4EFF6"/>
          </w:tcPr>
          <w:p>
            <w:pPr>
              <w:spacing w:after="0"/>
              <w:rPr>
                <w:sz w:val="18"/>
                <w:szCs w:val="18"/>
                <w:color w:val="auto"/>
              </w:rPr>
            </w:pPr>
          </w:p>
        </w:tc>
        <w:tc>
          <w:tcPr>
            <w:tcW w:w="2980" w:type="dxa"/>
            <w:vAlign w:val="bottom"/>
            <w:tcBorders>
              <w:top w:val="single" w:sz="8" w:color="793690"/>
            </w:tcBorders>
          </w:tcPr>
          <w:p>
            <w:pPr>
              <w:ind w:left="20"/>
              <w:spacing w:after="0"/>
              <w:rPr>
                <w:sz w:val="20"/>
                <w:szCs w:val="20"/>
                <w:color w:val="auto"/>
              </w:rPr>
            </w:pPr>
            <w:r>
              <w:rPr>
                <w:rFonts w:ascii="Arial" w:cs="Arial" w:eastAsia="Arial" w:hAnsi="Arial"/>
                <w:sz w:val="15"/>
                <w:szCs w:val="15"/>
                <w:i w:val="1"/>
                <w:iCs w:val="1"/>
                <w:color w:val="auto"/>
              </w:rPr>
              <w:t>OTCex</w:t>
            </w:r>
          </w:p>
        </w:tc>
        <w:tc>
          <w:tcPr>
            <w:tcW w:w="980" w:type="dxa"/>
            <w:vAlign w:val="bottom"/>
            <w:tcBorders>
              <w:top w:val="single" w:sz="8" w:color="793690"/>
            </w:tcBorders>
          </w:tcPr>
          <w:p>
            <w:pPr>
              <w:jc w:val="right"/>
              <w:ind w:right="5"/>
              <w:spacing w:after="0"/>
              <w:rPr>
                <w:sz w:val="20"/>
                <w:szCs w:val="20"/>
                <w:color w:val="auto"/>
              </w:rPr>
            </w:pPr>
            <w:r>
              <w:rPr>
                <w:rFonts w:ascii="Arial" w:cs="Arial" w:eastAsia="Arial" w:hAnsi="Arial"/>
                <w:sz w:val="15"/>
                <w:szCs w:val="15"/>
                <w:b w:val="1"/>
                <w:bCs w:val="1"/>
                <w:color w:val="auto"/>
              </w:rPr>
              <w:t>13.0</w:t>
            </w:r>
          </w:p>
        </w:tc>
        <w:tc>
          <w:tcPr>
            <w:tcW w:w="0" w:type="dxa"/>
            <w:vAlign w:val="bottom"/>
          </w:tcPr>
          <w:p>
            <w:pPr>
              <w:spacing w:after="0"/>
              <w:rPr>
                <w:sz w:val="1"/>
                <w:szCs w:val="1"/>
                <w:color w:val="auto"/>
              </w:rPr>
            </w:pPr>
          </w:p>
        </w:tc>
      </w:tr>
      <w:tr>
        <w:trPr>
          <w:trHeight w:val="278"/>
        </w:trPr>
        <w:tc>
          <w:tcPr>
            <w:tcW w:w="3380" w:type="dxa"/>
            <w:vAlign w:val="bottom"/>
          </w:tcPr>
          <w:p>
            <w:pPr>
              <w:ind w:left="20"/>
              <w:spacing w:after="0"/>
              <w:rPr>
                <w:sz w:val="20"/>
                <w:szCs w:val="20"/>
                <w:color w:val="auto"/>
              </w:rPr>
            </w:pPr>
            <w:r>
              <w:rPr>
                <w:rFonts w:ascii="Arial" w:cs="Arial" w:eastAsia="Arial" w:hAnsi="Arial"/>
                <w:sz w:val="15"/>
                <w:szCs w:val="15"/>
                <w:b w:val="1"/>
                <w:bCs w:val="1"/>
                <w:color w:val="auto"/>
              </w:rPr>
              <w:t>Capital Markets</w:t>
            </w:r>
          </w:p>
        </w:tc>
        <w:tc>
          <w:tcPr>
            <w:tcW w:w="800" w:type="dxa"/>
            <w:vAlign w:val="bottom"/>
            <w:shd w:val="clear" w:color="auto" w:fill="F4EFF6"/>
          </w:tcPr>
          <w:p>
            <w:pPr>
              <w:jc w:val="right"/>
              <w:spacing w:after="0"/>
              <w:rPr>
                <w:sz w:val="20"/>
                <w:szCs w:val="20"/>
                <w:color w:val="auto"/>
              </w:rPr>
            </w:pPr>
            <w:r>
              <w:rPr>
                <w:rFonts w:ascii="Arial" w:cs="Arial" w:eastAsia="Arial" w:hAnsi="Arial"/>
                <w:sz w:val="15"/>
                <w:szCs w:val="15"/>
                <w:b w:val="1"/>
                <w:bCs w:val="1"/>
                <w:color w:val="auto"/>
              </w:rPr>
              <w:t>26.3</w:t>
            </w:r>
          </w:p>
        </w:tc>
        <w:tc>
          <w:tcPr>
            <w:tcW w:w="2980" w:type="dxa"/>
            <w:vAlign w:val="bottom"/>
          </w:tcPr>
          <w:p>
            <w:pPr>
              <w:ind w:left="20"/>
              <w:spacing w:after="0"/>
              <w:rPr>
                <w:sz w:val="20"/>
                <w:szCs w:val="20"/>
                <w:color w:val="auto"/>
              </w:rPr>
            </w:pPr>
            <w:r>
              <w:rPr>
                <w:rFonts w:ascii="Arial" w:cs="Arial" w:eastAsia="Arial" w:hAnsi="Arial"/>
                <w:sz w:val="15"/>
                <w:szCs w:val="15"/>
                <w:i w:val="1"/>
                <w:iCs w:val="1"/>
                <w:color w:val="auto"/>
              </w:rPr>
              <w:t>Volcap Trading Partners Limited</w:t>
            </w:r>
          </w:p>
        </w:tc>
        <w:tc>
          <w:tcPr>
            <w:tcW w:w="980" w:type="dxa"/>
            <w:vAlign w:val="bottom"/>
          </w:tcPr>
          <w:p>
            <w:pPr>
              <w:jc w:val="right"/>
              <w:ind w:right="5"/>
              <w:spacing w:after="0"/>
              <w:rPr>
                <w:sz w:val="20"/>
                <w:szCs w:val="20"/>
                <w:color w:val="auto"/>
              </w:rPr>
            </w:pPr>
            <w:r>
              <w:rPr>
                <w:rFonts w:ascii="Arial" w:cs="Arial" w:eastAsia="Arial" w:hAnsi="Arial"/>
                <w:sz w:val="15"/>
                <w:szCs w:val="15"/>
                <w:b w:val="1"/>
                <w:bCs w:val="1"/>
                <w:color w:val="auto"/>
              </w:rPr>
              <w:t>7.8</w:t>
            </w:r>
          </w:p>
        </w:tc>
        <w:tc>
          <w:tcPr>
            <w:tcW w:w="0" w:type="dxa"/>
            <w:vAlign w:val="bottom"/>
          </w:tcPr>
          <w:p>
            <w:pPr>
              <w:spacing w:after="0"/>
              <w:rPr>
                <w:sz w:val="1"/>
                <w:szCs w:val="1"/>
                <w:color w:val="auto"/>
              </w:rPr>
            </w:pPr>
          </w:p>
        </w:tc>
      </w:tr>
      <w:tr>
        <w:trPr>
          <w:trHeight w:val="175"/>
        </w:trPr>
        <w:tc>
          <w:tcPr>
            <w:tcW w:w="3380" w:type="dxa"/>
            <w:vAlign w:val="bottom"/>
          </w:tcPr>
          <w:p>
            <w:pPr>
              <w:spacing w:after="0"/>
              <w:rPr>
                <w:sz w:val="15"/>
                <w:szCs w:val="15"/>
                <w:color w:val="auto"/>
              </w:rPr>
            </w:pPr>
          </w:p>
        </w:tc>
        <w:tc>
          <w:tcPr>
            <w:tcW w:w="800" w:type="dxa"/>
            <w:vAlign w:val="bottom"/>
            <w:shd w:val="clear" w:color="auto" w:fill="F4EFF6"/>
          </w:tcPr>
          <w:p>
            <w:pPr>
              <w:spacing w:after="0"/>
              <w:rPr>
                <w:sz w:val="15"/>
                <w:szCs w:val="15"/>
                <w:color w:val="auto"/>
              </w:rPr>
            </w:pPr>
          </w:p>
        </w:tc>
        <w:tc>
          <w:tcPr>
            <w:tcW w:w="2980" w:type="dxa"/>
            <w:vAlign w:val="bottom"/>
          </w:tcPr>
          <w:p>
            <w:pPr>
              <w:ind w:left="20"/>
              <w:spacing w:after="0"/>
              <w:rPr>
                <w:sz w:val="20"/>
                <w:szCs w:val="20"/>
                <w:color w:val="auto"/>
              </w:rPr>
            </w:pPr>
            <w:r>
              <w:rPr>
                <w:rFonts w:ascii="Arial" w:cs="Arial" w:eastAsia="Arial" w:hAnsi="Arial"/>
                <w:sz w:val="15"/>
                <w:szCs w:val="15"/>
                <w:i w:val="1"/>
                <w:iCs w:val="1"/>
                <w:color w:val="auto"/>
              </w:rPr>
              <w:t>Cowen's Prime Services and Outsourced</w:t>
            </w:r>
          </w:p>
        </w:tc>
        <w:tc>
          <w:tcPr>
            <w:tcW w:w="980" w:type="dxa"/>
            <w:vAlign w:val="bottom"/>
            <w:vMerge w:val="restart"/>
          </w:tcPr>
          <w:p>
            <w:pPr>
              <w:jc w:val="right"/>
              <w:ind w:right="5"/>
              <w:spacing w:after="0"/>
              <w:rPr>
                <w:sz w:val="20"/>
                <w:szCs w:val="20"/>
                <w:color w:val="auto"/>
              </w:rPr>
            </w:pPr>
            <w:r>
              <w:rPr>
                <w:rFonts w:ascii="Arial" w:cs="Arial" w:eastAsia="Arial" w:hAnsi="Arial"/>
                <w:sz w:val="15"/>
                <w:szCs w:val="15"/>
                <w:b w:val="1"/>
                <w:bCs w:val="1"/>
                <w:color w:val="auto"/>
              </w:rPr>
              <w:t>5.5</w:t>
            </w:r>
          </w:p>
        </w:tc>
        <w:tc>
          <w:tcPr>
            <w:tcW w:w="0" w:type="dxa"/>
            <w:vAlign w:val="bottom"/>
          </w:tcPr>
          <w:p>
            <w:pPr>
              <w:spacing w:after="0"/>
              <w:rPr>
                <w:sz w:val="1"/>
                <w:szCs w:val="1"/>
                <w:color w:val="auto"/>
              </w:rPr>
            </w:pPr>
          </w:p>
        </w:tc>
      </w:tr>
      <w:tr>
        <w:trPr>
          <w:trHeight w:val="233"/>
        </w:trPr>
        <w:tc>
          <w:tcPr>
            <w:tcW w:w="3380" w:type="dxa"/>
            <w:vAlign w:val="bottom"/>
          </w:tcPr>
          <w:p>
            <w:pPr>
              <w:spacing w:after="0"/>
              <w:rPr>
                <w:sz w:val="20"/>
                <w:szCs w:val="20"/>
                <w:color w:val="auto"/>
              </w:rPr>
            </w:pPr>
          </w:p>
        </w:tc>
        <w:tc>
          <w:tcPr>
            <w:tcW w:w="800" w:type="dxa"/>
            <w:vAlign w:val="bottom"/>
            <w:tcBorders>
              <w:bottom w:val="single" w:sz="8" w:color="F4EFF6"/>
            </w:tcBorders>
            <w:shd w:val="clear" w:color="auto" w:fill="F4EFF6"/>
          </w:tcPr>
          <w:p>
            <w:pPr>
              <w:spacing w:after="0"/>
              <w:rPr>
                <w:sz w:val="20"/>
                <w:szCs w:val="20"/>
                <w:color w:val="auto"/>
              </w:rPr>
            </w:pPr>
          </w:p>
        </w:tc>
        <w:tc>
          <w:tcPr>
            <w:tcW w:w="2980" w:type="dxa"/>
            <w:vAlign w:val="bottom"/>
          </w:tcPr>
          <w:p>
            <w:pPr>
              <w:ind w:left="20"/>
              <w:spacing w:after="0"/>
              <w:rPr>
                <w:sz w:val="20"/>
                <w:szCs w:val="20"/>
                <w:color w:val="auto"/>
              </w:rPr>
            </w:pPr>
            <w:r>
              <w:rPr>
                <w:rFonts w:ascii="Arial" w:cs="Arial" w:eastAsia="Arial" w:hAnsi="Arial"/>
                <w:sz w:val="15"/>
                <w:szCs w:val="15"/>
                <w:i w:val="1"/>
                <w:iCs w:val="1"/>
                <w:color w:val="auto"/>
              </w:rPr>
              <w:t>Trading Business</w:t>
            </w: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380" w:type="dxa"/>
            <w:vAlign w:val="bottom"/>
            <w:tcBorders>
              <w:top w:val="single" w:sz="8" w:color="793690"/>
            </w:tcBorders>
            <w:vMerge w:val="restart"/>
          </w:tcPr>
          <w:p>
            <w:pPr>
              <w:ind w:left="20"/>
              <w:spacing w:after="0"/>
              <w:rPr>
                <w:sz w:val="20"/>
                <w:szCs w:val="20"/>
                <w:color w:val="auto"/>
              </w:rPr>
            </w:pPr>
            <w:r>
              <w:rPr>
                <w:rFonts w:ascii="Arial" w:cs="Arial" w:eastAsia="Arial" w:hAnsi="Arial"/>
                <w:sz w:val="15"/>
                <w:szCs w:val="15"/>
                <w:b w:val="1"/>
                <w:bCs w:val="1"/>
                <w:color w:val="auto"/>
              </w:rPr>
              <w:t>Agriculture</w:t>
            </w:r>
          </w:p>
        </w:tc>
        <w:tc>
          <w:tcPr>
            <w:tcW w:w="800" w:type="dxa"/>
            <w:vAlign w:val="bottom"/>
            <w:tcBorders>
              <w:top w:val="single" w:sz="8" w:color="793690"/>
            </w:tcBorders>
            <w:shd w:val="clear" w:color="auto" w:fill="F4EFF6"/>
          </w:tcPr>
          <w:p>
            <w:pPr>
              <w:spacing w:after="0"/>
              <w:rPr>
                <w:sz w:val="18"/>
                <w:szCs w:val="18"/>
                <w:color w:val="auto"/>
              </w:rPr>
            </w:pPr>
          </w:p>
        </w:tc>
        <w:tc>
          <w:tcPr>
            <w:tcW w:w="2980" w:type="dxa"/>
            <w:vAlign w:val="bottom"/>
            <w:tcBorders>
              <w:top w:val="single" w:sz="8" w:color="793690"/>
            </w:tcBorders>
          </w:tcPr>
          <w:p>
            <w:pPr>
              <w:ind w:left="20"/>
              <w:spacing w:after="0"/>
              <w:rPr>
                <w:sz w:val="20"/>
                <w:szCs w:val="20"/>
                <w:color w:val="auto"/>
              </w:rPr>
            </w:pPr>
            <w:r>
              <w:rPr>
                <w:rFonts w:ascii="Arial" w:cs="Arial" w:eastAsia="Arial" w:hAnsi="Arial"/>
                <w:sz w:val="15"/>
                <w:szCs w:val="15"/>
                <w:i w:val="1"/>
                <w:iCs w:val="1"/>
                <w:color w:val="auto"/>
              </w:rPr>
              <w:t>Agriculture</w:t>
            </w:r>
          </w:p>
        </w:tc>
        <w:tc>
          <w:tcPr>
            <w:tcW w:w="980" w:type="dxa"/>
            <w:vAlign w:val="bottom"/>
            <w:tcBorders>
              <w:top w:val="single" w:sz="8" w:color="793690"/>
            </w:tcBorders>
          </w:tcPr>
          <w:p>
            <w:pPr>
              <w:jc w:val="right"/>
              <w:ind w:right="5"/>
              <w:spacing w:after="0"/>
              <w:rPr>
                <w:sz w:val="20"/>
                <w:szCs w:val="20"/>
                <w:color w:val="auto"/>
              </w:rPr>
            </w:pPr>
            <w:r>
              <w:rPr>
                <w:rFonts w:ascii="Arial" w:cs="Arial" w:eastAsia="Arial" w:hAnsi="Arial"/>
                <w:sz w:val="15"/>
                <w:szCs w:val="15"/>
                <w:b w:val="1"/>
                <w:bCs w:val="1"/>
                <w:color w:val="auto"/>
              </w:rPr>
              <w:t>11.4</w:t>
            </w:r>
          </w:p>
        </w:tc>
        <w:tc>
          <w:tcPr>
            <w:tcW w:w="0" w:type="dxa"/>
            <w:vAlign w:val="bottom"/>
          </w:tcPr>
          <w:p>
            <w:pPr>
              <w:spacing w:after="0"/>
              <w:rPr>
                <w:sz w:val="1"/>
                <w:szCs w:val="1"/>
                <w:color w:val="auto"/>
              </w:rPr>
            </w:pPr>
          </w:p>
        </w:tc>
      </w:tr>
      <w:tr>
        <w:trPr>
          <w:trHeight w:val="25"/>
        </w:trPr>
        <w:tc>
          <w:tcPr>
            <w:tcW w:w="3380" w:type="dxa"/>
            <w:vAlign w:val="bottom"/>
            <w:tcBorders>
              <w:bottom w:val="single" w:sz="8" w:color="793690"/>
            </w:tcBorders>
            <w:vMerge w:val="continue"/>
          </w:tcPr>
          <w:p>
            <w:pPr>
              <w:spacing w:after="0"/>
              <w:rPr>
                <w:sz w:val="2"/>
                <w:szCs w:val="2"/>
                <w:color w:val="auto"/>
              </w:rPr>
            </w:pPr>
          </w:p>
        </w:tc>
        <w:tc>
          <w:tcPr>
            <w:tcW w:w="800" w:type="dxa"/>
            <w:vAlign w:val="bottom"/>
            <w:tcBorders>
              <w:bottom w:val="single" w:sz="8" w:color="F4EFF6"/>
            </w:tcBorders>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15</w:t>
            </w:r>
          </w:p>
        </w:tc>
        <w:tc>
          <w:tcPr>
            <w:tcW w:w="2980" w:type="dxa"/>
            <w:vAlign w:val="bottom"/>
            <w:tcBorders>
              <w:bottom w:val="single" w:sz="8" w:color="793690"/>
            </w:tcBorders>
          </w:tcPr>
          <w:p>
            <w:pPr>
              <w:spacing w:after="0"/>
              <w:rPr>
                <w:sz w:val="2"/>
                <w:szCs w:val="2"/>
                <w:color w:val="auto"/>
              </w:rPr>
            </w:pPr>
          </w:p>
        </w:tc>
        <w:tc>
          <w:tcPr>
            <w:tcW w:w="980" w:type="dxa"/>
            <w:vAlign w:val="bottom"/>
            <w:tcBorders>
              <w:bottom w:val="single" w:sz="8" w:color="793690"/>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3380" w:type="dxa"/>
            <w:vAlign w:val="bottom"/>
            <w:vMerge w:val="continue"/>
          </w:tcPr>
          <w:p>
            <w:pPr>
              <w:spacing w:after="0"/>
              <w:rPr>
                <w:sz w:val="5"/>
                <w:szCs w:val="5"/>
                <w:color w:val="auto"/>
              </w:rPr>
            </w:pPr>
          </w:p>
        </w:tc>
        <w:tc>
          <w:tcPr>
            <w:tcW w:w="800" w:type="dxa"/>
            <w:vAlign w:val="bottom"/>
            <w:vMerge w:val="continue"/>
            <w:shd w:val="clear" w:color="auto" w:fill="F4EFF6"/>
          </w:tcPr>
          <w:p>
            <w:pPr>
              <w:spacing w:after="0"/>
              <w:rPr>
                <w:sz w:val="5"/>
                <w:szCs w:val="5"/>
                <w:color w:val="auto"/>
              </w:rPr>
            </w:pPr>
          </w:p>
        </w:tc>
        <w:tc>
          <w:tcPr>
            <w:tcW w:w="2980" w:type="dxa"/>
            <w:vAlign w:val="bottom"/>
            <w:vMerge w:val="restart"/>
          </w:tcPr>
          <w:p>
            <w:pPr>
              <w:ind w:left="20"/>
              <w:spacing w:after="0"/>
              <w:rPr>
                <w:sz w:val="20"/>
                <w:szCs w:val="20"/>
                <w:color w:val="auto"/>
              </w:rPr>
            </w:pPr>
            <w:r>
              <w:rPr>
                <w:rFonts w:ascii="Arial" w:cs="Arial" w:eastAsia="Arial" w:hAnsi="Arial"/>
                <w:sz w:val="15"/>
                <w:szCs w:val="15"/>
                <w:i w:val="1"/>
                <w:iCs w:val="1"/>
                <w:color w:val="auto"/>
              </w:rPr>
              <w:t>Rosenthal Collins Group</w:t>
            </w:r>
            <w:r>
              <w:rPr>
                <w:rFonts w:ascii="Arial" w:cs="Arial" w:eastAsia="Arial" w:hAnsi="Arial"/>
                <w:sz w:val="19"/>
                <w:szCs w:val="19"/>
                <w:i w:val="1"/>
                <w:iCs w:val="1"/>
                <w:color w:val="auto"/>
                <w:vertAlign w:val="superscript"/>
              </w:rPr>
              <w:t>1</w:t>
            </w:r>
          </w:p>
        </w:tc>
        <w:tc>
          <w:tcPr>
            <w:tcW w:w="9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10.5</w:t>
            </w:r>
          </w:p>
        </w:tc>
        <w:tc>
          <w:tcPr>
            <w:tcW w:w="0" w:type="dxa"/>
            <w:vAlign w:val="bottom"/>
          </w:tcPr>
          <w:p>
            <w:pPr>
              <w:spacing w:after="0"/>
              <w:rPr>
                <w:sz w:val="1"/>
                <w:szCs w:val="1"/>
                <w:color w:val="auto"/>
              </w:rPr>
            </w:pPr>
          </w:p>
        </w:tc>
      </w:tr>
      <w:tr>
        <w:trPr>
          <w:trHeight w:val="187"/>
        </w:trPr>
        <w:tc>
          <w:tcPr>
            <w:tcW w:w="33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USA Clearing</w:t>
            </w:r>
          </w:p>
        </w:tc>
        <w:tc>
          <w:tcPr>
            <w:tcW w:w="800" w:type="dxa"/>
            <w:vAlign w:val="bottom"/>
            <w:vMerge w:val="continue"/>
            <w:shd w:val="clear" w:color="auto" w:fill="F4EFF6"/>
          </w:tcPr>
          <w:p>
            <w:pPr>
              <w:spacing w:after="0"/>
              <w:rPr>
                <w:sz w:val="16"/>
                <w:szCs w:val="16"/>
                <w:color w:val="auto"/>
              </w:rPr>
            </w:pPr>
          </w:p>
        </w:tc>
        <w:tc>
          <w:tcPr>
            <w:tcW w:w="29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tcBorders>
              <w:bottom w:val="single" w:sz="8" w:color="793690"/>
            </w:tcBorders>
            <w:vMerge w:val="continue"/>
          </w:tcPr>
          <w:p>
            <w:pPr>
              <w:spacing w:after="0"/>
              <w:rPr>
                <w:sz w:val="16"/>
                <w:szCs w:val="16"/>
                <w:color w:val="auto"/>
              </w:rPr>
            </w:pPr>
          </w:p>
        </w:tc>
        <w:tc>
          <w:tcPr>
            <w:tcW w:w="800" w:type="dxa"/>
            <w:vAlign w:val="bottom"/>
            <w:tcBorders>
              <w:bottom w:val="single" w:sz="8" w:color="793690"/>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6.9</w:t>
            </w:r>
          </w:p>
        </w:tc>
        <w:tc>
          <w:tcPr>
            <w:tcW w:w="2980" w:type="dxa"/>
            <w:vAlign w:val="bottom"/>
            <w:tcBorders>
              <w:bottom w:val="single" w:sz="8" w:color="793690"/>
            </w:tcBorders>
          </w:tcPr>
          <w:p>
            <w:pPr>
              <w:spacing w:after="0"/>
              <w:rPr>
                <w:sz w:val="16"/>
                <w:szCs w:val="16"/>
                <w:color w:val="auto"/>
              </w:rPr>
            </w:pPr>
          </w:p>
        </w:tc>
        <w:tc>
          <w:tcPr>
            <w:tcW w:w="980" w:type="dxa"/>
            <w:vAlign w:val="bottom"/>
            <w:tcBorders>
              <w:bottom w:val="single" w:sz="8" w:color="793690"/>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80" w:type="dxa"/>
            <w:vAlign w:val="bottom"/>
          </w:tcPr>
          <w:p>
            <w:pPr>
              <w:ind w:left="20"/>
              <w:spacing w:after="0"/>
              <w:rPr>
                <w:sz w:val="20"/>
                <w:szCs w:val="20"/>
                <w:color w:val="auto"/>
              </w:rPr>
            </w:pPr>
            <w:r>
              <w:rPr>
                <w:rFonts w:ascii="Arial" w:cs="Arial" w:eastAsia="Arial" w:hAnsi="Arial"/>
                <w:sz w:val="15"/>
                <w:szCs w:val="15"/>
                <w:b w:val="1"/>
                <w:bCs w:val="1"/>
                <w:color w:val="auto"/>
              </w:rPr>
              <w:t>UK Clearing</w:t>
            </w:r>
          </w:p>
        </w:tc>
        <w:tc>
          <w:tcPr>
            <w:tcW w:w="80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3.3</w:t>
            </w:r>
          </w:p>
        </w:tc>
        <w:tc>
          <w:tcPr>
            <w:tcW w:w="2980" w:type="dxa"/>
            <w:vAlign w:val="bottom"/>
          </w:tcPr>
          <w:p>
            <w:pPr>
              <w:ind w:left="20"/>
              <w:spacing w:after="0"/>
              <w:rPr>
                <w:sz w:val="20"/>
                <w:szCs w:val="20"/>
                <w:color w:val="auto"/>
              </w:rPr>
            </w:pPr>
            <w:r>
              <w:rPr>
                <w:rFonts w:ascii="Arial" w:cs="Arial" w:eastAsia="Arial" w:hAnsi="Arial"/>
                <w:sz w:val="15"/>
                <w:szCs w:val="15"/>
                <w:i w:val="1"/>
                <w:iCs w:val="1"/>
                <w:color w:val="auto"/>
              </w:rPr>
              <w:t>ProTrader</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3.3</w:t>
            </w:r>
          </w:p>
        </w:tc>
        <w:tc>
          <w:tcPr>
            <w:tcW w:w="0" w:type="dxa"/>
            <w:vAlign w:val="bottom"/>
          </w:tcPr>
          <w:p>
            <w:pPr>
              <w:spacing w:after="0"/>
              <w:rPr>
                <w:sz w:val="1"/>
                <w:szCs w:val="1"/>
                <w:color w:val="auto"/>
              </w:rPr>
            </w:pPr>
          </w:p>
        </w:tc>
      </w:tr>
      <w:tr>
        <w:trPr>
          <w:trHeight w:val="237"/>
        </w:trPr>
        <w:tc>
          <w:tcPr>
            <w:tcW w:w="338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I.L.S. Brokers Limited</w:t>
            </w:r>
          </w:p>
        </w:tc>
        <w:tc>
          <w:tcPr>
            <w:tcW w:w="80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3.1</w:t>
            </w:r>
          </w:p>
        </w:tc>
        <w:tc>
          <w:tcPr>
            <w:tcW w:w="2980" w:type="dxa"/>
            <w:vAlign w:val="bottom"/>
            <w:tcBorders>
              <w:top w:val="single" w:sz="8" w:color="793690"/>
            </w:tcBorders>
          </w:tcPr>
          <w:p>
            <w:pPr>
              <w:ind w:left="20"/>
              <w:spacing w:after="0"/>
              <w:rPr>
                <w:sz w:val="20"/>
                <w:szCs w:val="20"/>
                <w:color w:val="auto"/>
              </w:rPr>
            </w:pPr>
            <w:r>
              <w:rPr>
                <w:rFonts w:ascii="Arial" w:cs="Arial" w:eastAsia="Arial" w:hAnsi="Arial"/>
                <w:sz w:val="15"/>
                <w:szCs w:val="15"/>
                <w:i w:val="1"/>
                <w:iCs w:val="1"/>
                <w:color w:val="auto"/>
              </w:rPr>
              <w:t>I.L.S. Brokers Limited</w:t>
            </w:r>
          </w:p>
        </w:tc>
        <w:tc>
          <w:tcPr>
            <w:tcW w:w="980" w:type="dxa"/>
            <w:vAlign w:val="bottom"/>
            <w:tcBorders>
              <w:top w:val="single" w:sz="8" w:color="793690"/>
            </w:tcBorders>
          </w:tcPr>
          <w:p>
            <w:pPr>
              <w:jc w:val="right"/>
              <w:spacing w:after="0"/>
              <w:rPr>
                <w:sz w:val="20"/>
                <w:szCs w:val="20"/>
                <w:color w:val="auto"/>
              </w:rPr>
            </w:pPr>
            <w:r>
              <w:rPr>
                <w:rFonts w:ascii="Arial" w:cs="Arial" w:eastAsia="Arial" w:hAnsi="Arial"/>
                <w:sz w:val="15"/>
                <w:szCs w:val="15"/>
                <w:b w:val="1"/>
                <w:bCs w:val="1"/>
                <w:color w:val="auto"/>
              </w:rPr>
              <w:t>3.1</w:t>
            </w:r>
          </w:p>
        </w:tc>
        <w:tc>
          <w:tcPr>
            <w:tcW w:w="0" w:type="dxa"/>
            <w:vAlign w:val="bottom"/>
          </w:tcPr>
          <w:p>
            <w:pPr>
              <w:spacing w:after="0"/>
              <w:rPr>
                <w:sz w:val="1"/>
                <w:szCs w:val="1"/>
                <w:color w:val="auto"/>
              </w:rPr>
            </w:pPr>
          </w:p>
        </w:tc>
      </w:tr>
      <w:tr>
        <w:trPr>
          <w:trHeight w:val="236"/>
        </w:trPr>
        <w:tc>
          <w:tcPr>
            <w:tcW w:w="338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X-Change Financial Access LLC</w:t>
            </w:r>
          </w:p>
        </w:tc>
        <w:tc>
          <w:tcPr>
            <w:tcW w:w="80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6.1</w:t>
            </w:r>
          </w:p>
        </w:tc>
        <w:tc>
          <w:tcPr>
            <w:tcW w:w="2980" w:type="dxa"/>
            <w:vAlign w:val="bottom"/>
            <w:tcBorders>
              <w:top w:val="single" w:sz="8" w:color="793690"/>
            </w:tcBorders>
          </w:tcPr>
          <w:p>
            <w:pPr>
              <w:ind w:left="20"/>
              <w:spacing w:after="0"/>
              <w:rPr>
                <w:sz w:val="20"/>
                <w:szCs w:val="20"/>
                <w:color w:val="auto"/>
              </w:rPr>
            </w:pPr>
            <w:r>
              <w:rPr>
                <w:rFonts w:ascii="Arial" w:cs="Arial" w:eastAsia="Arial" w:hAnsi="Arial"/>
                <w:sz w:val="15"/>
                <w:szCs w:val="15"/>
                <w:i w:val="1"/>
                <w:iCs w:val="1"/>
                <w:color w:val="auto"/>
              </w:rPr>
              <w:t>X-Change Financial Access LLC</w:t>
            </w:r>
          </w:p>
        </w:tc>
        <w:tc>
          <w:tcPr>
            <w:tcW w:w="980" w:type="dxa"/>
            <w:vAlign w:val="bottom"/>
            <w:tcBorders>
              <w:top w:val="single" w:sz="8" w:color="793690"/>
            </w:tcBorders>
          </w:tcPr>
          <w:p>
            <w:pPr>
              <w:jc w:val="right"/>
              <w:spacing w:after="0"/>
              <w:rPr>
                <w:sz w:val="20"/>
                <w:szCs w:val="20"/>
                <w:color w:val="auto"/>
              </w:rPr>
            </w:pPr>
            <w:r>
              <w:rPr>
                <w:rFonts w:ascii="Arial" w:cs="Arial" w:eastAsia="Arial" w:hAnsi="Arial"/>
                <w:sz w:val="15"/>
                <w:szCs w:val="15"/>
                <w:b w:val="1"/>
                <w:bCs w:val="1"/>
                <w:color w:val="auto"/>
              </w:rPr>
              <w:t>6.1</w:t>
            </w:r>
          </w:p>
        </w:tc>
        <w:tc>
          <w:tcPr>
            <w:tcW w:w="0" w:type="dxa"/>
            <w:vAlign w:val="bottom"/>
          </w:tcPr>
          <w:p>
            <w:pPr>
              <w:spacing w:after="0"/>
              <w:rPr>
                <w:sz w:val="1"/>
                <w:szCs w:val="1"/>
                <w:color w:val="auto"/>
              </w:rPr>
            </w:pPr>
          </w:p>
        </w:tc>
      </w:tr>
      <w:tr>
        <w:trPr>
          <w:trHeight w:val="237"/>
        </w:trPr>
        <w:tc>
          <w:tcPr>
            <w:tcW w:w="338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Aarna Capital Limited</w:t>
            </w:r>
          </w:p>
        </w:tc>
        <w:tc>
          <w:tcPr>
            <w:tcW w:w="80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35.7</w:t>
            </w:r>
          </w:p>
        </w:tc>
        <w:tc>
          <w:tcPr>
            <w:tcW w:w="2980" w:type="dxa"/>
            <w:vAlign w:val="bottom"/>
            <w:tcBorders>
              <w:top w:val="single" w:sz="8" w:color="793690"/>
            </w:tcBorders>
          </w:tcPr>
          <w:p>
            <w:pPr>
              <w:ind w:left="20"/>
              <w:spacing w:after="0"/>
              <w:rPr>
                <w:sz w:val="20"/>
                <w:szCs w:val="20"/>
                <w:color w:val="auto"/>
              </w:rPr>
            </w:pPr>
            <w:r>
              <w:rPr>
                <w:rFonts w:ascii="Arial" w:cs="Arial" w:eastAsia="Arial" w:hAnsi="Arial"/>
                <w:sz w:val="15"/>
                <w:szCs w:val="15"/>
                <w:i w:val="1"/>
                <w:iCs w:val="1"/>
                <w:color w:val="auto"/>
              </w:rPr>
              <w:t>Aarna Capital Limited</w:t>
            </w:r>
          </w:p>
        </w:tc>
        <w:tc>
          <w:tcPr>
            <w:tcW w:w="980" w:type="dxa"/>
            <w:vAlign w:val="bottom"/>
            <w:tcBorders>
              <w:top w:val="single" w:sz="8" w:color="793690"/>
            </w:tcBorders>
          </w:tcPr>
          <w:p>
            <w:pPr>
              <w:jc w:val="right"/>
              <w:spacing w:after="0"/>
              <w:rPr>
                <w:sz w:val="20"/>
                <w:szCs w:val="20"/>
                <w:color w:val="auto"/>
              </w:rPr>
            </w:pPr>
            <w:r>
              <w:rPr>
                <w:rFonts w:ascii="Arial" w:cs="Arial" w:eastAsia="Arial" w:hAnsi="Arial"/>
                <w:sz w:val="15"/>
                <w:szCs w:val="15"/>
                <w:b w:val="1"/>
                <w:bCs w:val="1"/>
                <w:color w:val="auto"/>
              </w:rPr>
              <w:t>35.7</w:t>
            </w:r>
          </w:p>
        </w:tc>
        <w:tc>
          <w:tcPr>
            <w:tcW w:w="0" w:type="dxa"/>
            <w:vAlign w:val="bottom"/>
          </w:tcPr>
          <w:p>
            <w:pPr>
              <w:spacing w:after="0"/>
              <w:rPr>
                <w:sz w:val="1"/>
                <w:szCs w:val="1"/>
                <w:color w:val="auto"/>
              </w:rPr>
            </w:pPr>
          </w:p>
        </w:tc>
      </w:tr>
      <w:tr>
        <w:trPr>
          <w:trHeight w:val="211"/>
        </w:trPr>
        <w:tc>
          <w:tcPr>
            <w:tcW w:w="3380" w:type="dxa"/>
            <w:vAlign w:val="bottom"/>
            <w:tcBorders>
              <w:top w:val="single" w:sz="8" w:color="793690"/>
            </w:tcBorders>
          </w:tcPr>
          <w:p>
            <w:pPr>
              <w:spacing w:after="0"/>
              <w:rPr>
                <w:sz w:val="18"/>
                <w:szCs w:val="18"/>
                <w:color w:val="auto"/>
              </w:rPr>
            </w:pPr>
          </w:p>
        </w:tc>
        <w:tc>
          <w:tcPr>
            <w:tcW w:w="800" w:type="dxa"/>
            <w:vAlign w:val="bottom"/>
            <w:tcBorders>
              <w:top w:val="single" w:sz="8" w:color="793690"/>
            </w:tcBorders>
            <w:shd w:val="clear" w:color="auto" w:fill="F4EFF6"/>
          </w:tcPr>
          <w:p>
            <w:pPr>
              <w:spacing w:after="0"/>
              <w:rPr>
                <w:sz w:val="18"/>
                <w:szCs w:val="18"/>
                <w:color w:val="auto"/>
              </w:rPr>
            </w:pPr>
          </w:p>
        </w:tc>
        <w:tc>
          <w:tcPr>
            <w:tcW w:w="2980" w:type="dxa"/>
            <w:vAlign w:val="bottom"/>
            <w:tcBorders>
              <w:top w:val="single" w:sz="8" w:color="793690"/>
            </w:tcBorders>
          </w:tcPr>
          <w:p>
            <w:pPr>
              <w:ind w:left="20"/>
              <w:spacing w:after="0"/>
              <w:rPr>
                <w:sz w:val="20"/>
                <w:szCs w:val="20"/>
                <w:color w:val="auto"/>
              </w:rPr>
            </w:pPr>
            <w:r>
              <w:rPr>
                <w:rFonts w:ascii="Arial" w:cs="Arial" w:eastAsia="Arial" w:hAnsi="Arial"/>
                <w:sz w:val="15"/>
                <w:szCs w:val="15"/>
                <w:i w:val="1"/>
                <w:iCs w:val="1"/>
                <w:color w:val="auto"/>
              </w:rPr>
              <w:t>Energy</w:t>
            </w:r>
          </w:p>
        </w:tc>
        <w:tc>
          <w:tcPr>
            <w:tcW w:w="980" w:type="dxa"/>
            <w:vAlign w:val="bottom"/>
            <w:tcBorders>
              <w:top w:val="single" w:sz="8" w:color="793690"/>
            </w:tcBorders>
          </w:tcPr>
          <w:p>
            <w:pPr>
              <w:jc w:val="right"/>
              <w:spacing w:after="0"/>
              <w:rPr>
                <w:sz w:val="20"/>
                <w:szCs w:val="20"/>
                <w:color w:val="auto"/>
              </w:rPr>
            </w:pPr>
            <w:r>
              <w:rPr>
                <w:rFonts w:ascii="Arial" w:cs="Arial" w:eastAsia="Arial" w:hAnsi="Arial"/>
                <w:sz w:val="15"/>
                <w:szCs w:val="15"/>
                <w:b w:val="1"/>
                <w:bCs w:val="1"/>
                <w:color w:val="auto"/>
              </w:rPr>
              <w:t>86.3</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5"/>
                <w:szCs w:val="15"/>
                <w:b w:val="1"/>
                <w:bCs w:val="1"/>
                <w:color w:val="auto"/>
              </w:rPr>
              <w:t>Energy</w:t>
            </w:r>
          </w:p>
        </w:tc>
        <w:tc>
          <w:tcPr>
            <w:tcW w:w="800" w:type="dxa"/>
            <w:vAlign w:val="bottom"/>
            <w:shd w:val="clear" w:color="auto" w:fill="F4EFF6"/>
          </w:tcPr>
          <w:p>
            <w:pPr>
              <w:jc w:val="right"/>
              <w:spacing w:after="0"/>
              <w:rPr>
                <w:sz w:val="20"/>
                <w:szCs w:val="20"/>
                <w:color w:val="auto"/>
              </w:rPr>
            </w:pPr>
            <w:r>
              <w:rPr>
                <w:rFonts w:ascii="Arial" w:cs="Arial" w:eastAsia="Arial" w:hAnsi="Arial"/>
                <w:sz w:val="15"/>
                <w:szCs w:val="15"/>
                <w:b w:val="1"/>
                <w:bCs w:val="1"/>
                <w:color w:val="auto"/>
              </w:rPr>
              <w:t>90.1</w:t>
            </w:r>
          </w:p>
        </w:tc>
        <w:tc>
          <w:tcPr>
            <w:tcW w:w="2980" w:type="dxa"/>
            <w:vAlign w:val="bottom"/>
          </w:tcPr>
          <w:p>
            <w:pPr>
              <w:ind w:left="20"/>
              <w:spacing w:after="0"/>
              <w:rPr>
                <w:sz w:val="20"/>
                <w:szCs w:val="20"/>
                <w:color w:val="auto"/>
              </w:rPr>
            </w:pPr>
            <w:r>
              <w:rPr>
                <w:rFonts w:ascii="Arial" w:cs="Arial" w:eastAsia="Arial" w:hAnsi="Arial"/>
                <w:sz w:val="15"/>
                <w:szCs w:val="15"/>
                <w:i w:val="1"/>
                <w:iCs w:val="1"/>
                <w:color w:val="auto"/>
              </w:rPr>
              <w:t>Dropet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1.8</w:t>
            </w:r>
          </w:p>
        </w:tc>
        <w:tc>
          <w:tcPr>
            <w:tcW w:w="0" w:type="dxa"/>
            <w:vAlign w:val="bottom"/>
          </w:tcPr>
          <w:p>
            <w:pPr>
              <w:spacing w:after="0"/>
              <w:rPr>
                <w:sz w:val="1"/>
                <w:szCs w:val="1"/>
                <w:color w:val="auto"/>
              </w:rPr>
            </w:pPr>
          </w:p>
        </w:tc>
      </w:tr>
      <w:tr>
        <w:trPr>
          <w:trHeight w:val="268"/>
        </w:trPr>
        <w:tc>
          <w:tcPr>
            <w:tcW w:w="3380" w:type="dxa"/>
            <w:vAlign w:val="bottom"/>
          </w:tcPr>
          <w:p>
            <w:pPr>
              <w:spacing w:after="0"/>
              <w:rPr>
                <w:sz w:val="23"/>
                <w:szCs w:val="23"/>
                <w:color w:val="auto"/>
              </w:rPr>
            </w:pPr>
          </w:p>
        </w:tc>
        <w:tc>
          <w:tcPr>
            <w:tcW w:w="800" w:type="dxa"/>
            <w:vAlign w:val="bottom"/>
            <w:tcBorders>
              <w:bottom w:val="single" w:sz="8" w:color="F4EFF6"/>
            </w:tcBorders>
            <w:shd w:val="clear" w:color="auto" w:fill="F4EFF6"/>
          </w:tcPr>
          <w:p>
            <w:pPr>
              <w:spacing w:after="0"/>
              <w:rPr>
                <w:sz w:val="23"/>
                <w:szCs w:val="23"/>
                <w:color w:val="auto"/>
              </w:rPr>
            </w:pPr>
          </w:p>
        </w:tc>
        <w:tc>
          <w:tcPr>
            <w:tcW w:w="2980" w:type="dxa"/>
            <w:vAlign w:val="bottom"/>
          </w:tcPr>
          <w:p>
            <w:pPr>
              <w:ind w:left="20"/>
              <w:spacing w:after="0"/>
              <w:rPr>
                <w:sz w:val="20"/>
                <w:szCs w:val="20"/>
                <w:color w:val="auto"/>
              </w:rPr>
            </w:pPr>
            <w:r>
              <w:rPr>
                <w:rFonts w:ascii="Arial" w:cs="Arial" w:eastAsia="Arial" w:hAnsi="Arial"/>
                <w:sz w:val="15"/>
                <w:szCs w:val="15"/>
                <w:i w:val="1"/>
                <w:iCs w:val="1"/>
                <w:color w:val="auto"/>
              </w:rPr>
              <w:t>Marex Spectron Europe Limited</w:t>
            </w:r>
          </w:p>
        </w:tc>
        <w:tc>
          <w:tcPr>
            <w:tcW w:w="980" w:type="dxa"/>
            <w:vAlign w:val="bottom"/>
          </w:tcPr>
          <w:p>
            <w:pPr>
              <w:jc w:val="right"/>
              <w:ind w:right="5"/>
              <w:spacing w:after="0"/>
              <w:rPr>
                <w:sz w:val="20"/>
                <w:szCs w:val="20"/>
                <w:color w:val="auto"/>
              </w:rPr>
            </w:pPr>
            <w:r>
              <w:rPr>
                <w:rFonts w:ascii="Arial" w:cs="Arial" w:eastAsia="Arial" w:hAnsi="Arial"/>
                <w:sz w:val="15"/>
                <w:szCs w:val="15"/>
                <w:b w:val="1"/>
                <w:bCs w:val="1"/>
                <w:color w:val="auto"/>
              </w:rPr>
              <w:t>2.0</w:t>
            </w:r>
          </w:p>
        </w:tc>
        <w:tc>
          <w:tcPr>
            <w:tcW w:w="0" w:type="dxa"/>
            <w:vAlign w:val="bottom"/>
          </w:tcPr>
          <w:p>
            <w:pPr>
              <w:spacing w:after="0"/>
              <w:rPr>
                <w:sz w:val="1"/>
                <w:szCs w:val="1"/>
                <w:color w:val="auto"/>
              </w:rPr>
            </w:pPr>
          </w:p>
        </w:tc>
      </w:tr>
      <w:tr>
        <w:trPr>
          <w:trHeight w:val="236"/>
        </w:trPr>
        <w:tc>
          <w:tcPr>
            <w:tcW w:w="338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CSC Commodities UK Limited</w:t>
            </w:r>
          </w:p>
        </w:tc>
        <w:tc>
          <w:tcPr>
            <w:tcW w:w="80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20.6</w:t>
            </w:r>
          </w:p>
        </w:tc>
        <w:tc>
          <w:tcPr>
            <w:tcW w:w="2980" w:type="dxa"/>
            <w:vAlign w:val="bottom"/>
            <w:tcBorders>
              <w:top w:val="single" w:sz="8" w:color="793690"/>
            </w:tcBorders>
          </w:tcPr>
          <w:p>
            <w:pPr>
              <w:ind w:left="20"/>
              <w:spacing w:after="0"/>
              <w:rPr>
                <w:sz w:val="20"/>
                <w:szCs w:val="20"/>
                <w:color w:val="auto"/>
              </w:rPr>
            </w:pPr>
            <w:r>
              <w:rPr>
                <w:rFonts w:ascii="Arial" w:cs="Arial" w:eastAsia="Arial" w:hAnsi="Arial"/>
                <w:sz w:val="15"/>
                <w:szCs w:val="15"/>
                <w:i w:val="1"/>
                <w:iCs w:val="1"/>
                <w:color w:val="auto"/>
              </w:rPr>
              <w:t>CSC Commodities UK Limited</w:t>
            </w:r>
          </w:p>
        </w:tc>
        <w:tc>
          <w:tcPr>
            <w:tcW w:w="980" w:type="dxa"/>
            <w:vAlign w:val="bottom"/>
            <w:tcBorders>
              <w:top w:val="single" w:sz="8" w:color="793690"/>
            </w:tcBorders>
          </w:tcPr>
          <w:p>
            <w:pPr>
              <w:jc w:val="right"/>
              <w:spacing w:after="0"/>
              <w:rPr>
                <w:sz w:val="20"/>
                <w:szCs w:val="20"/>
                <w:color w:val="auto"/>
              </w:rPr>
            </w:pPr>
            <w:r>
              <w:rPr>
                <w:rFonts w:ascii="Arial" w:cs="Arial" w:eastAsia="Arial" w:hAnsi="Arial"/>
                <w:sz w:val="15"/>
                <w:szCs w:val="15"/>
                <w:b w:val="1"/>
                <w:bCs w:val="1"/>
                <w:color w:val="auto"/>
              </w:rPr>
              <w:t>20.6</w:t>
            </w:r>
          </w:p>
        </w:tc>
        <w:tc>
          <w:tcPr>
            <w:tcW w:w="0" w:type="dxa"/>
            <w:vAlign w:val="bottom"/>
          </w:tcPr>
          <w:p>
            <w:pPr>
              <w:spacing w:after="0"/>
              <w:rPr>
                <w:sz w:val="1"/>
                <w:szCs w:val="1"/>
                <w:color w:val="auto"/>
              </w:rPr>
            </w:pPr>
          </w:p>
        </w:tc>
      </w:tr>
      <w:tr>
        <w:trPr>
          <w:trHeight w:val="277"/>
        </w:trPr>
        <w:tc>
          <w:tcPr>
            <w:tcW w:w="338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Physical Metals</w:t>
            </w:r>
          </w:p>
        </w:tc>
        <w:tc>
          <w:tcPr>
            <w:tcW w:w="800" w:type="dxa"/>
            <w:vAlign w:val="bottom"/>
            <w:tcBorders>
              <w:top w:val="single" w:sz="8" w:color="793690"/>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7.5</w:t>
            </w:r>
          </w:p>
        </w:tc>
        <w:tc>
          <w:tcPr>
            <w:tcW w:w="2980" w:type="dxa"/>
            <w:vAlign w:val="bottom"/>
            <w:tcBorders>
              <w:top w:val="single" w:sz="8" w:color="793690"/>
            </w:tcBorders>
          </w:tcPr>
          <w:p>
            <w:pPr>
              <w:ind w:left="20"/>
              <w:spacing w:after="0"/>
              <w:rPr>
                <w:sz w:val="20"/>
                <w:szCs w:val="20"/>
                <w:color w:val="auto"/>
              </w:rPr>
            </w:pPr>
            <w:r>
              <w:rPr>
                <w:rFonts w:ascii="Arial" w:cs="Arial" w:eastAsia="Arial" w:hAnsi="Arial"/>
                <w:sz w:val="15"/>
                <w:szCs w:val="15"/>
                <w:i w:val="1"/>
                <w:iCs w:val="1"/>
                <w:color w:val="auto"/>
              </w:rPr>
              <w:t>Recycled Metals</w:t>
            </w:r>
          </w:p>
        </w:tc>
        <w:tc>
          <w:tcPr>
            <w:tcW w:w="980" w:type="dxa"/>
            <w:vAlign w:val="bottom"/>
            <w:tcBorders>
              <w:top w:val="single" w:sz="8" w:color="793690"/>
            </w:tcBorders>
          </w:tcPr>
          <w:p>
            <w:pPr>
              <w:jc w:val="right"/>
              <w:spacing w:after="0"/>
              <w:rPr>
                <w:sz w:val="20"/>
                <w:szCs w:val="20"/>
                <w:color w:val="auto"/>
              </w:rPr>
            </w:pPr>
            <w:r>
              <w:rPr>
                <w:rFonts w:ascii="Arial" w:cs="Arial" w:eastAsia="Arial" w:hAnsi="Arial"/>
                <w:sz w:val="15"/>
                <w:szCs w:val="15"/>
                <w:b w:val="1"/>
                <w:bCs w:val="1"/>
                <w:color w:val="auto"/>
              </w:rPr>
              <w:t>4.6</w:t>
            </w:r>
          </w:p>
        </w:tc>
        <w:tc>
          <w:tcPr>
            <w:tcW w:w="0" w:type="dxa"/>
            <w:vAlign w:val="bottom"/>
          </w:tcPr>
          <w:p>
            <w:pPr>
              <w:spacing w:after="0"/>
              <w:rPr>
                <w:sz w:val="1"/>
                <w:szCs w:val="1"/>
                <w:color w:val="auto"/>
              </w:rPr>
            </w:pPr>
          </w:p>
        </w:tc>
      </w:tr>
      <w:tr>
        <w:trPr>
          <w:trHeight w:val="203"/>
        </w:trPr>
        <w:tc>
          <w:tcPr>
            <w:tcW w:w="3380" w:type="dxa"/>
            <w:vAlign w:val="bottom"/>
            <w:tcBorders>
              <w:bottom w:val="single" w:sz="8" w:color="793690"/>
            </w:tcBorders>
          </w:tcPr>
          <w:p>
            <w:pPr>
              <w:spacing w:after="0"/>
              <w:rPr>
                <w:sz w:val="17"/>
                <w:szCs w:val="17"/>
                <w:color w:val="auto"/>
              </w:rPr>
            </w:pPr>
          </w:p>
        </w:tc>
        <w:tc>
          <w:tcPr>
            <w:tcW w:w="800" w:type="dxa"/>
            <w:vAlign w:val="bottom"/>
            <w:tcBorders>
              <w:bottom w:val="single" w:sz="8" w:color="793690"/>
            </w:tcBorders>
            <w:shd w:val="clear" w:color="auto" w:fill="F4EFF6"/>
          </w:tcPr>
          <w:p>
            <w:pPr>
              <w:spacing w:after="0"/>
              <w:rPr>
                <w:sz w:val="17"/>
                <w:szCs w:val="17"/>
                <w:color w:val="auto"/>
              </w:rPr>
            </w:pPr>
          </w:p>
        </w:tc>
        <w:tc>
          <w:tcPr>
            <w:tcW w:w="2980" w:type="dxa"/>
            <w:vAlign w:val="bottom"/>
            <w:tcBorders>
              <w:bottom w:val="single" w:sz="8" w:color="793690"/>
            </w:tcBorders>
          </w:tcPr>
          <w:p>
            <w:pPr>
              <w:ind w:left="20"/>
              <w:spacing w:after="0"/>
              <w:rPr>
                <w:sz w:val="20"/>
                <w:szCs w:val="20"/>
                <w:color w:val="auto"/>
              </w:rPr>
            </w:pPr>
            <w:r>
              <w:rPr>
                <w:rFonts w:ascii="Arial" w:cs="Arial" w:eastAsia="Arial" w:hAnsi="Arial"/>
                <w:sz w:val="15"/>
                <w:szCs w:val="15"/>
                <w:i w:val="1"/>
                <w:iCs w:val="1"/>
                <w:color w:val="auto"/>
              </w:rPr>
              <w:t>Edgemere</w:t>
            </w:r>
          </w:p>
        </w:tc>
        <w:tc>
          <w:tcPr>
            <w:tcW w:w="980" w:type="dxa"/>
            <w:vAlign w:val="bottom"/>
            <w:tcBorders>
              <w:bottom w:val="single" w:sz="8" w:color="793690"/>
            </w:tcBorders>
          </w:tcPr>
          <w:p>
            <w:pPr>
              <w:jc w:val="right"/>
              <w:spacing w:after="0"/>
              <w:rPr>
                <w:sz w:val="20"/>
                <w:szCs w:val="20"/>
                <w:color w:val="auto"/>
              </w:rPr>
            </w:pPr>
            <w:r>
              <w:rPr>
                <w:rFonts w:ascii="Arial" w:cs="Arial" w:eastAsia="Arial" w:hAnsi="Arial"/>
                <w:sz w:val="15"/>
                <w:szCs w:val="15"/>
                <w:b w:val="1"/>
                <w:bCs w:val="1"/>
                <w:color w:val="auto"/>
              </w:rPr>
              <w:t>2.9</w:t>
            </w:r>
          </w:p>
        </w:tc>
        <w:tc>
          <w:tcPr>
            <w:tcW w:w="0" w:type="dxa"/>
            <w:vAlign w:val="bottom"/>
          </w:tcPr>
          <w:p>
            <w:pPr>
              <w:spacing w:after="0"/>
              <w:rPr>
                <w:sz w:val="1"/>
                <w:szCs w:val="1"/>
                <w:color w:val="auto"/>
              </w:rPr>
            </w:pPr>
          </w:p>
        </w:tc>
      </w:tr>
      <w:tr>
        <w:trPr>
          <w:trHeight w:val="236"/>
        </w:trPr>
        <w:tc>
          <w:tcPr>
            <w:tcW w:w="3380" w:type="dxa"/>
            <w:vAlign w:val="bottom"/>
          </w:tcPr>
          <w:p>
            <w:pPr>
              <w:ind w:left="20"/>
              <w:spacing w:after="0"/>
              <w:rPr>
                <w:sz w:val="20"/>
                <w:szCs w:val="20"/>
                <w:color w:val="auto"/>
              </w:rPr>
            </w:pPr>
            <w:r>
              <w:rPr>
                <w:rFonts w:ascii="Arial" w:cs="Arial" w:eastAsia="Arial" w:hAnsi="Arial"/>
                <w:sz w:val="15"/>
                <w:szCs w:val="15"/>
                <w:b w:val="1"/>
                <w:bCs w:val="1"/>
                <w:color w:val="auto"/>
              </w:rPr>
              <w:t>Arfinco S.A.</w:t>
            </w:r>
          </w:p>
        </w:tc>
        <w:tc>
          <w:tcPr>
            <w:tcW w:w="80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0.5</w:t>
            </w:r>
          </w:p>
        </w:tc>
        <w:tc>
          <w:tcPr>
            <w:tcW w:w="2980" w:type="dxa"/>
            <w:vAlign w:val="bottom"/>
          </w:tcPr>
          <w:p>
            <w:pPr>
              <w:ind w:left="20"/>
              <w:spacing w:after="0"/>
              <w:rPr>
                <w:sz w:val="20"/>
                <w:szCs w:val="20"/>
                <w:color w:val="auto"/>
              </w:rPr>
            </w:pPr>
            <w:r>
              <w:rPr>
                <w:rFonts w:ascii="Arial" w:cs="Arial" w:eastAsia="Arial" w:hAnsi="Arial"/>
                <w:sz w:val="15"/>
                <w:szCs w:val="15"/>
                <w:i w:val="1"/>
                <w:iCs w:val="1"/>
                <w:color w:val="auto"/>
              </w:rPr>
              <w:t>Arfinco S.A.</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0.5</w:t>
            </w:r>
          </w:p>
        </w:tc>
        <w:tc>
          <w:tcPr>
            <w:tcW w:w="0" w:type="dxa"/>
            <w:vAlign w:val="bottom"/>
          </w:tcPr>
          <w:p>
            <w:pPr>
              <w:spacing w:after="0"/>
              <w:rPr>
                <w:sz w:val="1"/>
                <w:szCs w:val="1"/>
                <w:color w:val="auto"/>
              </w:rPr>
            </w:pPr>
          </w:p>
        </w:tc>
      </w:tr>
      <w:tr>
        <w:trPr>
          <w:trHeight w:val="216"/>
        </w:trPr>
        <w:tc>
          <w:tcPr>
            <w:tcW w:w="338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Total</w:t>
            </w:r>
          </w:p>
        </w:tc>
        <w:tc>
          <w:tcPr>
            <w:tcW w:w="80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215.1</w:t>
            </w:r>
          </w:p>
        </w:tc>
        <w:tc>
          <w:tcPr>
            <w:tcW w:w="298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Total</w:t>
            </w:r>
          </w:p>
        </w:tc>
        <w:tc>
          <w:tcPr>
            <w:tcW w:w="980" w:type="dxa"/>
            <w:vAlign w:val="bottom"/>
            <w:tcBorders>
              <w:top w:val="single" w:sz="8" w:color="793690"/>
            </w:tcBorders>
          </w:tcPr>
          <w:p>
            <w:pPr>
              <w:jc w:val="right"/>
              <w:spacing w:after="0"/>
              <w:rPr>
                <w:sz w:val="20"/>
                <w:szCs w:val="20"/>
                <w:color w:val="auto"/>
              </w:rPr>
            </w:pPr>
            <w:r>
              <w:rPr>
                <w:rFonts w:ascii="Arial" w:cs="Arial" w:eastAsia="Arial" w:hAnsi="Arial"/>
                <w:sz w:val="15"/>
                <w:szCs w:val="15"/>
                <w:b w:val="1"/>
                <w:bCs w:val="1"/>
                <w:color w:val="auto"/>
              </w:rPr>
              <w:t>215.1</w:t>
            </w:r>
          </w:p>
        </w:tc>
        <w:tc>
          <w:tcPr>
            <w:tcW w:w="0" w:type="dxa"/>
            <w:vAlign w:val="bottom"/>
          </w:tcPr>
          <w:p>
            <w:pPr>
              <w:spacing w:after="0"/>
              <w:rPr>
                <w:sz w:val="1"/>
                <w:szCs w:val="1"/>
                <w:color w:val="auto"/>
              </w:rPr>
            </w:pPr>
          </w:p>
        </w:tc>
      </w:tr>
      <w:tr>
        <w:trPr>
          <w:trHeight w:val="20"/>
        </w:trPr>
        <w:tc>
          <w:tcPr>
            <w:tcW w:w="3380" w:type="dxa"/>
            <w:vAlign w:val="bottom"/>
            <w:shd w:val="clear" w:color="auto" w:fill="793690"/>
          </w:tcPr>
          <w:p>
            <w:pPr>
              <w:spacing w:after="0" w:line="20" w:lineRule="exact"/>
              <w:rPr>
                <w:sz w:val="1"/>
                <w:szCs w:val="1"/>
                <w:color w:val="auto"/>
              </w:rPr>
            </w:pPr>
          </w:p>
        </w:tc>
        <w:tc>
          <w:tcPr>
            <w:tcW w:w="800" w:type="dxa"/>
            <w:vAlign w:val="bottom"/>
            <w:shd w:val="clear" w:color="auto" w:fill="793690"/>
          </w:tcPr>
          <w:p>
            <w:pPr>
              <w:spacing w:after="0" w:line="20" w:lineRule="exact"/>
              <w:rPr>
                <w:sz w:val="1"/>
                <w:szCs w:val="1"/>
                <w:color w:val="auto"/>
              </w:rPr>
            </w:pPr>
          </w:p>
        </w:tc>
        <w:tc>
          <w:tcPr>
            <w:tcW w:w="2980" w:type="dxa"/>
            <w:vAlign w:val="bottom"/>
            <w:shd w:val="clear" w:color="auto" w:fill="793690"/>
          </w:tcPr>
          <w:p>
            <w:pPr>
              <w:spacing w:after="0" w:line="20" w:lineRule="exact"/>
              <w:rPr>
                <w:sz w:val="1"/>
                <w:szCs w:val="1"/>
                <w:color w:val="auto"/>
              </w:rPr>
            </w:pPr>
          </w:p>
        </w:tc>
        <w:tc>
          <w:tcPr>
            <w:tcW w:w="980" w:type="dxa"/>
            <w:vAlign w:val="bottom"/>
            <w:shd w:val="clear" w:color="auto" w:fill="79369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right="220" w:firstLine="8"/>
        <w:spacing w:after="0" w:line="259" w:lineRule="auto"/>
        <w:tabs>
          <w:tab w:leader="none" w:pos="120" w:val="left"/>
        </w:tabs>
        <w:numPr>
          <w:ilvl w:val="0"/>
          <w:numId w:val="28"/>
        </w:numPr>
        <w:rPr>
          <w:rFonts w:ascii="Arial" w:cs="Arial" w:eastAsia="Arial" w:hAnsi="Arial"/>
          <w:sz w:val="11"/>
          <w:szCs w:val="11"/>
          <w:color w:val="auto"/>
        </w:rPr>
      </w:pPr>
      <w:r>
        <w:rPr>
          <w:rFonts w:ascii="Arial" w:cs="Arial" w:eastAsia="Arial" w:hAnsi="Arial"/>
          <w:sz w:val="11"/>
          <w:szCs w:val="11"/>
          <w:color w:val="auto"/>
        </w:rPr>
        <w:t>Rosenthal Collins Group goodwill is split into Agriculture and USA Clearing based on revenue. Of the total $10.5m allocated to Rosenthal Collins Group in prior year, $3.6m was allocated to Agriculture and $6.9m was allocated to USA Clearing.</w:t>
      </w:r>
    </w:p>
    <w:p>
      <w:pPr>
        <w:sectPr>
          <w:pgSz w:w="11900" w:h="16838" w:orient="portrait"/>
          <w:cols w:equalWidth="0" w:num="1">
            <w:col w:w="11220"/>
          </w:cols>
          <w:pgMar w:left="320" w:top="135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15</w:t>
      </w:r>
    </w:p>
    <w:p>
      <w:pPr>
        <w:sectPr>
          <w:pgSz w:w="11900" w:h="16838" w:orient="portrait"/>
          <w:cols w:equalWidth="0" w:num="1">
            <w:col w:w="11220"/>
          </w:cols>
          <w:pgMar w:left="320" w:top="1353" w:right="35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22"/>
          <w:szCs w:val="22"/>
          <w:b w:val="1"/>
          <w:bCs w:val="1"/>
          <w:color w:val="793690"/>
        </w:rPr>
        <w:t xml:space="preserve">Notes to the Unaudited Condensed Consolidated Financial Statements </w:t>
      </w:r>
      <w:r>
        <w:rPr>
          <w:rFonts w:ascii="Arial" w:cs="Arial" w:eastAsia="Arial" w:hAnsi="Arial"/>
          <w:sz w:val="22"/>
          <w:szCs w:val="22"/>
          <w:color w:val="793690"/>
        </w:rPr>
        <w:t>(continued)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8 Inventory</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15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auto"/>
              </w:rPr>
              <w:t>31 December 2024</w:t>
            </w:r>
          </w:p>
        </w:tc>
      </w:tr>
      <w:tr>
        <w:trPr>
          <w:trHeight w:val="208"/>
        </w:trPr>
        <w:tc>
          <w:tcPr>
            <w:tcW w:w="7520" w:type="dxa"/>
            <w:vAlign w:val="bottom"/>
          </w:tcPr>
          <w:p>
            <w:pPr>
              <w:spacing w:after="0"/>
              <w:rPr>
                <w:sz w:val="18"/>
                <w:szCs w:val="18"/>
                <w:color w:val="auto"/>
              </w:rPr>
            </w:pPr>
          </w:p>
        </w:tc>
        <w:tc>
          <w:tcPr>
            <w:tcW w:w="154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auto"/>
              </w:rPr>
              <w:t>$m</w:t>
            </w:r>
          </w:p>
        </w:tc>
      </w:tr>
      <w:tr>
        <w:trPr>
          <w:trHeight w:val="237"/>
        </w:trPr>
        <w:tc>
          <w:tcPr>
            <w:tcW w:w="752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Cryptocurrency - Trading</w:t>
            </w:r>
          </w:p>
        </w:tc>
        <w:tc>
          <w:tcPr>
            <w:tcW w:w="15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34.0</w:t>
            </w:r>
          </w:p>
        </w:tc>
        <w:tc>
          <w:tcPr>
            <w:tcW w:w="166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6.9</w:t>
            </w:r>
          </w:p>
        </w:tc>
      </w:tr>
      <w:tr>
        <w:trPr>
          <w:trHeight w:val="237"/>
        </w:trPr>
        <w:tc>
          <w:tcPr>
            <w:tcW w:w="75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Carbon emission certificates and credits - Trading</w:t>
            </w:r>
          </w:p>
        </w:tc>
        <w:tc>
          <w:tcPr>
            <w:tcW w:w="15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15.0</w:t>
            </w:r>
          </w:p>
        </w:tc>
        <w:tc>
          <w:tcPr>
            <w:tcW w:w="16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6.5</w:t>
            </w:r>
          </w:p>
        </w:tc>
      </w:tr>
      <w:tr>
        <w:trPr>
          <w:trHeight w:val="237"/>
        </w:trPr>
        <w:tc>
          <w:tcPr>
            <w:tcW w:w="75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Warranted metals - Trading</w:t>
            </w:r>
          </w:p>
        </w:tc>
        <w:tc>
          <w:tcPr>
            <w:tcW w:w="15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120.5</w:t>
            </w:r>
          </w:p>
        </w:tc>
        <w:tc>
          <w:tcPr>
            <w:tcW w:w="16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w:t>
            </w:r>
          </w:p>
        </w:tc>
      </w:tr>
      <w:tr>
        <w:trPr>
          <w:trHeight w:val="236"/>
        </w:trPr>
        <w:tc>
          <w:tcPr>
            <w:tcW w:w="75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Non-warranted metals - Trading</w:t>
            </w:r>
          </w:p>
        </w:tc>
        <w:tc>
          <w:tcPr>
            <w:tcW w:w="15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4.0</w:t>
            </w:r>
          </w:p>
        </w:tc>
        <w:tc>
          <w:tcPr>
            <w:tcW w:w="16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w:t>
            </w:r>
          </w:p>
        </w:tc>
      </w:tr>
      <w:tr>
        <w:trPr>
          <w:trHeight w:val="237"/>
        </w:trPr>
        <w:tc>
          <w:tcPr>
            <w:tcW w:w="75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Recyclable scrap metals</w:t>
            </w:r>
          </w:p>
        </w:tc>
        <w:tc>
          <w:tcPr>
            <w:tcW w:w="15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20.9</w:t>
            </w:r>
          </w:p>
        </w:tc>
        <w:tc>
          <w:tcPr>
            <w:tcW w:w="16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22.4</w:t>
            </w:r>
          </w:p>
        </w:tc>
      </w:tr>
      <w:tr>
        <w:trPr>
          <w:trHeight w:val="237"/>
        </w:trPr>
        <w:tc>
          <w:tcPr>
            <w:tcW w:w="75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Minor metals</w:t>
            </w:r>
          </w:p>
        </w:tc>
        <w:tc>
          <w:tcPr>
            <w:tcW w:w="15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45.6</w:t>
            </w:r>
          </w:p>
        </w:tc>
        <w:tc>
          <w:tcPr>
            <w:tcW w:w="16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w:t>
            </w:r>
          </w:p>
        </w:tc>
      </w:tr>
      <w:tr>
        <w:trPr>
          <w:trHeight w:val="237"/>
        </w:trPr>
        <w:tc>
          <w:tcPr>
            <w:tcW w:w="752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Precious metals</w:t>
            </w:r>
          </w:p>
        </w:tc>
        <w:tc>
          <w:tcPr>
            <w:tcW w:w="15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20.5</w:t>
            </w:r>
          </w:p>
        </w:tc>
        <w:tc>
          <w:tcPr>
            <w:tcW w:w="16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w:t>
            </w:r>
          </w:p>
        </w:tc>
      </w:tr>
      <w:tr>
        <w:trPr>
          <w:trHeight w:val="216"/>
        </w:trPr>
        <w:tc>
          <w:tcPr>
            <w:tcW w:w="752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Total inventories at fair value less cost to sell</w:t>
            </w:r>
          </w:p>
        </w:tc>
        <w:tc>
          <w:tcPr>
            <w:tcW w:w="15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260.5</w:t>
            </w:r>
          </w:p>
        </w:tc>
        <w:tc>
          <w:tcPr>
            <w:tcW w:w="166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35.8</w:t>
            </w:r>
          </w:p>
        </w:tc>
      </w:tr>
      <w:tr>
        <w:trPr>
          <w:trHeight w:val="20"/>
        </w:trPr>
        <w:tc>
          <w:tcPr>
            <w:tcW w:w="7520" w:type="dxa"/>
            <w:vAlign w:val="bottom"/>
            <w:shd w:val="clear" w:color="auto" w:fill="793690"/>
          </w:tcPr>
          <w:p>
            <w:pPr>
              <w:spacing w:after="0" w:line="20" w:lineRule="exact"/>
              <w:rPr>
                <w:sz w:val="1"/>
                <w:szCs w:val="1"/>
                <w:color w:val="auto"/>
              </w:rPr>
            </w:pPr>
          </w:p>
        </w:tc>
        <w:tc>
          <w:tcPr>
            <w:tcW w:w="1540" w:type="dxa"/>
            <w:vAlign w:val="bottom"/>
            <w:shd w:val="clear" w:color="auto" w:fill="793690"/>
          </w:tcPr>
          <w:p>
            <w:pPr>
              <w:spacing w:after="0" w:line="20" w:lineRule="exact"/>
              <w:rPr>
                <w:sz w:val="1"/>
                <w:szCs w:val="1"/>
                <w:color w:val="auto"/>
              </w:rPr>
            </w:pPr>
          </w:p>
        </w:tc>
        <w:tc>
          <w:tcPr>
            <w:tcW w:w="1660" w:type="dxa"/>
            <w:vAlign w:val="bottom"/>
            <w:shd w:val="clear" w:color="auto" w:fill="793690"/>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5"/>
          <w:szCs w:val="15"/>
          <w:color w:val="auto"/>
        </w:rPr>
        <w:t>All inventories are held at fair value less cost to sell.</w:t>
      </w:r>
    </w:p>
    <w:p>
      <w:pPr>
        <w:spacing w:after="0" w:line="125" w:lineRule="exact"/>
        <w:rPr>
          <w:sz w:val="20"/>
          <w:szCs w:val="20"/>
          <w:color w:val="auto"/>
        </w:rPr>
      </w:pPr>
    </w:p>
    <w:p>
      <w:pPr>
        <w:ind w:right="160"/>
        <w:spacing w:after="0" w:line="273" w:lineRule="auto"/>
        <w:rPr>
          <w:sz w:val="20"/>
          <w:szCs w:val="20"/>
          <w:color w:val="auto"/>
        </w:rPr>
      </w:pPr>
      <w:r>
        <w:rPr>
          <w:rFonts w:ascii="Arial" w:cs="Arial" w:eastAsia="Arial" w:hAnsi="Arial"/>
          <w:sz w:val="15"/>
          <w:szCs w:val="15"/>
          <w:color w:val="auto"/>
        </w:rPr>
        <w:t>The Group economically hedges its exposure to cryptocurrencies and hence the Group's net exposure to market risk has not been material to our operations for the periods presented. As at 30 June 2025, the Group’s overall net market risk exposure to cryptocurrencies was $1.6m (2024: $1.1m). The fair values of cryptocurrencies held as assets are determined based on quoted market prices and are classified as a Level 1 valuation under the fair value hierarchy.</w:t>
      </w:r>
    </w:p>
    <w:p>
      <w:pPr>
        <w:spacing w:after="0" w:line="73"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Carbon emission certificates and credits comprise Solar Renewable Energy Certificates (RECs) which are held to trade with a fair value of $15.0m (2024: $6.5m). The fair value is based on quoted market prices and classified as a Level 1 valuation.</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auto"/>
        </w:rPr>
        <w:t>The Group's metals inventory comprises the following:</w:t>
      </w:r>
    </w:p>
    <w:p>
      <w:pPr>
        <w:spacing w:after="0" w:line="111" w:lineRule="exact"/>
        <w:rPr>
          <w:sz w:val="20"/>
          <w:szCs w:val="20"/>
          <w:color w:val="auto"/>
        </w:rPr>
      </w:pPr>
    </w:p>
    <w:p>
      <w:pPr>
        <w:ind w:left="160" w:right="240" w:hanging="152"/>
        <w:spacing w:after="0" w:line="301" w:lineRule="auto"/>
        <w:tabs>
          <w:tab w:leader="none" w:pos="155" w:val="left"/>
        </w:tabs>
        <w:numPr>
          <w:ilvl w:val="0"/>
          <w:numId w:val="29"/>
        </w:numPr>
        <w:rPr>
          <w:rFonts w:ascii="Arial" w:cs="Arial" w:eastAsia="Arial" w:hAnsi="Arial"/>
          <w:sz w:val="15"/>
          <w:szCs w:val="15"/>
          <w:color w:val="505068"/>
        </w:rPr>
      </w:pPr>
      <w:r>
        <w:rPr>
          <w:rFonts w:ascii="Arial" w:cs="Arial" w:eastAsia="Arial" w:hAnsi="Arial"/>
          <w:sz w:val="15"/>
          <w:szCs w:val="15"/>
          <w:color w:val="auto"/>
        </w:rPr>
        <w:t>Warranted metals are those where the Group holds title and warrant and which are lodged and stored with an exchange. The majority of these warranted metals consists of non-ferrous base metals. The fair value is determined based on quoted exchange prices, and is classified as a Level 1 valuation.</w:t>
      </w:r>
    </w:p>
    <w:p>
      <w:pPr>
        <w:spacing w:after="0" w:line="53" w:lineRule="exact"/>
        <w:rPr>
          <w:rFonts w:ascii="Arial" w:cs="Arial" w:eastAsia="Arial" w:hAnsi="Arial"/>
          <w:sz w:val="15"/>
          <w:szCs w:val="15"/>
          <w:color w:val="505068"/>
        </w:rPr>
      </w:pPr>
    </w:p>
    <w:p>
      <w:pPr>
        <w:ind w:left="160" w:right="80" w:hanging="152"/>
        <w:spacing w:after="0" w:line="283" w:lineRule="auto"/>
        <w:tabs>
          <w:tab w:leader="none" w:pos="155" w:val="left"/>
        </w:tabs>
        <w:numPr>
          <w:ilvl w:val="0"/>
          <w:numId w:val="29"/>
        </w:numPr>
        <w:rPr>
          <w:rFonts w:ascii="Arial" w:cs="Arial" w:eastAsia="Arial" w:hAnsi="Arial"/>
          <w:sz w:val="15"/>
          <w:szCs w:val="15"/>
          <w:color w:val="505068"/>
        </w:rPr>
      </w:pPr>
      <w:r>
        <w:rPr>
          <w:rFonts w:ascii="Arial" w:cs="Arial" w:eastAsia="Arial" w:hAnsi="Arial"/>
          <w:sz w:val="15"/>
          <w:szCs w:val="15"/>
          <w:color w:val="auto"/>
        </w:rPr>
        <w:t>Non-warranted metals are those where the Group holds title but with no warrant attached and which are either warehoused or in transit. The majority of these non-warranted metals consists of non-ferrous base metals. The fair value is determined based on quoted exchange prices, and is classified as a Level 1 valuation.</w:t>
      </w:r>
    </w:p>
    <w:p>
      <w:pPr>
        <w:spacing w:after="0" w:line="65" w:lineRule="exact"/>
        <w:rPr>
          <w:rFonts w:ascii="Arial" w:cs="Arial" w:eastAsia="Arial" w:hAnsi="Arial"/>
          <w:sz w:val="15"/>
          <w:szCs w:val="15"/>
          <w:color w:val="505068"/>
        </w:rPr>
      </w:pPr>
    </w:p>
    <w:p>
      <w:pPr>
        <w:jc w:val="both"/>
        <w:ind w:left="160" w:right="160" w:hanging="152"/>
        <w:spacing w:after="0" w:line="273" w:lineRule="auto"/>
        <w:tabs>
          <w:tab w:leader="none" w:pos="155" w:val="left"/>
        </w:tabs>
        <w:numPr>
          <w:ilvl w:val="0"/>
          <w:numId w:val="29"/>
        </w:numPr>
        <w:rPr>
          <w:rFonts w:ascii="Arial" w:cs="Arial" w:eastAsia="Arial" w:hAnsi="Arial"/>
          <w:sz w:val="15"/>
          <w:szCs w:val="15"/>
          <w:color w:val="505068"/>
        </w:rPr>
      </w:pPr>
      <w:r>
        <w:rPr>
          <w:rFonts w:ascii="Arial" w:cs="Arial" w:eastAsia="Arial" w:hAnsi="Arial"/>
          <w:sz w:val="15"/>
          <w:szCs w:val="15"/>
          <w:color w:val="auto"/>
        </w:rPr>
        <w:t>Recyclable scrap metals are those which the Group has title over and which are in transit from the supplier to the customer. The vast majority of recyclable scrap metals consists of non-ferrous metals and comprises various grades of copper (including brass), aluminium and lead. The fair value for recyclable scrap metals is determined based on quoted metal prices, which are discounted for grade and location where appropriate, and is classified as a Level 2 valuation.</w:t>
      </w:r>
    </w:p>
    <w:p>
      <w:pPr>
        <w:spacing w:after="0" w:line="72" w:lineRule="exact"/>
        <w:rPr>
          <w:rFonts w:ascii="Arial" w:cs="Arial" w:eastAsia="Arial" w:hAnsi="Arial"/>
          <w:sz w:val="15"/>
          <w:szCs w:val="15"/>
          <w:color w:val="505068"/>
        </w:rPr>
      </w:pPr>
    </w:p>
    <w:p>
      <w:pPr>
        <w:jc w:val="both"/>
        <w:ind w:left="160" w:right="60" w:hanging="152"/>
        <w:spacing w:after="0" w:line="273" w:lineRule="auto"/>
        <w:tabs>
          <w:tab w:leader="none" w:pos="155" w:val="left"/>
        </w:tabs>
        <w:numPr>
          <w:ilvl w:val="0"/>
          <w:numId w:val="29"/>
        </w:numPr>
        <w:rPr>
          <w:rFonts w:ascii="Arial" w:cs="Arial" w:eastAsia="Arial" w:hAnsi="Arial"/>
          <w:sz w:val="15"/>
          <w:szCs w:val="15"/>
          <w:color w:val="505068"/>
        </w:rPr>
      </w:pPr>
      <w:r>
        <w:rPr>
          <w:rFonts w:ascii="Arial" w:cs="Arial" w:eastAsia="Arial" w:hAnsi="Arial"/>
          <w:sz w:val="15"/>
          <w:szCs w:val="15"/>
          <w:color w:val="auto"/>
        </w:rPr>
        <w:t>Minor metals are those where the Group has title over and are either stored in London Metal Exchange and Minor Metals Trade Association approved warehouses or in transit between warehouses and trading counterparties. The vast majority of the inventory consists of various grades/alloys of cobalt, lithium and other battery metals. The fair value is determined based on quoted metal prices which are adjusted for differing grades and is classified as a Level 2 valuation.</w:t>
      </w:r>
    </w:p>
    <w:p>
      <w:pPr>
        <w:spacing w:after="0" w:line="59" w:lineRule="exact"/>
        <w:rPr>
          <w:rFonts w:ascii="Arial" w:cs="Arial" w:eastAsia="Arial" w:hAnsi="Arial"/>
          <w:sz w:val="15"/>
          <w:szCs w:val="15"/>
          <w:color w:val="505068"/>
        </w:rPr>
      </w:pPr>
    </w:p>
    <w:p>
      <w:pPr>
        <w:ind w:left="160" w:right="480" w:hanging="152"/>
        <w:spacing w:after="0" w:line="301" w:lineRule="auto"/>
        <w:tabs>
          <w:tab w:leader="none" w:pos="155" w:val="left"/>
        </w:tabs>
        <w:numPr>
          <w:ilvl w:val="0"/>
          <w:numId w:val="29"/>
        </w:numPr>
        <w:rPr>
          <w:rFonts w:ascii="Arial" w:cs="Arial" w:eastAsia="Arial" w:hAnsi="Arial"/>
          <w:sz w:val="15"/>
          <w:szCs w:val="15"/>
          <w:color w:val="505068"/>
        </w:rPr>
      </w:pPr>
      <w:r>
        <w:rPr>
          <w:rFonts w:ascii="Arial" w:cs="Arial" w:eastAsia="Arial" w:hAnsi="Arial"/>
          <w:sz w:val="15"/>
          <w:szCs w:val="15"/>
          <w:color w:val="auto"/>
        </w:rPr>
        <w:t>Precious metals are those where the Group holds title and which are either warehoused or in transit. The fair value is determined based on quoted exchange prices. The fair value is determined based on quoted exchange prices, and is classified as a Level 1 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16</w:t>
      </w:r>
    </w:p>
    <w:p>
      <w:pPr>
        <w:sectPr>
          <w:pgSz w:w="11900" w:h="16838" w:orient="portrait"/>
          <w:cols w:equalWidth="0" w:num="1">
            <w:col w:w="11220"/>
          </w:cols>
          <w:pgMar w:left="320" w:top="1353" w:right="35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793690"/>
        </w:rPr>
        <w:t xml:space="preserve">Notes to the Unaudited Condensed Consolidated Financial Statements </w:t>
      </w:r>
      <w:r>
        <w:rPr>
          <w:rFonts w:ascii="Arial" w:cs="Arial" w:eastAsia="Arial" w:hAnsi="Arial"/>
          <w:sz w:val="22"/>
          <w:szCs w:val="22"/>
          <w:color w:val="793690"/>
        </w:rPr>
        <w:t>(continued)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 xml:space="preserve">8 Inventory </w:t>
      </w:r>
      <w:r>
        <w:rPr>
          <w:rFonts w:ascii="Arial" w:cs="Arial" w:eastAsia="Arial" w:hAnsi="Arial"/>
          <w:sz w:val="18"/>
          <w:szCs w:val="18"/>
          <w:color w:val="793690"/>
        </w:rPr>
        <w:t>(continued)</w:t>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movements charged to profit and loss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00" w:type="dxa"/>
            <w:vAlign w:val="bottom"/>
          </w:tcPr>
          <w:p>
            <w:pPr>
              <w:spacing w:after="0"/>
              <w:rPr>
                <w:sz w:val="13"/>
                <w:szCs w:val="13"/>
                <w:color w:val="auto"/>
              </w:rPr>
            </w:pPr>
          </w:p>
        </w:tc>
        <w:tc>
          <w:tcPr>
            <w:tcW w:w="1760" w:type="dxa"/>
            <w:vAlign w:val="bottom"/>
            <w:shd w:val="clear" w:color="auto" w:fill="F4EFF6"/>
          </w:tcPr>
          <w:p>
            <w:pPr>
              <w:spacing w:after="0"/>
              <w:rPr>
                <w:sz w:val="13"/>
                <w:szCs w:val="13"/>
                <w:color w:val="auto"/>
              </w:rPr>
            </w:pPr>
          </w:p>
        </w:tc>
        <w:tc>
          <w:tcPr>
            <w:tcW w:w="16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Fair value</w:t>
            </w:r>
          </w:p>
        </w:tc>
        <w:tc>
          <w:tcPr>
            <w:tcW w:w="1740" w:type="dxa"/>
            <w:vAlign w:val="bottom"/>
            <w:shd w:val="clear" w:color="auto" w:fill="F4EFF6"/>
          </w:tcPr>
          <w:p>
            <w:pPr>
              <w:spacing w:after="0"/>
              <w:rPr>
                <w:sz w:val="13"/>
                <w:szCs w:val="13"/>
                <w:color w:val="auto"/>
              </w:rPr>
            </w:pPr>
          </w:p>
        </w:tc>
      </w:tr>
      <w:tr>
        <w:trPr>
          <w:trHeight w:val="162"/>
        </w:trPr>
        <w:tc>
          <w:tcPr>
            <w:tcW w:w="6100" w:type="dxa"/>
            <w:vAlign w:val="bottom"/>
          </w:tcPr>
          <w:p>
            <w:pPr>
              <w:spacing w:after="0"/>
              <w:rPr>
                <w:sz w:val="14"/>
                <w:szCs w:val="14"/>
                <w:color w:val="auto"/>
              </w:rPr>
            </w:pPr>
          </w:p>
        </w:tc>
        <w:tc>
          <w:tcPr>
            <w:tcW w:w="1760" w:type="dxa"/>
            <w:vAlign w:val="bottom"/>
            <w:shd w:val="clear" w:color="auto" w:fill="F4EFF6"/>
          </w:tcPr>
          <w:p>
            <w:pPr>
              <w:spacing w:after="0"/>
              <w:rPr>
                <w:sz w:val="14"/>
                <w:szCs w:val="14"/>
                <w:color w:val="auto"/>
              </w:rPr>
            </w:pPr>
          </w:p>
        </w:tc>
        <w:tc>
          <w:tcPr>
            <w:tcW w:w="16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movement for the 6</w:t>
            </w:r>
          </w:p>
        </w:tc>
        <w:tc>
          <w:tcPr>
            <w:tcW w:w="1740" w:type="dxa"/>
            <w:vAlign w:val="bottom"/>
            <w:shd w:val="clear" w:color="auto" w:fill="F4EFF6"/>
          </w:tcPr>
          <w:p>
            <w:pPr>
              <w:spacing w:after="0"/>
              <w:rPr>
                <w:sz w:val="14"/>
                <w:szCs w:val="14"/>
                <w:color w:val="auto"/>
              </w:rPr>
            </w:pPr>
          </w:p>
        </w:tc>
      </w:tr>
      <w:tr>
        <w:trPr>
          <w:trHeight w:val="172"/>
        </w:trPr>
        <w:tc>
          <w:tcPr>
            <w:tcW w:w="6100" w:type="dxa"/>
            <w:vAlign w:val="bottom"/>
          </w:tcPr>
          <w:p>
            <w:pPr>
              <w:spacing w:after="0"/>
              <w:rPr>
                <w:sz w:val="14"/>
                <w:szCs w:val="14"/>
                <w:color w:val="auto"/>
              </w:rPr>
            </w:pPr>
          </w:p>
        </w:tc>
        <w:tc>
          <w:tcPr>
            <w:tcW w:w="1760" w:type="dxa"/>
            <w:vAlign w:val="bottom"/>
            <w:shd w:val="clear" w:color="auto" w:fill="F4EFF6"/>
          </w:tcPr>
          <w:p>
            <w:pPr>
              <w:jc w:val="right"/>
              <w:ind w:right="88"/>
              <w:spacing w:after="0"/>
              <w:rPr>
                <w:sz w:val="20"/>
                <w:szCs w:val="20"/>
                <w:color w:val="auto"/>
              </w:rPr>
            </w:pPr>
            <w:r>
              <w:rPr>
                <w:rFonts w:ascii="Arial" w:cs="Arial" w:eastAsia="Arial" w:hAnsi="Arial"/>
                <w:sz w:val="13"/>
                <w:szCs w:val="13"/>
                <w:b w:val="1"/>
                <w:bCs w:val="1"/>
                <w:color w:val="auto"/>
              </w:rPr>
              <w:t>Cost</w:t>
            </w:r>
          </w:p>
        </w:tc>
        <w:tc>
          <w:tcPr>
            <w:tcW w:w="16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months ended</w:t>
            </w:r>
          </w:p>
        </w:tc>
        <w:tc>
          <w:tcPr>
            <w:tcW w:w="17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Inventory</w:t>
            </w:r>
          </w:p>
        </w:tc>
      </w:tr>
      <w:tr>
        <w:trPr>
          <w:trHeight w:val="203"/>
        </w:trPr>
        <w:tc>
          <w:tcPr>
            <w:tcW w:w="6100" w:type="dxa"/>
            <w:vAlign w:val="bottom"/>
          </w:tcPr>
          <w:p>
            <w:pPr>
              <w:spacing w:after="0"/>
              <w:rPr>
                <w:sz w:val="17"/>
                <w:szCs w:val="17"/>
                <w:color w:val="auto"/>
              </w:rPr>
            </w:pPr>
          </w:p>
        </w:tc>
        <w:tc>
          <w:tcPr>
            <w:tcW w:w="1760" w:type="dxa"/>
            <w:vAlign w:val="bottom"/>
            <w:shd w:val="clear" w:color="auto" w:fill="F4EFF6"/>
          </w:tcPr>
          <w:p>
            <w:pPr>
              <w:jc w:val="right"/>
              <w:ind w:right="88"/>
              <w:spacing w:after="0"/>
              <w:rPr>
                <w:sz w:val="20"/>
                <w:szCs w:val="20"/>
                <w:color w:val="auto"/>
              </w:rPr>
            </w:pPr>
            <w:r>
              <w:rPr>
                <w:rFonts w:ascii="Arial" w:cs="Arial" w:eastAsia="Arial" w:hAnsi="Arial"/>
                <w:sz w:val="13"/>
                <w:szCs w:val="13"/>
                <w:b w:val="1"/>
                <w:bCs w:val="1"/>
                <w:color w:val="auto"/>
              </w:rPr>
              <w:t>30 June 2025</w:t>
            </w:r>
          </w:p>
        </w:tc>
        <w:tc>
          <w:tcPr>
            <w:tcW w:w="16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7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r>
      <w:tr>
        <w:trPr>
          <w:trHeight w:val="224"/>
        </w:trPr>
        <w:tc>
          <w:tcPr>
            <w:tcW w:w="6100" w:type="dxa"/>
            <w:vAlign w:val="bottom"/>
          </w:tcPr>
          <w:p>
            <w:pPr>
              <w:spacing w:after="0"/>
              <w:rPr>
                <w:sz w:val="19"/>
                <w:szCs w:val="19"/>
                <w:color w:val="auto"/>
              </w:rPr>
            </w:pPr>
          </w:p>
        </w:tc>
        <w:tc>
          <w:tcPr>
            <w:tcW w:w="1760" w:type="dxa"/>
            <w:vAlign w:val="bottom"/>
            <w:tcBorders>
              <w:bottom w:val="single" w:sz="8" w:color="F4EFF6"/>
            </w:tcBorders>
            <w:shd w:val="clear" w:color="auto" w:fill="F4EFF6"/>
          </w:tcPr>
          <w:p>
            <w:pPr>
              <w:jc w:val="right"/>
              <w:ind w:right="88"/>
              <w:spacing w:after="0"/>
              <w:rPr>
                <w:sz w:val="20"/>
                <w:szCs w:val="20"/>
                <w:color w:val="auto"/>
              </w:rPr>
            </w:pPr>
            <w:r>
              <w:rPr>
                <w:rFonts w:ascii="Arial" w:cs="Arial" w:eastAsia="Arial" w:hAnsi="Arial"/>
                <w:sz w:val="13"/>
                <w:szCs w:val="13"/>
                <w:b w:val="1"/>
                <w:bCs w:val="1"/>
                <w:color w:val="auto"/>
              </w:rPr>
              <w:t>$m</w:t>
            </w:r>
          </w:p>
        </w:tc>
        <w:tc>
          <w:tcPr>
            <w:tcW w:w="16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74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r>
      <w:tr>
        <w:trPr>
          <w:trHeight w:val="203"/>
        </w:trPr>
        <w:tc>
          <w:tcPr>
            <w:tcW w:w="610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Cryptocurrency - Trading</w:t>
            </w:r>
          </w:p>
        </w:tc>
        <w:tc>
          <w:tcPr>
            <w:tcW w:w="1760" w:type="dxa"/>
            <w:vAlign w:val="bottom"/>
            <w:tcBorders>
              <w:top w:val="single" w:sz="8" w:color="793690"/>
            </w:tcBorders>
            <w:shd w:val="clear" w:color="auto" w:fill="F4EFF6"/>
          </w:tcPr>
          <w:p>
            <w:pPr>
              <w:jc w:val="right"/>
              <w:ind w:right="88"/>
              <w:spacing w:after="0"/>
              <w:rPr>
                <w:sz w:val="20"/>
                <w:szCs w:val="20"/>
                <w:color w:val="auto"/>
              </w:rPr>
            </w:pPr>
            <w:r>
              <w:rPr>
                <w:rFonts w:ascii="Arial" w:cs="Arial" w:eastAsia="Arial" w:hAnsi="Arial"/>
                <w:sz w:val="15"/>
                <w:szCs w:val="15"/>
                <w:color w:val="auto"/>
              </w:rPr>
              <w:t>30.0</w:t>
            </w:r>
          </w:p>
        </w:tc>
        <w:tc>
          <w:tcPr>
            <w:tcW w:w="1620" w:type="dxa"/>
            <w:vAlign w:val="bottom"/>
            <w:tcBorders>
              <w:top w:val="single" w:sz="8" w:color="793690"/>
            </w:tcBorders>
            <w:shd w:val="clear" w:color="auto" w:fill="F4EFF6"/>
          </w:tcPr>
          <w:p>
            <w:pPr>
              <w:jc w:val="right"/>
              <w:spacing w:after="0"/>
              <w:rPr>
                <w:sz w:val="20"/>
                <w:szCs w:val="20"/>
                <w:color w:val="auto"/>
              </w:rPr>
            </w:pPr>
            <w:r>
              <w:rPr>
                <w:rFonts w:ascii="Arial" w:cs="Arial" w:eastAsia="Arial" w:hAnsi="Arial"/>
                <w:sz w:val="15"/>
                <w:szCs w:val="15"/>
                <w:color w:val="auto"/>
              </w:rPr>
              <w:t>4.0</w:t>
            </w:r>
          </w:p>
        </w:tc>
        <w:tc>
          <w:tcPr>
            <w:tcW w:w="1740" w:type="dxa"/>
            <w:vAlign w:val="bottom"/>
            <w:tcBorders>
              <w:top w:val="single" w:sz="8" w:color="793690"/>
            </w:tcBorders>
            <w:shd w:val="clear" w:color="auto" w:fill="F4EFF6"/>
          </w:tcPr>
          <w:p>
            <w:pPr>
              <w:jc w:val="right"/>
              <w:spacing w:after="0"/>
              <w:rPr>
                <w:sz w:val="20"/>
                <w:szCs w:val="20"/>
                <w:color w:val="auto"/>
              </w:rPr>
            </w:pPr>
            <w:r>
              <w:rPr>
                <w:rFonts w:ascii="Arial" w:cs="Arial" w:eastAsia="Arial" w:hAnsi="Arial"/>
                <w:sz w:val="15"/>
                <w:szCs w:val="15"/>
                <w:color w:val="auto"/>
              </w:rPr>
              <w:t>34.0</w:t>
            </w:r>
          </w:p>
        </w:tc>
      </w:tr>
      <w:tr>
        <w:trPr>
          <w:trHeight w:val="243"/>
        </w:trPr>
        <w:tc>
          <w:tcPr>
            <w:tcW w:w="6100" w:type="dxa"/>
            <w:vAlign w:val="bottom"/>
          </w:tcPr>
          <w:p>
            <w:pPr>
              <w:ind w:left="20"/>
              <w:spacing w:after="0"/>
              <w:rPr>
                <w:sz w:val="20"/>
                <w:szCs w:val="20"/>
                <w:color w:val="auto"/>
              </w:rPr>
            </w:pPr>
            <w:r>
              <w:rPr>
                <w:rFonts w:ascii="Arial" w:cs="Arial" w:eastAsia="Arial" w:hAnsi="Arial"/>
                <w:sz w:val="15"/>
                <w:szCs w:val="15"/>
                <w:color w:val="auto"/>
              </w:rPr>
              <w:t>Carbon emission certificates and credits - Trading</w:t>
            </w:r>
          </w:p>
        </w:tc>
        <w:tc>
          <w:tcPr>
            <w:tcW w:w="1760" w:type="dxa"/>
            <w:vAlign w:val="bottom"/>
            <w:shd w:val="clear" w:color="auto" w:fill="F4EFF6"/>
          </w:tcPr>
          <w:p>
            <w:pPr>
              <w:jc w:val="right"/>
              <w:ind w:right="88"/>
              <w:spacing w:after="0"/>
              <w:rPr>
                <w:sz w:val="20"/>
                <w:szCs w:val="20"/>
                <w:color w:val="auto"/>
              </w:rPr>
            </w:pPr>
            <w:r>
              <w:rPr>
                <w:rFonts w:ascii="Arial" w:cs="Arial" w:eastAsia="Arial" w:hAnsi="Arial"/>
                <w:sz w:val="15"/>
                <w:szCs w:val="15"/>
                <w:color w:val="auto"/>
              </w:rPr>
              <w:t>14.6</w:t>
            </w:r>
          </w:p>
        </w:tc>
        <w:tc>
          <w:tcPr>
            <w:tcW w:w="1620" w:type="dxa"/>
            <w:vAlign w:val="bottom"/>
            <w:shd w:val="clear" w:color="auto" w:fill="F4EFF6"/>
          </w:tcPr>
          <w:p>
            <w:pPr>
              <w:jc w:val="right"/>
              <w:spacing w:after="0"/>
              <w:rPr>
                <w:sz w:val="20"/>
                <w:szCs w:val="20"/>
                <w:color w:val="auto"/>
              </w:rPr>
            </w:pPr>
            <w:r>
              <w:rPr>
                <w:rFonts w:ascii="Arial" w:cs="Arial" w:eastAsia="Arial" w:hAnsi="Arial"/>
                <w:sz w:val="15"/>
                <w:szCs w:val="15"/>
                <w:color w:val="auto"/>
              </w:rPr>
              <w:t>0.4</w:t>
            </w:r>
          </w:p>
        </w:tc>
        <w:tc>
          <w:tcPr>
            <w:tcW w:w="1740" w:type="dxa"/>
            <w:vAlign w:val="bottom"/>
            <w:shd w:val="clear" w:color="auto" w:fill="F4EFF6"/>
          </w:tcPr>
          <w:p>
            <w:pPr>
              <w:jc w:val="right"/>
              <w:spacing w:after="0"/>
              <w:rPr>
                <w:sz w:val="20"/>
                <w:szCs w:val="20"/>
                <w:color w:val="auto"/>
              </w:rPr>
            </w:pPr>
            <w:r>
              <w:rPr>
                <w:rFonts w:ascii="Arial" w:cs="Arial" w:eastAsia="Arial" w:hAnsi="Arial"/>
                <w:sz w:val="15"/>
                <w:szCs w:val="15"/>
                <w:color w:val="auto"/>
              </w:rPr>
              <w:t>15.0</w:t>
            </w:r>
          </w:p>
        </w:tc>
      </w:tr>
      <w:tr>
        <w:trPr>
          <w:trHeight w:val="276"/>
        </w:trPr>
        <w:tc>
          <w:tcPr>
            <w:tcW w:w="6100" w:type="dxa"/>
            <w:vAlign w:val="bottom"/>
          </w:tcPr>
          <w:p>
            <w:pPr>
              <w:ind w:left="20"/>
              <w:spacing w:after="0"/>
              <w:rPr>
                <w:sz w:val="20"/>
                <w:szCs w:val="20"/>
                <w:color w:val="auto"/>
              </w:rPr>
            </w:pPr>
            <w:r>
              <w:rPr>
                <w:rFonts w:ascii="Arial" w:cs="Arial" w:eastAsia="Arial" w:hAnsi="Arial"/>
                <w:sz w:val="15"/>
                <w:szCs w:val="15"/>
                <w:color w:val="auto"/>
              </w:rPr>
              <w:t>Warranted metals - Trading</w:t>
            </w:r>
          </w:p>
        </w:tc>
        <w:tc>
          <w:tcPr>
            <w:tcW w:w="1760" w:type="dxa"/>
            <w:vAlign w:val="bottom"/>
            <w:tcBorders>
              <w:bottom w:val="single" w:sz="8" w:color="F4EFF6"/>
            </w:tcBorders>
            <w:shd w:val="clear" w:color="auto" w:fill="F4EFF6"/>
          </w:tcPr>
          <w:p>
            <w:pPr>
              <w:jc w:val="right"/>
              <w:ind w:right="88"/>
              <w:spacing w:after="0"/>
              <w:rPr>
                <w:sz w:val="20"/>
                <w:szCs w:val="20"/>
                <w:color w:val="auto"/>
              </w:rPr>
            </w:pPr>
            <w:r>
              <w:rPr>
                <w:rFonts w:ascii="Arial" w:cs="Arial" w:eastAsia="Arial" w:hAnsi="Arial"/>
                <w:sz w:val="15"/>
                <w:szCs w:val="15"/>
                <w:color w:val="auto"/>
              </w:rPr>
              <w:t>119.0</w:t>
            </w:r>
          </w:p>
        </w:tc>
        <w:tc>
          <w:tcPr>
            <w:tcW w:w="16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1.5</w:t>
            </w:r>
          </w:p>
        </w:tc>
        <w:tc>
          <w:tcPr>
            <w:tcW w:w="174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120.5</w:t>
            </w:r>
          </w:p>
        </w:tc>
      </w:tr>
      <w:tr>
        <w:trPr>
          <w:trHeight w:val="236"/>
        </w:trPr>
        <w:tc>
          <w:tcPr>
            <w:tcW w:w="61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Non-warranted metals - Trading</w:t>
            </w:r>
          </w:p>
        </w:tc>
        <w:tc>
          <w:tcPr>
            <w:tcW w:w="1760" w:type="dxa"/>
            <w:vAlign w:val="bottom"/>
            <w:tcBorders>
              <w:top w:val="single" w:sz="8" w:color="DADAE7"/>
              <w:bottom w:val="single" w:sz="8" w:color="F4EFF6"/>
            </w:tcBorders>
            <w:shd w:val="clear" w:color="auto" w:fill="F4EFF6"/>
          </w:tcPr>
          <w:p>
            <w:pPr>
              <w:jc w:val="right"/>
              <w:ind w:right="88"/>
              <w:spacing w:after="0"/>
              <w:rPr>
                <w:sz w:val="20"/>
                <w:szCs w:val="20"/>
                <w:color w:val="auto"/>
              </w:rPr>
            </w:pPr>
            <w:r>
              <w:rPr>
                <w:rFonts w:ascii="Arial" w:cs="Arial" w:eastAsia="Arial" w:hAnsi="Arial"/>
                <w:sz w:val="15"/>
                <w:szCs w:val="15"/>
                <w:color w:val="auto"/>
              </w:rPr>
              <w:t>3.8</w:t>
            </w:r>
          </w:p>
        </w:tc>
        <w:tc>
          <w:tcPr>
            <w:tcW w:w="16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0.2</w:t>
            </w:r>
          </w:p>
        </w:tc>
        <w:tc>
          <w:tcPr>
            <w:tcW w:w="17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4.0</w:t>
            </w:r>
          </w:p>
        </w:tc>
      </w:tr>
      <w:tr>
        <w:trPr>
          <w:trHeight w:val="237"/>
        </w:trPr>
        <w:tc>
          <w:tcPr>
            <w:tcW w:w="61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Recyclable scrap metals</w:t>
            </w:r>
          </w:p>
        </w:tc>
        <w:tc>
          <w:tcPr>
            <w:tcW w:w="1760" w:type="dxa"/>
            <w:vAlign w:val="bottom"/>
            <w:tcBorders>
              <w:top w:val="single" w:sz="8" w:color="DADAE7"/>
              <w:bottom w:val="single" w:sz="8" w:color="F4EFF6"/>
            </w:tcBorders>
            <w:shd w:val="clear" w:color="auto" w:fill="F4EFF6"/>
          </w:tcPr>
          <w:p>
            <w:pPr>
              <w:jc w:val="right"/>
              <w:ind w:right="88"/>
              <w:spacing w:after="0"/>
              <w:rPr>
                <w:sz w:val="20"/>
                <w:szCs w:val="20"/>
                <w:color w:val="auto"/>
              </w:rPr>
            </w:pPr>
            <w:r>
              <w:rPr>
                <w:rFonts w:ascii="Arial" w:cs="Arial" w:eastAsia="Arial" w:hAnsi="Arial"/>
                <w:sz w:val="15"/>
                <w:szCs w:val="15"/>
                <w:color w:val="auto"/>
              </w:rPr>
              <w:t>20.2</w:t>
            </w:r>
          </w:p>
        </w:tc>
        <w:tc>
          <w:tcPr>
            <w:tcW w:w="16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0.7</w:t>
            </w:r>
          </w:p>
        </w:tc>
        <w:tc>
          <w:tcPr>
            <w:tcW w:w="17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20.9</w:t>
            </w:r>
          </w:p>
        </w:tc>
      </w:tr>
      <w:tr>
        <w:trPr>
          <w:trHeight w:val="237"/>
        </w:trPr>
        <w:tc>
          <w:tcPr>
            <w:tcW w:w="61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Minor metals</w:t>
            </w:r>
          </w:p>
        </w:tc>
        <w:tc>
          <w:tcPr>
            <w:tcW w:w="1760" w:type="dxa"/>
            <w:vAlign w:val="bottom"/>
            <w:tcBorders>
              <w:top w:val="single" w:sz="8" w:color="DADAE7"/>
              <w:bottom w:val="single" w:sz="8" w:color="F4EFF6"/>
            </w:tcBorders>
            <w:shd w:val="clear" w:color="auto" w:fill="F4EFF6"/>
          </w:tcPr>
          <w:p>
            <w:pPr>
              <w:jc w:val="right"/>
              <w:ind w:right="88"/>
              <w:spacing w:after="0"/>
              <w:rPr>
                <w:sz w:val="20"/>
                <w:szCs w:val="20"/>
                <w:color w:val="auto"/>
              </w:rPr>
            </w:pPr>
            <w:r>
              <w:rPr>
                <w:rFonts w:ascii="Arial" w:cs="Arial" w:eastAsia="Arial" w:hAnsi="Arial"/>
                <w:sz w:val="15"/>
                <w:szCs w:val="15"/>
                <w:color w:val="auto"/>
              </w:rPr>
              <w:t>42.6</w:t>
            </w:r>
          </w:p>
        </w:tc>
        <w:tc>
          <w:tcPr>
            <w:tcW w:w="16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3.0</w:t>
            </w:r>
          </w:p>
        </w:tc>
        <w:tc>
          <w:tcPr>
            <w:tcW w:w="17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45.6</w:t>
            </w:r>
          </w:p>
        </w:tc>
      </w:tr>
      <w:tr>
        <w:trPr>
          <w:trHeight w:val="237"/>
        </w:trPr>
        <w:tc>
          <w:tcPr>
            <w:tcW w:w="61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Precious metals</w:t>
            </w:r>
          </w:p>
        </w:tc>
        <w:tc>
          <w:tcPr>
            <w:tcW w:w="1760" w:type="dxa"/>
            <w:vAlign w:val="bottom"/>
            <w:tcBorders>
              <w:top w:val="single" w:sz="8" w:color="DADAE7"/>
              <w:bottom w:val="single" w:sz="8" w:color="F4EFF6"/>
            </w:tcBorders>
            <w:shd w:val="clear" w:color="auto" w:fill="F4EFF6"/>
          </w:tcPr>
          <w:p>
            <w:pPr>
              <w:jc w:val="right"/>
              <w:ind w:right="88"/>
              <w:spacing w:after="0"/>
              <w:rPr>
                <w:sz w:val="20"/>
                <w:szCs w:val="20"/>
                <w:color w:val="auto"/>
              </w:rPr>
            </w:pPr>
            <w:r>
              <w:rPr>
                <w:rFonts w:ascii="Arial" w:cs="Arial" w:eastAsia="Arial" w:hAnsi="Arial"/>
                <w:sz w:val="15"/>
                <w:szCs w:val="15"/>
                <w:color w:val="auto"/>
              </w:rPr>
              <w:t>19.9</w:t>
            </w:r>
          </w:p>
        </w:tc>
        <w:tc>
          <w:tcPr>
            <w:tcW w:w="16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0.6</w:t>
            </w:r>
          </w:p>
        </w:tc>
        <w:tc>
          <w:tcPr>
            <w:tcW w:w="17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20.5</w:t>
            </w:r>
          </w:p>
        </w:tc>
      </w:tr>
      <w:tr>
        <w:trPr>
          <w:trHeight w:val="344"/>
        </w:trPr>
        <w:tc>
          <w:tcPr>
            <w:tcW w:w="6100" w:type="dxa"/>
            <w:vAlign w:val="bottom"/>
            <w:tcBorders>
              <w:top w:val="single" w:sz="8" w:color="793690"/>
            </w:tcBorders>
          </w:tcPr>
          <w:p>
            <w:pPr>
              <w:spacing w:after="0"/>
              <w:rPr>
                <w:sz w:val="24"/>
                <w:szCs w:val="24"/>
                <w:color w:val="auto"/>
              </w:rPr>
            </w:pPr>
          </w:p>
        </w:tc>
        <w:tc>
          <w:tcPr>
            <w:tcW w:w="1760" w:type="dxa"/>
            <w:vAlign w:val="bottom"/>
            <w:tcBorders>
              <w:top w:val="single" w:sz="8" w:color="793690"/>
              <w:bottom w:val="single" w:sz="8" w:color="F4EFF6"/>
            </w:tcBorders>
            <w:shd w:val="clear" w:color="auto" w:fill="F4EFF6"/>
          </w:tcPr>
          <w:p>
            <w:pPr>
              <w:jc w:val="right"/>
              <w:ind w:right="88"/>
              <w:spacing w:after="0"/>
              <w:rPr>
                <w:sz w:val="20"/>
                <w:szCs w:val="20"/>
                <w:color w:val="auto"/>
              </w:rPr>
            </w:pPr>
            <w:r>
              <w:rPr>
                <w:rFonts w:ascii="Arial" w:cs="Arial" w:eastAsia="Arial" w:hAnsi="Arial"/>
                <w:sz w:val="15"/>
                <w:szCs w:val="15"/>
                <w:b w:val="1"/>
                <w:bCs w:val="1"/>
                <w:color w:val="auto"/>
              </w:rPr>
              <w:t>250.1</w:t>
            </w:r>
          </w:p>
        </w:tc>
        <w:tc>
          <w:tcPr>
            <w:tcW w:w="162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10.4</w:t>
            </w:r>
          </w:p>
        </w:tc>
        <w:tc>
          <w:tcPr>
            <w:tcW w:w="17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260.5</w:t>
            </w:r>
          </w:p>
        </w:tc>
      </w:tr>
      <w:tr>
        <w:trPr>
          <w:trHeight w:val="489"/>
        </w:trPr>
        <w:tc>
          <w:tcPr>
            <w:tcW w:w="6100" w:type="dxa"/>
            <w:vAlign w:val="bottom"/>
            <w:tcBorders>
              <w:top w:val="single" w:sz="8" w:color="793690"/>
            </w:tcBorders>
          </w:tcPr>
          <w:p>
            <w:pPr>
              <w:spacing w:after="0"/>
              <w:rPr>
                <w:sz w:val="24"/>
                <w:szCs w:val="24"/>
                <w:color w:val="auto"/>
              </w:rPr>
            </w:pPr>
          </w:p>
        </w:tc>
        <w:tc>
          <w:tcPr>
            <w:tcW w:w="1760" w:type="dxa"/>
            <w:vAlign w:val="bottom"/>
            <w:tcBorders>
              <w:top w:val="single" w:sz="8" w:color="793690"/>
            </w:tcBorders>
          </w:tcPr>
          <w:p>
            <w:pPr>
              <w:spacing w:after="0"/>
              <w:rPr>
                <w:sz w:val="24"/>
                <w:szCs w:val="24"/>
                <w:color w:val="auto"/>
              </w:rPr>
            </w:pPr>
          </w:p>
        </w:tc>
        <w:tc>
          <w:tcPr>
            <w:tcW w:w="1620" w:type="dxa"/>
            <w:vAlign w:val="bottom"/>
            <w:tcBorders>
              <w:top w:val="single" w:sz="8" w:color="793690"/>
            </w:tcBorders>
          </w:tcPr>
          <w:p>
            <w:pPr>
              <w:jc w:val="right"/>
              <w:spacing w:after="0"/>
              <w:rPr>
                <w:sz w:val="20"/>
                <w:szCs w:val="20"/>
                <w:color w:val="auto"/>
              </w:rPr>
            </w:pPr>
            <w:r>
              <w:rPr>
                <w:rFonts w:ascii="Arial" w:cs="Arial" w:eastAsia="Arial" w:hAnsi="Arial"/>
                <w:sz w:val="13"/>
                <w:szCs w:val="13"/>
                <w:b w:val="1"/>
                <w:bCs w:val="1"/>
                <w:color w:val="auto"/>
              </w:rPr>
              <w:t>Fair value</w:t>
            </w:r>
          </w:p>
        </w:tc>
        <w:tc>
          <w:tcPr>
            <w:tcW w:w="1740" w:type="dxa"/>
            <w:vAlign w:val="bottom"/>
            <w:tcBorders>
              <w:top w:val="single" w:sz="8" w:color="793690"/>
            </w:tcBorders>
          </w:tcPr>
          <w:p>
            <w:pPr>
              <w:spacing w:after="0"/>
              <w:rPr>
                <w:sz w:val="24"/>
                <w:szCs w:val="24"/>
                <w:color w:val="auto"/>
              </w:rPr>
            </w:pPr>
          </w:p>
        </w:tc>
      </w:tr>
      <w:tr>
        <w:trPr>
          <w:trHeight w:val="172"/>
        </w:trPr>
        <w:tc>
          <w:tcPr>
            <w:tcW w:w="610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Arial" w:cs="Arial" w:eastAsia="Arial" w:hAnsi="Arial"/>
                <w:sz w:val="13"/>
                <w:szCs w:val="13"/>
                <w:b w:val="1"/>
                <w:bCs w:val="1"/>
                <w:color w:val="auto"/>
              </w:rPr>
              <w:t>Cost</w:t>
            </w:r>
          </w:p>
        </w:tc>
        <w:tc>
          <w:tcPr>
            <w:tcW w:w="1620" w:type="dxa"/>
            <w:vAlign w:val="bottom"/>
          </w:tcPr>
          <w:p>
            <w:pPr>
              <w:jc w:val="right"/>
              <w:spacing w:after="0"/>
              <w:rPr>
                <w:sz w:val="20"/>
                <w:szCs w:val="20"/>
                <w:color w:val="auto"/>
              </w:rPr>
            </w:pPr>
            <w:r>
              <w:rPr>
                <w:rFonts w:ascii="Arial" w:cs="Arial" w:eastAsia="Arial" w:hAnsi="Arial"/>
                <w:sz w:val="13"/>
                <w:szCs w:val="13"/>
                <w:b w:val="1"/>
                <w:bCs w:val="1"/>
                <w:color w:val="auto"/>
              </w:rPr>
              <w:t>movement</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Inventory</w:t>
            </w:r>
          </w:p>
        </w:tc>
      </w:tr>
      <w:tr>
        <w:trPr>
          <w:trHeight w:val="203"/>
        </w:trPr>
        <w:tc>
          <w:tcPr>
            <w:tcW w:w="6100" w:type="dxa"/>
            <w:vAlign w:val="bottom"/>
          </w:tcPr>
          <w:p>
            <w:pPr>
              <w:spacing w:after="0"/>
              <w:rPr>
                <w:sz w:val="17"/>
                <w:szCs w:val="17"/>
                <w:color w:val="auto"/>
              </w:rPr>
            </w:pPr>
          </w:p>
        </w:tc>
        <w:tc>
          <w:tcPr>
            <w:tcW w:w="1760" w:type="dxa"/>
            <w:vAlign w:val="bottom"/>
          </w:tcPr>
          <w:p>
            <w:pPr>
              <w:jc w:val="right"/>
              <w:ind w:right="88"/>
              <w:spacing w:after="0"/>
              <w:rPr>
                <w:sz w:val="20"/>
                <w:szCs w:val="20"/>
                <w:color w:val="auto"/>
              </w:rPr>
            </w:pPr>
            <w:r>
              <w:rPr>
                <w:rFonts w:ascii="Arial" w:cs="Arial" w:eastAsia="Arial" w:hAnsi="Arial"/>
                <w:sz w:val="13"/>
                <w:szCs w:val="13"/>
                <w:b w:val="1"/>
                <w:bCs w:val="1"/>
                <w:color w:val="auto"/>
              </w:rPr>
              <w:t>31 December 2024</w:t>
            </w:r>
          </w:p>
        </w:tc>
        <w:tc>
          <w:tcPr>
            <w:tcW w:w="1620" w:type="dxa"/>
            <w:vAlign w:val="bottom"/>
          </w:tcPr>
          <w:p>
            <w:pPr>
              <w:jc w:val="right"/>
              <w:spacing w:after="0"/>
              <w:rPr>
                <w:sz w:val="20"/>
                <w:szCs w:val="20"/>
                <w:color w:val="auto"/>
              </w:rPr>
            </w:pPr>
            <w:r>
              <w:rPr>
                <w:rFonts w:ascii="Arial" w:cs="Arial" w:eastAsia="Arial" w:hAnsi="Arial"/>
                <w:sz w:val="13"/>
                <w:szCs w:val="13"/>
                <w:b w:val="1"/>
                <w:bCs w:val="1"/>
                <w:color w:val="auto"/>
              </w:rPr>
              <w:t>31 December 2024</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31 December 2024</w:t>
            </w:r>
          </w:p>
        </w:tc>
      </w:tr>
      <w:tr>
        <w:trPr>
          <w:trHeight w:val="203"/>
        </w:trPr>
        <w:tc>
          <w:tcPr>
            <w:tcW w:w="6100" w:type="dxa"/>
            <w:vAlign w:val="bottom"/>
          </w:tcPr>
          <w:p>
            <w:pPr>
              <w:spacing w:after="0"/>
              <w:rPr>
                <w:sz w:val="17"/>
                <w:szCs w:val="17"/>
                <w:color w:val="auto"/>
              </w:rPr>
            </w:pPr>
          </w:p>
        </w:tc>
        <w:tc>
          <w:tcPr>
            <w:tcW w:w="1760" w:type="dxa"/>
            <w:vAlign w:val="bottom"/>
          </w:tcPr>
          <w:p>
            <w:pPr>
              <w:jc w:val="right"/>
              <w:ind w:right="88"/>
              <w:spacing w:after="0"/>
              <w:rPr>
                <w:sz w:val="20"/>
                <w:szCs w:val="20"/>
                <w:color w:val="auto"/>
              </w:rPr>
            </w:pPr>
            <w:r>
              <w:rPr>
                <w:rFonts w:ascii="Arial" w:cs="Arial" w:eastAsia="Arial" w:hAnsi="Arial"/>
                <w:sz w:val="13"/>
                <w:szCs w:val="13"/>
                <w:b w:val="1"/>
                <w:bCs w:val="1"/>
                <w:color w:val="auto"/>
              </w:rPr>
              <w:t>$m</w:t>
            </w:r>
          </w:p>
        </w:tc>
        <w:tc>
          <w:tcPr>
            <w:tcW w:w="1620" w:type="dxa"/>
            <w:vAlign w:val="bottom"/>
          </w:tcPr>
          <w:p>
            <w:pPr>
              <w:jc w:val="right"/>
              <w:spacing w:after="0"/>
              <w:rPr>
                <w:sz w:val="20"/>
                <w:szCs w:val="20"/>
                <w:color w:val="auto"/>
              </w:rPr>
            </w:pPr>
            <w:r>
              <w:rPr>
                <w:rFonts w:ascii="Arial" w:cs="Arial" w:eastAsia="Arial" w:hAnsi="Arial"/>
                <w:sz w:val="13"/>
                <w:szCs w:val="13"/>
                <w:b w:val="1"/>
                <w:bCs w:val="1"/>
                <w:color w:val="auto"/>
              </w:rPr>
              <w:t>$m</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$m</w:t>
            </w:r>
          </w:p>
        </w:tc>
      </w:tr>
      <w:tr>
        <w:trPr>
          <w:trHeight w:val="22"/>
        </w:trPr>
        <w:tc>
          <w:tcPr>
            <w:tcW w:w="6100" w:type="dxa"/>
            <w:vAlign w:val="bottom"/>
            <w:tcBorders>
              <w:bottom w:val="single" w:sz="8" w:color="793690"/>
            </w:tcBorders>
          </w:tcPr>
          <w:p>
            <w:pPr>
              <w:spacing w:after="0" w:line="20" w:lineRule="exact"/>
              <w:rPr>
                <w:sz w:val="1"/>
                <w:szCs w:val="1"/>
                <w:color w:val="auto"/>
              </w:rPr>
            </w:pPr>
          </w:p>
        </w:tc>
        <w:tc>
          <w:tcPr>
            <w:tcW w:w="1760" w:type="dxa"/>
            <w:vAlign w:val="bottom"/>
            <w:tcBorders>
              <w:bottom w:val="single" w:sz="8" w:color="793690"/>
            </w:tcBorders>
          </w:tcPr>
          <w:p>
            <w:pPr>
              <w:spacing w:after="0" w:line="20" w:lineRule="exact"/>
              <w:rPr>
                <w:sz w:val="1"/>
                <w:szCs w:val="1"/>
                <w:color w:val="auto"/>
              </w:rPr>
            </w:pPr>
          </w:p>
        </w:tc>
        <w:tc>
          <w:tcPr>
            <w:tcW w:w="1620" w:type="dxa"/>
            <w:vAlign w:val="bottom"/>
            <w:tcBorders>
              <w:bottom w:val="single" w:sz="8" w:color="793690"/>
            </w:tcBorders>
          </w:tcPr>
          <w:p>
            <w:pPr>
              <w:spacing w:after="0" w:line="20" w:lineRule="exact"/>
              <w:rPr>
                <w:sz w:val="1"/>
                <w:szCs w:val="1"/>
                <w:color w:val="auto"/>
              </w:rPr>
            </w:pPr>
          </w:p>
        </w:tc>
        <w:tc>
          <w:tcPr>
            <w:tcW w:w="1740" w:type="dxa"/>
            <w:vAlign w:val="bottom"/>
            <w:tcBorders>
              <w:bottom w:val="single" w:sz="8" w:color="793690"/>
            </w:tcBorders>
          </w:tcPr>
          <w:p>
            <w:pPr>
              <w:spacing w:after="0" w:line="20" w:lineRule="exact"/>
              <w:rPr>
                <w:sz w:val="1"/>
                <w:szCs w:val="1"/>
                <w:color w:val="auto"/>
              </w:rPr>
            </w:pPr>
          </w:p>
        </w:tc>
      </w:tr>
      <w:tr>
        <w:trPr>
          <w:trHeight w:val="204"/>
        </w:trPr>
        <w:tc>
          <w:tcPr>
            <w:tcW w:w="6100" w:type="dxa"/>
            <w:vAlign w:val="bottom"/>
          </w:tcPr>
          <w:p>
            <w:pPr>
              <w:ind w:left="20"/>
              <w:spacing w:after="0"/>
              <w:rPr>
                <w:sz w:val="20"/>
                <w:szCs w:val="20"/>
                <w:color w:val="auto"/>
              </w:rPr>
            </w:pPr>
            <w:r>
              <w:rPr>
                <w:rFonts w:ascii="Arial" w:cs="Arial" w:eastAsia="Arial" w:hAnsi="Arial"/>
                <w:sz w:val="15"/>
                <w:szCs w:val="15"/>
                <w:color w:val="auto"/>
              </w:rPr>
              <w:t>Cryptocurrency - Trading</w:t>
            </w:r>
          </w:p>
        </w:tc>
        <w:tc>
          <w:tcPr>
            <w:tcW w:w="1760" w:type="dxa"/>
            <w:vAlign w:val="bottom"/>
          </w:tcPr>
          <w:p>
            <w:pPr>
              <w:jc w:val="right"/>
              <w:ind w:right="148"/>
              <w:spacing w:after="0"/>
              <w:rPr>
                <w:sz w:val="20"/>
                <w:szCs w:val="20"/>
                <w:color w:val="auto"/>
              </w:rPr>
            </w:pPr>
            <w:r>
              <w:rPr>
                <w:rFonts w:ascii="Arial" w:cs="Arial" w:eastAsia="Arial" w:hAnsi="Arial"/>
                <w:sz w:val="15"/>
                <w:szCs w:val="15"/>
                <w:color w:val="auto"/>
              </w:rPr>
              <w:t>8.9</w:t>
            </w:r>
          </w:p>
        </w:tc>
        <w:tc>
          <w:tcPr>
            <w:tcW w:w="1620" w:type="dxa"/>
            <w:vAlign w:val="bottom"/>
          </w:tcPr>
          <w:p>
            <w:pPr>
              <w:jc w:val="right"/>
              <w:spacing w:after="0"/>
              <w:rPr>
                <w:sz w:val="20"/>
                <w:szCs w:val="20"/>
                <w:color w:val="auto"/>
              </w:rPr>
            </w:pPr>
            <w:r>
              <w:rPr>
                <w:rFonts w:ascii="Arial" w:cs="Arial" w:eastAsia="Arial" w:hAnsi="Arial"/>
                <w:sz w:val="15"/>
                <w:szCs w:val="15"/>
                <w:color w:val="auto"/>
              </w:rPr>
              <w:t>(2.0)</w:t>
            </w:r>
          </w:p>
        </w:tc>
        <w:tc>
          <w:tcPr>
            <w:tcW w:w="1740" w:type="dxa"/>
            <w:vAlign w:val="bottom"/>
          </w:tcPr>
          <w:p>
            <w:pPr>
              <w:jc w:val="right"/>
              <w:spacing w:after="0"/>
              <w:rPr>
                <w:sz w:val="20"/>
                <w:szCs w:val="20"/>
                <w:color w:val="auto"/>
              </w:rPr>
            </w:pPr>
            <w:r>
              <w:rPr>
                <w:rFonts w:ascii="Arial" w:cs="Arial" w:eastAsia="Arial" w:hAnsi="Arial"/>
                <w:sz w:val="15"/>
                <w:szCs w:val="15"/>
                <w:color w:val="auto"/>
              </w:rPr>
              <w:t>6.9</w:t>
            </w:r>
          </w:p>
        </w:tc>
      </w:tr>
      <w:tr>
        <w:trPr>
          <w:trHeight w:val="33"/>
        </w:trPr>
        <w:tc>
          <w:tcPr>
            <w:tcW w:w="6100" w:type="dxa"/>
            <w:vAlign w:val="bottom"/>
            <w:tcBorders>
              <w:bottom w:val="single" w:sz="8" w:color="DADAE7"/>
            </w:tcBorders>
          </w:tcPr>
          <w:p>
            <w:pPr>
              <w:spacing w:after="0"/>
              <w:rPr>
                <w:sz w:val="2"/>
                <w:szCs w:val="2"/>
                <w:color w:val="auto"/>
              </w:rPr>
            </w:pPr>
          </w:p>
        </w:tc>
        <w:tc>
          <w:tcPr>
            <w:tcW w:w="1760" w:type="dxa"/>
            <w:vAlign w:val="bottom"/>
            <w:tcBorders>
              <w:bottom w:val="single" w:sz="8" w:color="DADAE7"/>
            </w:tcBorders>
          </w:tcPr>
          <w:p>
            <w:pPr>
              <w:spacing w:after="0"/>
              <w:rPr>
                <w:sz w:val="2"/>
                <w:szCs w:val="2"/>
                <w:color w:val="auto"/>
              </w:rPr>
            </w:pPr>
          </w:p>
        </w:tc>
        <w:tc>
          <w:tcPr>
            <w:tcW w:w="1620" w:type="dxa"/>
            <w:vAlign w:val="bottom"/>
            <w:tcBorders>
              <w:bottom w:val="single" w:sz="8" w:color="DADAE7"/>
            </w:tcBorders>
          </w:tcPr>
          <w:p>
            <w:pPr>
              <w:spacing w:after="0"/>
              <w:rPr>
                <w:sz w:val="2"/>
                <w:szCs w:val="2"/>
                <w:color w:val="auto"/>
              </w:rPr>
            </w:pPr>
          </w:p>
        </w:tc>
        <w:tc>
          <w:tcPr>
            <w:tcW w:w="1740" w:type="dxa"/>
            <w:vAlign w:val="bottom"/>
            <w:tcBorders>
              <w:bottom w:val="single" w:sz="8" w:color="DADAE7"/>
            </w:tcBorders>
          </w:tcPr>
          <w:p>
            <w:pPr>
              <w:spacing w:after="0"/>
              <w:rPr>
                <w:sz w:val="2"/>
                <w:szCs w:val="2"/>
                <w:color w:val="auto"/>
              </w:rPr>
            </w:pPr>
          </w:p>
        </w:tc>
      </w:tr>
      <w:tr>
        <w:trPr>
          <w:trHeight w:val="203"/>
        </w:trPr>
        <w:tc>
          <w:tcPr>
            <w:tcW w:w="6100" w:type="dxa"/>
            <w:vAlign w:val="bottom"/>
          </w:tcPr>
          <w:p>
            <w:pPr>
              <w:ind w:left="20"/>
              <w:spacing w:after="0"/>
              <w:rPr>
                <w:sz w:val="20"/>
                <w:szCs w:val="20"/>
                <w:color w:val="auto"/>
              </w:rPr>
            </w:pPr>
            <w:r>
              <w:rPr>
                <w:rFonts w:ascii="Arial" w:cs="Arial" w:eastAsia="Arial" w:hAnsi="Arial"/>
                <w:sz w:val="15"/>
                <w:szCs w:val="15"/>
                <w:color w:val="auto"/>
              </w:rPr>
              <w:t>Carbon emission certificates and credits - Trading</w:t>
            </w:r>
          </w:p>
        </w:tc>
        <w:tc>
          <w:tcPr>
            <w:tcW w:w="1760" w:type="dxa"/>
            <w:vAlign w:val="bottom"/>
          </w:tcPr>
          <w:p>
            <w:pPr>
              <w:jc w:val="right"/>
              <w:ind w:right="148"/>
              <w:spacing w:after="0"/>
              <w:rPr>
                <w:sz w:val="20"/>
                <w:szCs w:val="20"/>
                <w:color w:val="auto"/>
              </w:rPr>
            </w:pPr>
            <w:r>
              <w:rPr>
                <w:rFonts w:ascii="Arial" w:cs="Arial" w:eastAsia="Arial" w:hAnsi="Arial"/>
                <w:sz w:val="15"/>
                <w:szCs w:val="15"/>
                <w:color w:val="auto"/>
              </w:rPr>
              <w:t>6.5</w:t>
            </w:r>
          </w:p>
        </w:tc>
        <w:tc>
          <w:tcPr>
            <w:tcW w:w="162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33"/>
        </w:trPr>
        <w:tc>
          <w:tcPr>
            <w:tcW w:w="6100" w:type="dxa"/>
            <w:vAlign w:val="bottom"/>
            <w:tcBorders>
              <w:bottom w:val="single" w:sz="8" w:color="DADAE7"/>
            </w:tcBorders>
          </w:tcPr>
          <w:p>
            <w:pPr>
              <w:spacing w:after="0"/>
              <w:rPr>
                <w:sz w:val="2"/>
                <w:szCs w:val="2"/>
                <w:color w:val="auto"/>
              </w:rPr>
            </w:pPr>
          </w:p>
        </w:tc>
        <w:tc>
          <w:tcPr>
            <w:tcW w:w="1760" w:type="dxa"/>
            <w:vAlign w:val="bottom"/>
            <w:tcBorders>
              <w:bottom w:val="single" w:sz="8" w:color="DADAE7"/>
            </w:tcBorders>
          </w:tcPr>
          <w:p>
            <w:pPr>
              <w:spacing w:after="0"/>
              <w:rPr>
                <w:sz w:val="2"/>
                <w:szCs w:val="2"/>
                <w:color w:val="auto"/>
              </w:rPr>
            </w:pPr>
          </w:p>
        </w:tc>
        <w:tc>
          <w:tcPr>
            <w:tcW w:w="1620" w:type="dxa"/>
            <w:vAlign w:val="bottom"/>
            <w:tcBorders>
              <w:bottom w:val="single" w:sz="8" w:color="DADAE7"/>
            </w:tcBorders>
          </w:tcPr>
          <w:p>
            <w:pPr>
              <w:spacing w:after="0"/>
              <w:rPr>
                <w:sz w:val="2"/>
                <w:szCs w:val="2"/>
                <w:color w:val="auto"/>
              </w:rPr>
            </w:pPr>
          </w:p>
        </w:tc>
        <w:tc>
          <w:tcPr>
            <w:tcW w:w="1740" w:type="dxa"/>
            <w:vAlign w:val="bottom"/>
            <w:tcBorders>
              <w:bottom w:val="single" w:sz="8" w:color="DADAE7"/>
            </w:tcBorders>
          </w:tcPr>
          <w:p>
            <w:pPr>
              <w:spacing w:after="0"/>
              <w:rPr>
                <w:sz w:val="2"/>
                <w:szCs w:val="2"/>
                <w:color w:val="auto"/>
              </w:rPr>
            </w:pPr>
          </w:p>
        </w:tc>
      </w:tr>
      <w:tr>
        <w:trPr>
          <w:trHeight w:val="203"/>
        </w:trPr>
        <w:tc>
          <w:tcPr>
            <w:tcW w:w="6100" w:type="dxa"/>
            <w:vAlign w:val="bottom"/>
          </w:tcPr>
          <w:p>
            <w:pPr>
              <w:ind w:left="20"/>
              <w:spacing w:after="0"/>
              <w:rPr>
                <w:sz w:val="20"/>
                <w:szCs w:val="20"/>
                <w:color w:val="auto"/>
              </w:rPr>
            </w:pPr>
            <w:r>
              <w:rPr>
                <w:rFonts w:ascii="Arial" w:cs="Arial" w:eastAsia="Arial" w:hAnsi="Arial"/>
                <w:sz w:val="15"/>
                <w:szCs w:val="15"/>
                <w:color w:val="auto"/>
              </w:rPr>
              <w:t>Recyclable scrap metals</w:t>
            </w:r>
          </w:p>
        </w:tc>
        <w:tc>
          <w:tcPr>
            <w:tcW w:w="1760" w:type="dxa"/>
            <w:vAlign w:val="bottom"/>
          </w:tcPr>
          <w:p>
            <w:pPr>
              <w:jc w:val="right"/>
              <w:ind w:right="148"/>
              <w:spacing w:after="0"/>
              <w:rPr>
                <w:sz w:val="20"/>
                <w:szCs w:val="20"/>
                <w:color w:val="auto"/>
              </w:rPr>
            </w:pPr>
            <w:r>
              <w:rPr>
                <w:rFonts w:ascii="Arial" w:cs="Arial" w:eastAsia="Arial" w:hAnsi="Arial"/>
                <w:sz w:val="15"/>
                <w:szCs w:val="15"/>
                <w:color w:val="auto"/>
              </w:rPr>
              <w:t>22.6</w:t>
            </w:r>
          </w:p>
        </w:tc>
        <w:tc>
          <w:tcPr>
            <w:tcW w:w="1620" w:type="dxa"/>
            <w:vAlign w:val="bottom"/>
          </w:tcPr>
          <w:p>
            <w:pPr>
              <w:jc w:val="right"/>
              <w:spacing w:after="0"/>
              <w:rPr>
                <w:sz w:val="20"/>
                <w:szCs w:val="20"/>
                <w:color w:val="auto"/>
              </w:rPr>
            </w:pPr>
            <w:r>
              <w:rPr>
                <w:rFonts w:ascii="Arial" w:cs="Arial" w:eastAsia="Arial" w:hAnsi="Arial"/>
                <w:sz w:val="15"/>
                <w:szCs w:val="15"/>
                <w:color w:val="auto"/>
              </w:rPr>
              <w:t>(0.2)</w:t>
            </w:r>
          </w:p>
        </w:tc>
        <w:tc>
          <w:tcPr>
            <w:tcW w:w="1740" w:type="dxa"/>
            <w:vAlign w:val="bottom"/>
          </w:tcPr>
          <w:p>
            <w:pPr>
              <w:jc w:val="right"/>
              <w:spacing w:after="0"/>
              <w:rPr>
                <w:sz w:val="20"/>
                <w:szCs w:val="20"/>
                <w:color w:val="auto"/>
              </w:rPr>
            </w:pPr>
            <w:r>
              <w:rPr>
                <w:rFonts w:ascii="Arial" w:cs="Arial" w:eastAsia="Arial" w:hAnsi="Arial"/>
                <w:sz w:val="15"/>
                <w:szCs w:val="15"/>
                <w:color w:val="auto"/>
              </w:rPr>
              <w:t>22.4</w:t>
            </w:r>
          </w:p>
        </w:tc>
      </w:tr>
      <w:tr>
        <w:trPr>
          <w:trHeight w:val="33"/>
        </w:trPr>
        <w:tc>
          <w:tcPr>
            <w:tcW w:w="6100" w:type="dxa"/>
            <w:vAlign w:val="bottom"/>
            <w:tcBorders>
              <w:bottom w:val="single" w:sz="8" w:color="793690"/>
            </w:tcBorders>
          </w:tcPr>
          <w:p>
            <w:pPr>
              <w:spacing w:after="0"/>
              <w:rPr>
                <w:sz w:val="2"/>
                <w:szCs w:val="2"/>
                <w:color w:val="auto"/>
              </w:rPr>
            </w:pPr>
          </w:p>
        </w:tc>
        <w:tc>
          <w:tcPr>
            <w:tcW w:w="1760" w:type="dxa"/>
            <w:vAlign w:val="bottom"/>
            <w:tcBorders>
              <w:bottom w:val="single" w:sz="8" w:color="793690"/>
            </w:tcBorders>
          </w:tcPr>
          <w:p>
            <w:pPr>
              <w:spacing w:after="0"/>
              <w:rPr>
                <w:sz w:val="2"/>
                <w:szCs w:val="2"/>
                <w:color w:val="auto"/>
              </w:rPr>
            </w:pPr>
          </w:p>
        </w:tc>
        <w:tc>
          <w:tcPr>
            <w:tcW w:w="1620" w:type="dxa"/>
            <w:vAlign w:val="bottom"/>
            <w:tcBorders>
              <w:bottom w:val="single" w:sz="8" w:color="793690"/>
            </w:tcBorders>
          </w:tcPr>
          <w:p>
            <w:pPr>
              <w:spacing w:after="0"/>
              <w:rPr>
                <w:sz w:val="2"/>
                <w:szCs w:val="2"/>
                <w:color w:val="auto"/>
              </w:rPr>
            </w:pPr>
          </w:p>
        </w:tc>
        <w:tc>
          <w:tcPr>
            <w:tcW w:w="1740" w:type="dxa"/>
            <w:vAlign w:val="bottom"/>
            <w:tcBorders>
              <w:bottom w:val="single" w:sz="8" w:color="793690"/>
            </w:tcBorders>
          </w:tcPr>
          <w:p>
            <w:pPr>
              <w:spacing w:after="0"/>
              <w:rPr>
                <w:sz w:val="2"/>
                <w:szCs w:val="2"/>
                <w:color w:val="auto"/>
              </w:rPr>
            </w:pPr>
          </w:p>
        </w:tc>
      </w:tr>
      <w:tr>
        <w:trPr>
          <w:trHeight w:val="312"/>
        </w:trPr>
        <w:tc>
          <w:tcPr>
            <w:tcW w:w="6100" w:type="dxa"/>
            <w:vAlign w:val="bottom"/>
          </w:tcPr>
          <w:p>
            <w:pPr>
              <w:spacing w:after="0"/>
              <w:rPr>
                <w:sz w:val="24"/>
                <w:szCs w:val="24"/>
                <w:color w:val="auto"/>
              </w:rPr>
            </w:pPr>
          </w:p>
        </w:tc>
        <w:tc>
          <w:tcPr>
            <w:tcW w:w="1760" w:type="dxa"/>
            <w:vAlign w:val="bottom"/>
          </w:tcPr>
          <w:p>
            <w:pPr>
              <w:jc w:val="right"/>
              <w:ind w:right="148"/>
              <w:spacing w:after="0"/>
              <w:rPr>
                <w:sz w:val="20"/>
                <w:szCs w:val="20"/>
                <w:color w:val="auto"/>
              </w:rPr>
            </w:pPr>
            <w:r>
              <w:rPr>
                <w:rFonts w:ascii="Arial" w:cs="Arial" w:eastAsia="Arial" w:hAnsi="Arial"/>
                <w:sz w:val="15"/>
                <w:szCs w:val="15"/>
                <w:color w:val="auto"/>
              </w:rPr>
              <w:t>38.0</w:t>
            </w:r>
          </w:p>
        </w:tc>
        <w:tc>
          <w:tcPr>
            <w:tcW w:w="1620" w:type="dxa"/>
            <w:vAlign w:val="bottom"/>
          </w:tcPr>
          <w:p>
            <w:pPr>
              <w:jc w:val="right"/>
              <w:spacing w:after="0"/>
              <w:rPr>
                <w:sz w:val="20"/>
                <w:szCs w:val="20"/>
                <w:color w:val="auto"/>
              </w:rPr>
            </w:pPr>
            <w:r>
              <w:rPr>
                <w:rFonts w:ascii="Arial" w:cs="Arial" w:eastAsia="Arial" w:hAnsi="Arial"/>
                <w:sz w:val="15"/>
                <w:szCs w:val="15"/>
                <w:color w:val="auto"/>
              </w:rPr>
              <w:t>(2.2)</w:t>
            </w:r>
          </w:p>
        </w:tc>
        <w:tc>
          <w:tcPr>
            <w:tcW w:w="1740" w:type="dxa"/>
            <w:vAlign w:val="bottom"/>
          </w:tcPr>
          <w:p>
            <w:pPr>
              <w:jc w:val="right"/>
              <w:spacing w:after="0"/>
              <w:rPr>
                <w:sz w:val="20"/>
                <w:szCs w:val="20"/>
                <w:color w:val="auto"/>
              </w:rPr>
            </w:pPr>
            <w:r>
              <w:rPr>
                <w:rFonts w:ascii="Arial" w:cs="Arial" w:eastAsia="Arial" w:hAnsi="Arial"/>
                <w:sz w:val="15"/>
                <w:szCs w:val="15"/>
                <w:color w:val="auto"/>
              </w:rPr>
              <w:t>35.8</w:t>
            </w:r>
          </w:p>
        </w:tc>
      </w:tr>
      <w:tr>
        <w:trPr>
          <w:trHeight w:val="33"/>
        </w:trPr>
        <w:tc>
          <w:tcPr>
            <w:tcW w:w="6100" w:type="dxa"/>
            <w:vAlign w:val="bottom"/>
            <w:tcBorders>
              <w:bottom w:val="single" w:sz="8" w:color="793690"/>
            </w:tcBorders>
          </w:tcPr>
          <w:p>
            <w:pPr>
              <w:spacing w:after="0"/>
              <w:rPr>
                <w:sz w:val="2"/>
                <w:szCs w:val="2"/>
                <w:color w:val="auto"/>
              </w:rPr>
            </w:pPr>
          </w:p>
        </w:tc>
        <w:tc>
          <w:tcPr>
            <w:tcW w:w="1760" w:type="dxa"/>
            <w:vAlign w:val="bottom"/>
            <w:tcBorders>
              <w:bottom w:val="single" w:sz="8" w:color="793690"/>
            </w:tcBorders>
          </w:tcPr>
          <w:p>
            <w:pPr>
              <w:spacing w:after="0"/>
              <w:rPr>
                <w:sz w:val="2"/>
                <w:szCs w:val="2"/>
                <w:color w:val="auto"/>
              </w:rPr>
            </w:pPr>
          </w:p>
        </w:tc>
        <w:tc>
          <w:tcPr>
            <w:tcW w:w="1620" w:type="dxa"/>
            <w:vAlign w:val="bottom"/>
            <w:tcBorders>
              <w:bottom w:val="single" w:sz="8" w:color="793690"/>
            </w:tcBorders>
          </w:tcPr>
          <w:p>
            <w:pPr>
              <w:spacing w:after="0"/>
              <w:rPr>
                <w:sz w:val="2"/>
                <w:szCs w:val="2"/>
                <w:color w:val="auto"/>
              </w:rPr>
            </w:pPr>
          </w:p>
        </w:tc>
        <w:tc>
          <w:tcPr>
            <w:tcW w:w="1740" w:type="dxa"/>
            <w:vAlign w:val="bottom"/>
            <w:tcBorders>
              <w:bottom w:val="single" w:sz="8" w:color="793690"/>
            </w:tcBorders>
          </w:tcPr>
          <w:p>
            <w:pPr>
              <w:spacing w:after="0"/>
              <w:rPr>
                <w:sz w:val="2"/>
                <w:szCs w:val="2"/>
                <w:color w:val="auto"/>
              </w:rPr>
            </w:pPr>
          </w:p>
        </w:tc>
      </w:tr>
      <w:tr>
        <w:trPr>
          <w:trHeight w:val="518"/>
        </w:trPr>
        <w:tc>
          <w:tcPr>
            <w:tcW w:w="6100" w:type="dxa"/>
            <w:vAlign w:val="bottom"/>
          </w:tcPr>
          <w:p>
            <w:pPr>
              <w:spacing w:after="0"/>
              <w:rPr>
                <w:sz w:val="20"/>
                <w:szCs w:val="20"/>
                <w:color w:val="auto"/>
              </w:rPr>
            </w:pPr>
            <w:r>
              <w:rPr>
                <w:rFonts w:ascii="Arial" w:cs="Arial" w:eastAsia="Arial" w:hAnsi="Arial"/>
                <w:sz w:val="18"/>
                <w:szCs w:val="18"/>
                <w:b w:val="1"/>
                <w:bCs w:val="1"/>
                <w:color w:val="793690"/>
              </w:rPr>
              <w:t>9 Trade and Other Receivables</w:t>
            </w:r>
          </w:p>
        </w:tc>
        <w:tc>
          <w:tcPr>
            <w:tcW w:w="1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6"/>
        </w:trPr>
        <w:tc>
          <w:tcPr>
            <w:tcW w:w="6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31 December 2024</w:t>
            </w:r>
          </w:p>
        </w:tc>
      </w:tr>
      <w:tr>
        <w:trPr>
          <w:trHeight w:val="386"/>
        </w:trPr>
        <w:tc>
          <w:tcPr>
            <w:tcW w:w="61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Note</w:t>
            </w:r>
          </w:p>
        </w:tc>
        <w:tc>
          <w:tcPr>
            <w:tcW w:w="16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$m</w:t>
            </w:r>
          </w:p>
        </w:tc>
      </w:tr>
      <w:tr>
        <w:trPr>
          <w:trHeight w:val="237"/>
        </w:trPr>
        <w:tc>
          <w:tcPr>
            <w:tcW w:w="610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Amounts due from exchanges, clearing houses and other counterparties</w:t>
            </w:r>
          </w:p>
        </w:tc>
        <w:tc>
          <w:tcPr>
            <w:tcW w:w="1760" w:type="dxa"/>
            <w:vAlign w:val="bottom"/>
            <w:tcBorders>
              <w:top w:val="single" w:sz="8" w:color="793690"/>
            </w:tcBorders>
          </w:tcPr>
          <w:p>
            <w:pPr>
              <w:spacing w:after="0"/>
              <w:rPr>
                <w:sz w:val="20"/>
                <w:szCs w:val="20"/>
                <w:color w:val="auto"/>
              </w:rPr>
            </w:pPr>
          </w:p>
        </w:tc>
        <w:tc>
          <w:tcPr>
            <w:tcW w:w="1620" w:type="dxa"/>
            <w:vAlign w:val="bottom"/>
            <w:tcBorders>
              <w:top w:val="single" w:sz="8" w:color="793690"/>
              <w:bottom w:val="single" w:sz="8" w:color="F4EFF6"/>
            </w:tcBorders>
            <w:shd w:val="clear" w:color="auto" w:fill="F4EFF6"/>
          </w:tcPr>
          <w:p>
            <w:pPr>
              <w:jc w:val="right"/>
              <w:ind w:right="8"/>
              <w:spacing w:after="0"/>
              <w:rPr>
                <w:sz w:val="20"/>
                <w:szCs w:val="20"/>
                <w:color w:val="auto"/>
              </w:rPr>
            </w:pPr>
            <w:r>
              <w:rPr>
                <w:rFonts w:ascii="Arial" w:cs="Arial" w:eastAsia="Arial" w:hAnsi="Arial"/>
                <w:sz w:val="15"/>
                <w:szCs w:val="15"/>
                <w:b w:val="1"/>
                <w:bCs w:val="1"/>
                <w:color w:val="auto"/>
              </w:rPr>
              <w:t>4,925.0</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3,215.5</w:t>
            </w:r>
          </w:p>
        </w:tc>
      </w:tr>
      <w:tr>
        <w:trPr>
          <w:trHeight w:val="236"/>
        </w:trPr>
        <w:tc>
          <w:tcPr>
            <w:tcW w:w="61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Amounts due from Prime Brokers</w:t>
            </w:r>
            <w:r>
              <w:rPr>
                <w:rFonts w:ascii="Arial" w:cs="Arial" w:eastAsia="Arial" w:hAnsi="Arial"/>
                <w:sz w:val="9"/>
                <w:szCs w:val="9"/>
                <w:color w:val="auto"/>
              </w:rPr>
              <w:t>1</w:t>
            </w:r>
          </w:p>
        </w:tc>
        <w:tc>
          <w:tcPr>
            <w:tcW w:w="176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8"/>
              <w:spacing w:after="0"/>
              <w:rPr>
                <w:sz w:val="20"/>
                <w:szCs w:val="20"/>
                <w:color w:val="auto"/>
              </w:rPr>
            </w:pPr>
            <w:r>
              <w:rPr>
                <w:rFonts w:ascii="Arial" w:cs="Arial" w:eastAsia="Arial" w:hAnsi="Arial"/>
                <w:sz w:val="15"/>
                <w:szCs w:val="15"/>
                <w:b w:val="1"/>
                <w:bCs w:val="1"/>
                <w:color w:val="auto"/>
              </w:rPr>
              <w:t>112.8</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101.5</w:t>
            </w:r>
          </w:p>
        </w:tc>
      </w:tr>
      <w:tr>
        <w:trPr>
          <w:trHeight w:val="237"/>
        </w:trPr>
        <w:tc>
          <w:tcPr>
            <w:tcW w:w="61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Amounts receivable from clients</w:t>
            </w:r>
          </w:p>
        </w:tc>
        <w:tc>
          <w:tcPr>
            <w:tcW w:w="176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8"/>
              <w:spacing w:after="0"/>
              <w:rPr>
                <w:sz w:val="20"/>
                <w:szCs w:val="20"/>
                <w:color w:val="auto"/>
              </w:rPr>
            </w:pPr>
            <w:r>
              <w:rPr>
                <w:rFonts w:ascii="Arial" w:cs="Arial" w:eastAsia="Arial" w:hAnsi="Arial"/>
                <w:sz w:val="15"/>
                <w:szCs w:val="15"/>
                <w:b w:val="1"/>
                <w:bCs w:val="1"/>
                <w:color w:val="auto"/>
              </w:rPr>
              <w:t>2,639.8</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2,737.1</w:t>
            </w:r>
          </w:p>
        </w:tc>
      </w:tr>
      <w:tr>
        <w:trPr>
          <w:trHeight w:val="236"/>
        </w:trPr>
        <w:tc>
          <w:tcPr>
            <w:tcW w:w="61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Trade debtors</w:t>
            </w:r>
          </w:p>
        </w:tc>
        <w:tc>
          <w:tcPr>
            <w:tcW w:w="176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8"/>
              <w:spacing w:after="0"/>
              <w:rPr>
                <w:sz w:val="20"/>
                <w:szCs w:val="20"/>
                <w:color w:val="auto"/>
              </w:rPr>
            </w:pPr>
            <w:r>
              <w:rPr>
                <w:rFonts w:ascii="Arial" w:cs="Arial" w:eastAsia="Arial" w:hAnsi="Arial"/>
                <w:sz w:val="15"/>
                <w:szCs w:val="15"/>
                <w:b w:val="1"/>
                <w:bCs w:val="1"/>
                <w:color w:val="auto"/>
              </w:rPr>
              <w:t>2,332.3</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785.8</w:t>
            </w:r>
          </w:p>
        </w:tc>
      </w:tr>
      <w:tr>
        <w:trPr>
          <w:trHeight w:val="237"/>
        </w:trPr>
        <w:tc>
          <w:tcPr>
            <w:tcW w:w="61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Default funds and deposits</w:t>
            </w:r>
          </w:p>
        </w:tc>
        <w:tc>
          <w:tcPr>
            <w:tcW w:w="176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8"/>
              <w:spacing w:after="0"/>
              <w:rPr>
                <w:sz w:val="20"/>
                <w:szCs w:val="20"/>
                <w:color w:val="auto"/>
              </w:rPr>
            </w:pPr>
            <w:r>
              <w:rPr>
                <w:rFonts w:ascii="Arial" w:cs="Arial" w:eastAsia="Arial" w:hAnsi="Arial"/>
                <w:sz w:val="15"/>
                <w:szCs w:val="15"/>
                <w:b w:val="1"/>
                <w:bCs w:val="1"/>
                <w:color w:val="auto"/>
              </w:rPr>
              <w:t>428.6</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474.1</w:t>
            </w:r>
          </w:p>
        </w:tc>
      </w:tr>
      <w:tr>
        <w:trPr>
          <w:trHeight w:val="236"/>
        </w:trPr>
        <w:tc>
          <w:tcPr>
            <w:tcW w:w="61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Loans receivable</w:t>
            </w:r>
          </w:p>
        </w:tc>
        <w:tc>
          <w:tcPr>
            <w:tcW w:w="176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8"/>
              <w:spacing w:after="0"/>
              <w:rPr>
                <w:sz w:val="20"/>
                <w:szCs w:val="20"/>
                <w:color w:val="auto"/>
              </w:rPr>
            </w:pPr>
            <w:r>
              <w:rPr>
                <w:rFonts w:ascii="Arial" w:cs="Arial" w:eastAsia="Arial" w:hAnsi="Arial"/>
                <w:sz w:val="15"/>
                <w:szCs w:val="15"/>
                <w:b w:val="1"/>
                <w:bCs w:val="1"/>
                <w:color w:val="auto"/>
              </w:rPr>
              <w:t>249.5</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89.8</w:t>
            </w:r>
          </w:p>
        </w:tc>
      </w:tr>
      <w:tr>
        <w:trPr>
          <w:trHeight w:val="237"/>
        </w:trPr>
        <w:tc>
          <w:tcPr>
            <w:tcW w:w="61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Payment to acquire subsidiaries</w:t>
            </w:r>
          </w:p>
        </w:tc>
        <w:tc>
          <w:tcPr>
            <w:tcW w:w="176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18</w:t>
            </w:r>
          </w:p>
        </w:tc>
        <w:tc>
          <w:tcPr>
            <w:tcW w:w="1620" w:type="dxa"/>
            <w:vAlign w:val="bottom"/>
            <w:tcBorders>
              <w:top w:val="single" w:sz="8" w:color="DADAE7"/>
              <w:bottom w:val="single" w:sz="8" w:color="F4EFF6"/>
            </w:tcBorders>
            <w:shd w:val="clear" w:color="auto" w:fill="F4EFF6"/>
          </w:tcPr>
          <w:p>
            <w:pPr>
              <w:jc w:val="right"/>
              <w:ind w:right="8"/>
              <w:spacing w:after="0"/>
              <w:rPr>
                <w:sz w:val="20"/>
                <w:szCs w:val="20"/>
                <w:color w:val="auto"/>
              </w:rPr>
            </w:pPr>
            <w:r>
              <w:rPr>
                <w:rFonts w:ascii="Arial" w:cs="Arial" w:eastAsia="Arial" w:hAnsi="Arial"/>
                <w:sz w:val="15"/>
                <w:szCs w:val="15"/>
                <w:b w:val="1"/>
                <w:bCs w:val="1"/>
                <w:color w:val="auto"/>
              </w:rPr>
              <w:t>79.1</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w:t>
            </w:r>
          </w:p>
        </w:tc>
      </w:tr>
      <w:tr>
        <w:trPr>
          <w:trHeight w:val="236"/>
        </w:trPr>
        <w:tc>
          <w:tcPr>
            <w:tcW w:w="61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Other tax and social security taxes</w:t>
            </w:r>
          </w:p>
        </w:tc>
        <w:tc>
          <w:tcPr>
            <w:tcW w:w="176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8"/>
              <w:spacing w:after="0"/>
              <w:rPr>
                <w:sz w:val="20"/>
                <w:szCs w:val="20"/>
                <w:color w:val="auto"/>
              </w:rPr>
            </w:pPr>
            <w:r>
              <w:rPr>
                <w:rFonts w:ascii="Arial" w:cs="Arial" w:eastAsia="Arial" w:hAnsi="Arial"/>
                <w:sz w:val="15"/>
                <w:szCs w:val="15"/>
                <w:b w:val="1"/>
                <w:bCs w:val="1"/>
                <w:color w:val="auto"/>
              </w:rPr>
              <w:t>12.6</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12.3</w:t>
            </w:r>
          </w:p>
        </w:tc>
      </w:tr>
      <w:tr>
        <w:trPr>
          <w:trHeight w:val="237"/>
        </w:trPr>
        <w:tc>
          <w:tcPr>
            <w:tcW w:w="61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Other debtors</w:t>
            </w:r>
          </w:p>
        </w:tc>
        <w:tc>
          <w:tcPr>
            <w:tcW w:w="176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8"/>
              <w:spacing w:after="0"/>
              <w:rPr>
                <w:sz w:val="20"/>
                <w:szCs w:val="20"/>
                <w:color w:val="auto"/>
              </w:rPr>
            </w:pPr>
            <w:r>
              <w:rPr>
                <w:rFonts w:ascii="Arial" w:cs="Arial" w:eastAsia="Arial" w:hAnsi="Arial"/>
                <w:sz w:val="15"/>
                <w:szCs w:val="15"/>
                <w:b w:val="1"/>
                <w:bCs w:val="1"/>
                <w:color w:val="auto"/>
              </w:rPr>
              <w:t>136.5</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104.5</w:t>
            </w:r>
          </w:p>
        </w:tc>
      </w:tr>
      <w:tr>
        <w:trPr>
          <w:trHeight w:val="236"/>
        </w:trPr>
        <w:tc>
          <w:tcPr>
            <w:tcW w:w="61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Prepayments</w:t>
            </w:r>
          </w:p>
        </w:tc>
        <w:tc>
          <w:tcPr>
            <w:tcW w:w="1760" w:type="dxa"/>
            <w:vAlign w:val="bottom"/>
            <w:tcBorders>
              <w:top w:val="single" w:sz="8" w:color="DADAE7"/>
            </w:tcBorders>
          </w:tcPr>
          <w:p>
            <w:pPr>
              <w:spacing w:after="0"/>
              <w:rPr>
                <w:sz w:val="20"/>
                <w:szCs w:val="20"/>
                <w:color w:val="auto"/>
              </w:rPr>
            </w:pPr>
          </w:p>
        </w:tc>
        <w:tc>
          <w:tcPr>
            <w:tcW w:w="1620" w:type="dxa"/>
            <w:vAlign w:val="bottom"/>
            <w:tcBorders>
              <w:top w:val="single" w:sz="8" w:color="DADAE7"/>
              <w:bottom w:val="single" w:sz="8" w:color="F4EFF6"/>
            </w:tcBorders>
            <w:shd w:val="clear" w:color="auto" w:fill="F4EFF6"/>
          </w:tcPr>
          <w:p>
            <w:pPr>
              <w:jc w:val="right"/>
              <w:ind w:right="8"/>
              <w:spacing w:after="0"/>
              <w:rPr>
                <w:sz w:val="20"/>
                <w:szCs w:val="20"/>
                <w:color w:val="auto"/>
              </w:rPr>
            </w:pPr>
            <w:r>
              <w:rPr>
                <w:rFonts w:ascii="Arial" w:cs="Arial" w:eastAsia="Arial" w:hAnsi="Arial"/>
                <w:sz w:val="15"/>
                <w:szCs w:val="15"/>
                <w:b w:val="1"/>
                <w:bCs w:val="1"/>
                <w:color w:val="auto"/>
              </w:rPr>
              <w:t>33.7</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32.6</w:t>
            </w:r>
          </w:p>
        </w:tc>
      </w:tr>
      <w:tr>
        <w:trPr>
          <w:trHeight w:val="325"/>
        </w:trPr>
        <w:tc>
          <w:tcPr>
            <w:tcW w:w="6100" w:type="dxa"/>
            <w:vAlign w:val="bottom"/>
            <w:tcBorders>
              <w:top w:val="single" w:sz="8" w:color="793690"/>
            </w:tcBorders>
          </w:tcPr>
          <w:p>
            <w:pPr>
              <w:spacing w:after="0"/>
              <w:rPr>
                <w:sz w:val="24"/>
                <w:szCs w:val="24"/>
                <w:color w:val="auto"/>
              </w:rPr>
            </w:pPr>
          </w:p>
        </w:tc>
        <w:tc>
          <w:tcPr>
            <w:tcW w:w="1760" w:type="dxa"/>
            <w:vAlign w:val="bottom"/>
            <w:tcBorders>
              <w:top w:val="single" w:sz="8" w:color="793690"/>
            </w:tcBorders>
          </w:tcPr>
          <w:p>
            <w:pPr>
              <w:spacing w:after="0"/>
              <w:rPr>
                <w:sz w:val="24"/>
                <w:szCs w:val="24"/>
                <w:color w:val="auto"/>
              </w:rPr>
            </w:pPr>
          </w:p>
        </w:tc>
        <w:tc>
          <w:tcPr>
            <w:tcW w:w="1620" w:type="dxa"/>
            <w:vAlign w:val="bottom"/>
            <w:tcBorders>
              <w:top w:val="single" w:sz="8" w:color="793690"/>
              <w:bottom w:val="single" w:sz="8" w:color="F4EFF6"/>
            </w:tcBorders>
            <w:shd w:val="clear" w:color="auto" w:fill="F4EFF6"/>
          </w:tcPr>
          <w:p>
            <w:pPr>
              <w:jc w:val="right"/>
              <w:ind w:right="8"/>
              <w:spacing w:after="0"/>
              <w:rPr>
                <w:sz w:val="20"/>
                <w:szCs w:val="20"/>
                <w:color w:val="auto"/>
              </w:rPr>
            </w:pPr>
            <w:r>
              <w:rPr>
                <w:rFonts w:ascii="Arial" w:cs="Arial" w:eastAsia="Arial" w:hAnsi="Arial"/>
                <w:sz w:val="15"/>
                <w:szCs w:val="15"/>
                <w:b w:val="1"/>
                <w:bCs w:val="1"/>
                <w:color w:val="auto"/>
              </w:rPr>
              <w:t>10,949.9</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7,553.2</w:t>
            </w:r>
          </w:p>
        </w:tc>
      </w:tr>
      <w:tr>
        <w:trPr>
          <w:trHeight w:val="20"/>
        </w:trPr>
        <w:tc>
          <w:tcPr>
            <w:tcW w:w="6100" w:type="dxa"/>
            <w:vAlign w:val="bottom"/>
            <w:shd w:val="clear" w:color="auto" w:fill="793690"/>
          </w:tcPr>
          <w:p>
            <w:pPr>
              <w:spacing w:after="0" w:line="20" w:lineRule="exact"/>
              <w:rPr>
                <w:sz w:val="1"/>
                <w:szCs w:val="1"/>
                <w:color w:val="auto"/>
              </w:rPr>
            </w:pPr>
          </w:p>
        </w:tc>
        <w:tc>
          <w:tcPr>
            <w:tcW w:w="1760" w:type="dxa"/>
            <w:vAlign w:val="bottom"/>
            <w:shd w:val="clear" w:color="auto" w:fill="793690"/>
          </w:tcPr>
          <w:p>
            <w:pPr>
              <w:spacing w:after="0" w:line="20" w:lineRule="exact"/>
              <w:rPr>
                <w:sz w:val="1"/>
                <w:szCs w:val="1"/>
                <w:color w:val="auto"/>
              </w:rPr>
            </w:pPr>
          </w:p>
        </w:tc>
        <w:tc>
          <w:tcPr>
            <w:tcW w:w="1620" w:type="dxa"/>
            <w:vAlign w:val="bottom"/>
            <w:shd w:val="clear" w:color="auto" w:fill="793690"/>
          </w:tcPr>
          <w:p>
            <w:pPr>
              <w:spacing w:after="0" w:line="20" w:lineRule="exact"/>
              <w:rPr>
                <w:sz w:val="1"/>
                <w:szCs w:val="1"/>
                <w:color w:val="auto"/>
              </w:rPr>
            </w:pPr>
          </w:p>
        </w:tc>
        <w:tc>
          <w:tcPr>
            <w:tcW w:w="1740" w:type="dxa"/>
            <w:vAlign w:val="bottom"/>
            <w:shd w:val="clear" w:color="auto" w:fill="793690"/>
          </w:tcPr>
          <w:p>
            <w:pPr>
              <w:spacing w:after="0" w:line="20" w:lineRule="exact"/>
              <w:rPr>
                <w:sz w:val="1"/>
                <w:szCs w:val="1"/>
                <w:color w:val="auto"/>
              </w:rPr>
            </w:pPr>
          </w:p>
        </w:tc>
      </w:tr>
    </w:tbl>
    <w:p>
      <w:pPr>
        <w:spacing w:after="0" w:line="297" w:lineRule="exact"/>
        <w:rPr>
          <w:sz w:val="20"/>
          <w:szCs w:val="20"/>
          <w:color w:val="auto"/>
        </w:rPr>
      </w:pPr>
    </w:p>
    <w:p>
      <w:pPr>
        <w:ind w:left="660" w:right="240" w:hanging="328"/>
        <w:spacing w:after="0" w:line="285" w:lineRule="auto"/>
        <w:tabs>
          <w:tab w:leader="none" w:pos="656" w:val="left"/>
        </w:tabs>
        <w:numPr>
          <w:ilvl w:val="0"/>
          <w:numId w:val="30"/>
        </w:numPr>
        <w:rPr>
          <w:rFonts w:ascii="Arial" w:cs="Arial" w:eastAsia="Arial" w:hAnsi="Arial"/>
          <w:sz w:val="11"/>
          <w:szCs w:val="11"/>
          <w:color w:val="auto"/>
        </w:rPr>
      </w:pPr>
      <w:r>
        <w:rPr>
          <w:rFonts w:ascii="Arial" w:cs="Arial" w:eastAsia="Arial" w:hAnsi="Arial"/>
          <w:sz w:val="11"/>
          <w:szCs w:val="11"/>
          <w:color w:val="auto"/>
        </w:rPr>
        <w:t>The Group made a change in presentation to separate amounts receivable from clients and amounts due from Prime Brokers. Amounts due from Prime Brokers include cash, realised and unrealised gains or losses on futures and options and margin financing.</w:t>
      </w:r>
    </w:p>
    <w:p>
      <w:pPr>
        <w:spacing w:after="0" w:line="60" w:lineRule="exact"/>
        <w:rPr>
          <w:sz w:val="20"/>
          <w:szCs w:val="20"/>
          <w:color w:val="auto"/>
        </w:rPr>
      </w:pPr>
    </w:p>
    <w:p>
      <w:pPr>
        <w:ind w:right="480"/>
        <w:spacing w:after="0" w:line="301" w:lineRule="auto"/>
        <w:rPr>
          <w:sz w:val="20"/>
          <w:szCs w:val="20"/>
          <w:color w:val="auto"/>
        </w:rPr>
      </w:pPr>
      <w:r>
        <w:rPr>
          <w:rFonts w:ascii="Arial" w:cs="Arial" w:eastAsia="Arial" w:hAnsi="Arial"/>
          <w:sz w:val="15"/>
          <w:szCs w:val="15"/>
          <w:color w:val="auto"/>
        </w:rPr>
        <w:t>Included in amounts receivable from clients, amounts due from Prime Brokers and amounts due from exchanges, clearing houses and other counterparties are segregated balances of $2,626.1m (31 December 2024: $1,833.7m) and non-segregated balances of $5,051.5m (31 December 2024: $4,220.4m).</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Other debtors includes amounts related to sign-on bonuses of $62.2m (31 December 2024: $41.5m).</w:t>
      </w:r>
    </w:p>
    <w:p>
      <w:pPr>
        <w:sectPr>
          <w:pgSz w:w="11900" w:h="16838" w:orient="portrait"/>
          <w:cols w:equalWidth="0" w:num="1">
            <w:col w:w="11220"/>
          </w:cols>
          <w:pgMar w:left="320" w:top="135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17</w:t>
      </w:r>
    </w:p>
    <w:p>
      <w:pPr>
        <w:sectPr>
          <w:pgSz w:w="11900" w:h="16838" w:orient="portrait"/>
          <w:cols w:equalWidth="0" w:num="1">
            <w:col w:w="11220"/>
          </w:cols>
          <w:pgMar w:left="320" w:top="1353" w:right="35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793690"/>
        </w:rPr>
        <w:t>10 Derivative Instruments</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Derivative assets and derivative liabilities comprise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6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31 December 2024</w:t>
            </w:r>
          </w:p>
        </w:tc>
        <w:tc>
          <w:tcPr>
            <w:tcW w:w="0" w:type="dxa"/>
            <w:vAlign w:val="bottom"/>
          </w:tcPr>
          <w:p>
            <w:pPr>
              <w:spacing w:after="0"/>
              <w:rPr>
                <w:sz w:val="1"/>
                <w:szCs w:val="1"/>
                <w:color w:val="auto"/>
              </w:rPr>
            </w:pPr>
          </w:p>
        </w:tc>
      </w:tr>
      <w:tr>
        <w:trPr>
          <w:trHeight w:val="227"/>
        </w:trPr>
        <w:tc>
          <w:tcPr>
            <w:tcW w:w="7860" w:type="dxa"/>
            <w:vAlign w:val="bottom"/>
          </w:tcPr>
          <w:p>
            <w:pPr>
              <w:ind w:left="20"/>
              <w:spacing w:after="0"/>
              <w:rPr>
                <w:sz w:val="20"/>
                <w:szCs w:val="20"/>
                <w:color w:val="auto"/>
              </w:rPr>
            </w:pPr>
            <w:r>
              <w:rPr>
                <w:rFonts w:ascii="Arial" w:cs="Arial" w:eastAsia="Arial" w:hAnsi="Arial"/>
                <w:sz w:val="13"/>
                <w:szCs w:val="13"/>
                <w:b w:val="1"/>
                <w:bCs w:val="1"/>
                <w:color w:val="auto"/>
              </w:rPr>
              <w:t>Financial assets</w:t>
            </w:r>
          </w:p>
        </w:tc>
        <w:tc>
          <w:tcPr>
            <w:tcW w:w="16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$m</w:t>
            </w:r>
          </w:p>
        </w:tc>
        <w:tc>
          <w:tcPr>
            <w:tcW w:w="0" w:type="dxa"/>
            <w:vAlign w:val="bottom"/>
          </w:tcPr>
          <w:p>
            <w:pPr>
              <w:spacing w:after="0"/>
              <w:rPr>
                <w:sz w:val="1"/>
                <w:szCs w:val="1"/>
                <w:color w:val="auto"/>
              </w:rPr>
            </w:pPr>
          </w:p>
        </w:tc>
      </w:tr>
      <w:tr>
        <w:trPr>
          <w:trHeight w:val="192"/>
        </w:trPr>
        <w:tc>
          <w:tcPr>
            <w:tcW w:w="7860" w:type="dxa"/>
            <w:vAlign w:val="bottom"/>
            <w:tcBorders>
              <w:top w:val="single" w:sz="8" w:color="793690"/>
            </w:tcBorders>
          </w:tcPr>
          <w:p>
            <w:pPr>
              <w:ind w:left="20"/>
              <w:spacing w:after="0"/>
              <w:rPr>
                <w:sz w:val="20"/>
                <w:szCs w:val="20"/>
                <w:color w:val="auto"/>
              </w:rPr>
            </w:pPr>
            <w:r>
              <w:rPr>
                <w:rFonts w:ascii="Arial" w:cs="Arial" w:eastAsia="Arial" w:hAnsi="Arial"/>
                <w:sz w:val="15"/>
                <w:szCs w:val="15"/>
                <w:i w:val="1"/>
                <w:iCs w:val="1"/>
                <w:color w:val="auto"/>
              </w:rPr>
              <w:t>Held for trading derivatives carried at fair value through profit and loss that are not designated in hedge accounting</w:t>
            </w:r>
          </w:p>
        </w:tc>
        <w:tc>
          <w:tcPr>
            <w:tcW w:w="1620" w:type="dxa"/>
            <w:vAlign w:val="bottom"/>
            <w:tcBorders>
              <w:top w:val="single" w:sz="8" w:color="793690"/>
            </w:tcBorders>
            <w:shd w:val="clear" w:color="auto" w:fill="F4EFF6"/>
          </w:tcPr>
          <w:p>
            <w:pPr>
              <w:spacing w:after="0"/>
              <w:rPr>
                <w:sz w:val="16"/>
                <w:szCs w:val="16"/>
                <w:color w:val="auto"/>
              </w:rPr>
            </w:pPr>
          </w:p>
        </w:tc>
        <w:tc>
          <w:tcPr>
            <w:tcW w:w="1740" w:type="dxa"/>
            <w:vAlign w:val="bottom"/>
            <w:tcBorders>
              <w:top w:val="single" w:sz="8" w:color="793690"/>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860" w:type="dxa"/>
            <w:vAlign w:val="bottom"/>
            <w:tcBorders>
              <w:bottom w:val="single" w:sz="8" w:color="DADAE7"/>
            </w:tcBorders>
          </w:tcPr>
          <w:p>
            <w:pPr>
              <w:ind w:left="20"/>
              <w:spacing w:after="0"/>
              <w:rPr>
                <w:sz w:val="20"/>
                <w:szCs w:val="20"/>
                <w:color w:val="auto"/>
              </w:rPr>
            </w:pPr>
            <w:r>
              <w:rPr>
                <w:rFonts w:ascii="Arial" w:cs="Arial" w:eastAsia="Arial" w:hAnsi="Arial"/>
                <w:sz w:val="15"/>
                <w:szCs w:val="15"/>
                <w:i w:val="1"/>
                <w:iCs w:val="1"/>
                <w:color w:val="auto"/>
              </w:rPr>
              <w:t>relationships:</w:t>
            </w:r>
          </w:p>
        </w:tc>
        <w:tc>
          <w:tcPr>
            <w:tcW w:w="1620" w:type="dxa"/>
            <w:vAlign w:val="bottom"/>
            <w:tcBorders>
              <w:bottom w:val="single" w:sz="8" w:color="DADAE7"/>
            </w:tcBorders>
            <w:shd w:val="clear" w:color="auto" w:fill="F4EFF6"/>
          </w:tcPr>
          <w:p>
            <w:pPr>
              <w:spacing w:after="0"/>
              <w:rPr>
                <w:sz w:val="18"/>
                <w:szCs w:val="18"/>
                <w:color w:val="auto"/>
              </w:rPr>
            </w:pPr>
          </w:p>
        </w:tc>
        <w:tc>
          <w:tcPr>
            <w:tcW w:w="1740" w:type="dxa"/>
            <w:vAlign w:val="bottom"/>
            <w:tcBorders>
              <w:bottom w:val="single" w:sz="8" w:color="DADAE7"/>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5"/>
                <w:szCs w:val="15"/>
                <w:color w:val="auto"/>
              </w:rPr>
              <w:t>Synthetic equity swap</w:t>
            </w:r>
          </w:p>
        </w:tc>
        <w:tc>
          <w:tcPr>
            <w:tcW w:w="1620" w:type="dxa"/>
            <w:vAlign w:val="bottom"/>
            <w:tcBorders>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230.7</w:t>
            </w:r>
          </w:p>
        </w:tc>
        <w:tc>
          <w:tcPr>
            <w:tcW w:w="1740" w:type="dxa"/>
            <w:vAlign w:val="bottom"/>
          </w:tcPr>
          <w:p>
            <w:pPr>
              <w:jc w:val="right"/>
              <w:spacing w:after="0"/>
              <w:rPr>
                <w:sz w:val="20"/>
                <w:szCs w:val="20"/>
                <w:color w:val="auto"/>
              </w:rPr>
            </w:pPr>
            <w:r>
              <w:rPr>
                <w:rFonts w:ascii="Arial" w:cs="Arial" w:eastAsia="Arial" w:hAnsi="Arial"/>
                <w:sz w:val="15"/>
                <w:szCs w:val="15"/>
                <w:color w:val="auto"/>
              </w:rPr>
              <w:t>243.3</w:t>
            </w:r>
          </w:p>
        </w:tc>
        <w:tc>
          <w:tcPr>
            <w:tcW w:w="0" w:type="dxa"/>
            <w:vAlign w:val="bottom"/>
          </w:tcPr>
          <w:p>
            <w:pPr>
              <w:spacing w:after="0"/>
              <w:rPr>
                <w:sz w:val="1"/>
                <w:szCs w:val="1"/>
                <w:color w:val="auto"/>
              </w:rPr>
            </w:pP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Agriculture contracts</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181.0</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296.7</w:t>
            </w:r>
          </w:p>
        </w:tc>
        <w:tc>
          <w:tcPr>
            <w:tcW w:w="0" w:type="dxa"/>
            <w:vAlign w:val="bottom"/>
          </w:tcPr>
          <w:p>
            <w:pPr>
              <w:spacing w:after="0"/>
              <w:rPr>
                <w:sz w:val="1"/>
                <w:szCs w:val="1"/>
                <w:color w:val="auto"/>
              </w:rPr>
            </w:pP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Energy contracts</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170.5</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83.3</w:t>
            </w:r>
          </w:p>
        </w:tc>
        <w:tc>
          <w:tcPr>
            <w:tcW w:w="0" w:type="dxa"/>
            <w:vAlign w:val="bottom"/>
          </w:tcPr>
          <w:p>
            <w:pPr>
              <w:spacing w:after="0"/>
              <w:rPr>
                <w:sz w:val="1"/>
                <w:szCs w:val="1"/>
                <w:color w:val="auto"/>
              </w:rPr>
            </w:pP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Foreign currency contracts</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560.0</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204.9</w:t>
            </w:r>
          </w:p>
        </w:tc>
        <w:tc>
          <w:tcPr>
            <w:tcW w:w="0" w:type="dxa"/>
            <w:vAlign w:val="bottom"/>
          </w:tcPr>
          <w:p>
            <w:pPr>
              <w:spacing w:after="0"/>
              <w:rPr>
                <w:sz w:val="1"/>
                <w:szCs w:val="1"/>
                <w:color w:val="auto"/>
              </w:rPr>
            </w:pP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Precious metal contracts</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1.7</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36"/>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Credit contracts</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4.3</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Metals contracts</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16.4</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Equity contracts</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151.0</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233.5</w:t>
            </w:r>
          </w:p>
        </w:tc>
        <w:tc>
          <w:tcPr>
            <w:tcW w:w="0" w:type="dxa"/>
            <w:vAlign w:val="bottom"/>
          </w:tcPr>
          <w:p>
            <w:pPr>
              <w:spacing w:after="0"/>
              <w:rPr>
                <w:sz w:val="1"/>
                <w:szCs w:val="1"/>
                <w:color w:val="auto"/>
              </w:rPr>
            </w:pP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Crypto contracts</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12.8</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236"/>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Rates contracts</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86.3</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55.6</w:t>
            </w:r>
          </w:p>
        </w:tc>
        <w:tc>
          <w:tcPr>
            <w:tcW w:w="0" w:type="dxa"/>
            <w:vAlign w:val="bottom"/>
          </w:tcPr>
          <w:p>
            <w:pPr>
              <w:spacing w:after="0"/>
              <w:rPr>
                <w:sz w:val="1"/>
                <w:szCs w:val="1"/>
                <w:color w:val="auto"/>
              </w:rPr>
            </w:pP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i w:val="1"/>
                <w:iCs w:val="1"/>
                <w:color w:val="auto"/>
              </w:rPr>
              <w:t>Held for trading derivatives that are designated in hedge accounting relationships:</w:t>
            </w:r>
          </w:p>
        </w:tc>
        <w:tc>
          <w:tcPr>
            <w:tcW w:w="1620" w:type="dxa"/>
            <w:vAlign w:val="bottom"/>
            <w:tcBorders>
              <w:top w:val="single" w:sz="8" w:color="DADAE7"/>
              <w:bottom w:val="single" w:sz="8" w:color="F4EFF6"/>
            </w:tcBorders>
            <w:shd w:val="clear" w:color="auto" w:fill="F4EFF6"/>
          </w:tcPr>
          <w:p>
            <w:pPr>
              <w:spacing w:after="0"/>
              <w:rPr>
                <w:sz w:val="20"/>
                <w:szCs w:val="20"/>
                <w:color w:val="auto"/>
              </w:rPr>
            </w:pPr>
          </w:p>
        </w:tc>
        <w:tc>
          <w:tcPr>
            <w:tcW w:w="1740" w:type="dxa"/>
            <w:vAlign w:val="bottom"/>
            <w:tcBorders>
              <w:top w:val="single" w:sz="8" w:color="DADAE7"/>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Foreign currency contracts</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5.2</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Rates contracts</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51.8</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25.7</w:t>
            </w:r>
          </w:p>
        </w:tc>
        <w:tc>
          <w:tcPr>
            <w:tcW w:w="0" w:type="dxa"/>
            <w:vAlign w:val="bottom"/>
          </w:tcPr>
          <w:p>
            <w:pPr>
              <w:spacing w:after="0"/>
              <w:rPr>
                <w:sz w:val="1"/>
                <w:szCs w:val="1"/>
                <w:color w:val="auto"/>
              </w:rPr>
            </w:pPr>
          </w:p>
        </w:tc>
      </w:tr>
      <w:tr>
        <w:trPr>
          <w:trHeight w:val="344"/>
        </w:trPr>
        <w:tc>
          <w:tcPr>
            <w:tcW w:w="7860" w:type="dxa"/>
            <w:vAlign w:val="bottom"/>
            <w:tcBorders>
              <w:top w:val="single" w:sz="8" w:color="793690"/>
            </w:tcBorders>
          </w:tcPr>
          <w:p>
            <w:pPr>
              <w:spacing w:after="0"/>
              <w:rPr>
                <w:sz w:val="24"/>
                <w:szCs w:val="24"/>
                <w:color w:val="auto"/>
              </w:rPr>
            </w:pPr>
          </w:p>
        </w:tc>
        <w:tc>
          <w:tcPr>
            <w:tcW w:w="162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1,471.7</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1,163.5</w:t>
            </w:r>
          </w:p>
        </w:tc>
        <w:tc>
          <w:tcPr>
            <w:tcW w:w="0" w:type="dxa"/>
            <w:vAlign w:val="bottom"/>
          </w:tcPr>
          <w:p>
            <w:pPr>
              <w:spacing w:after="0"/>
              <w:rPr>
                <w:sz w:val="1"/>
                <w:szCs w:val="1"/>
                <w:color w:val="auto"/>
              </w:rPr>
            </w:pPr>
          </w:p>
        </w:tc>
      </w:tr>
      <w:tr>
        <w:trPr>
          <w:trHeight w:val="331"/>
        </w:trPr>
        <w:tc>
          <w:tcPr>
            <w:tcW w:w="7860" w:type="dxa"/>
            <w:vAlign w:val="bottom"/>
            <w:tcBorders>
              <w:top w:val="single" w:sz="8" w:color="793690"/>
            </w:tcBorders>
          </w:tcPr>
          <w:p>
            <w:pPr>
              <w:spacing w:after="0"/>
              <w:rPr>
                <w:sz w:val="24"/>
                <w:szCs w:val="24"/>
                <w:color w:val="auto"/>
              </w:rPr>
            </w:pPr>
          </w:p>
        </w:tc>
        <w:tc>
          <w:tcPr>
            <w:tcW w:w="1620" w:type="dxa"/>
            <w:vAlign w:val="bottom"/>
            <w:tcBorders>
              <w:top w:val="single" w:sz="8" w:color="793690"/>
            </w:tcBorders>
          </w:tcPr>
          <w:p>
            <w:pPr>
              <w:spacing w:after="0"/>
              <w:rPr>
                <w:sz w:val="24"/>
                <w:szCs w:val="24"/>
                <w:color w:val="auto"/>
              </w:rPr>
            </w:pPr>
          </w:p>
        </w:tc>
        <w:tc>
          <w:tcPr>
            <w:tcW w:w="1740" w:type="dxa"/>
            <w:vAlign w:val="bottom"/>
            <w:tcBorders>
              <w:top w:val="single" w:sz="8" w:color="793690"/>
            </w:tcBorders>
            <w:vMerge w:val="restart"/>
          </w:tcPr>
          <w:p>
            <w:pPr>
              <w:jc w:val="right"/>
              <w:spacing w:after="0"/>
              <w:rPr>
                <w:sz w:val="20"/>
                <w:szCs w:val="20"/>
                <w:color w:val="auto"/>
              </w:rPr>
            </w:pPr>
            <w:r>
              <w:rPr>
                <w:rFonts w:ascii="Arial" w:cs="Arial" w:eastAsia="Arial" w:hAnsi="Arial"/>
                <w:sz w:val="13"/>
                <w:szCs w:val="13"/>
                <w:b w:val="1"/>
                <w:bCs w:val="1"/>
                <w:color w:val="auto"/>
              </w:rPr>
              <w:t>31 December 2024</w:t>
            </w:r>
          </w:p>
        </w:tc>
        <w:tc>
          <w:tcPr>
            <w:tcW w:w="0" w:type="dxa"/>
            <w:vAlign w:val="bottom"/>
          </w:tcPr>
          <w:p>
            <w:pPr>
              <w:spacing w:after="0"/>
              <w:rPr>
                <w:sz w:val="1"/>
                <w:szCs w:val="1"/>
                <w:color w:val="auto"/>
              </w:rPr>
            </w:pPr>
          </w:p>
        </w:tc>
      </w:tr>
      <w:tr>
        <w:trPr>
          <w:trHeight w:val="181"/>
        </w:trPr>
        <w:tc>
          <w:tcPr>
            <w:tcW w:w="7860" w:type="dxa"/>
            <w:vAlign w:val="bottom"/>
          </w:tcPr>
          <w:p>
            <w:pPr>
              <w:spacing w:after="0"/>
              <w:rPr>
                <w:sz w:val="15"/>
                <w:szCs w:val="15"/>
                <w:color w:val="auto"/>
              </w:rPr>
            </w:pPr>
          </w:p>
        </w:tc>
        <w:tc>
          <w:tcPr>
            <w:tcW w:w="16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860" w:type="dxa"/>
            <w:vAlign w:val="bottom"/>
          </w:tcPr>
          <w:p>
            <w:pPr>
              <w:ind w:left="20"/>
              <w:spacing w:after="0"/>
              <w:rPr>
                <w:sz w:val="20"/>
                <w:szCs w:val="20"/>
                <w:color w:val="auto"/>
              </w:rPr>
            </w:pPr>
            <w:r>
              <w:rPr>
                <w:rFonts w:ascii="Arial" w:cs="Arial" w:eastAsia="Arial" w:hAnsi="Arial"/>
                <w:sz w:val="13"/>
                <w:szCs w:val="13"/>
                <w:b w:val="1"/>
                <w:bCs w:val="1"/>
                <w:color w:val="auto"/>
              </w:rPr>
              <w:t>Financial liabilities</w:t>
            </w:r>
          </w:p>
        </w:tc>
        <w:tc>
          <w:tcPr>
            <w:tcW w:w="16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$m</w:t>
            </w:r>
          </w:p>
        </w:tc>
        <w:tc>
          <w:tcPr>
            <w:tcW w:w="0" w:type="dxa"/>
            <w:vAlign w:val="bottom"/>
          </w:tcPr>
          <w:p>
            <w:pPr>
              <w:spacing w:after="0"/>
              <w:rPr>
                <w:sz w:val="1"/>
                <w:szCs w:val="1"/>
                <w:color w:val="auto"/>
              </w:rPr>
            </w:pPr>
          </w:p>
        </w:tc>
      </w:tr>
      <w:tr>
        <w:trPr>
          <w:trHeight w:val="192"/>
        </w:trPr>
        <w:tc>
          <w:tcPr>
            <w:tcW w:w="7860" w:type="dxa"/>
            <w:vAlign w:val="bottom"/>
            <w:tcBorders>
              <w:top w:val="single" w:sz="8" w:color="793690"/>
            </w:tcBorders>
          </w:tcPr>
          <w:p>
            <w:pPr>
              <w:ind w:left="20"/>
              <w:spacing w:after="0"/>
              <w:rPr>
                <w:sz w:val="20"/>
                <w:szCs w:val="20"/>
                <w:color w:val="auto"/>
              </w:rPr>
            </w:pPr>
            <w:r>
              <w:rPr>
                <w:rFonts w:ascii="Arial" w:cs="Arial" w:eastAsia="Arial" w:hAnsi="Arial"/>
                <w:sz w:val="15"/>
                <w:szCs w:val="15"/>
                <w:i w:val="1"/>
                <w:iCs w:val="1"/>
                <w:color w:val="auto"/>
              </w:rPr>
              <w:t>Held for trading derivatives carried at fair value through profit and loss that are not designated in hedge accounting</w:t>
            </w:r>
          </w:p>
        </w:tc>
        <w:tc>
          <w:tcPr>
            <w:tcW w:w="1620" w:type="dxa"/>
            <w:vAlign w:val="bottom"/>
            <w:tcBorders>
              <w:top w:val="single" w:sz="8" w:color="793690"/>
            </w:tcBorders>
            <w:shd w:val="clear" w:color="auto" w:fill="F4EFF6"/>
          </w:tcPr>
          <w:p>
            <w:pPr>
              <w:spacing w:after="0"/>
              <w:rPr>
                <w:sz w:val="16"/>
                <w:szCs w:val="16"/>
                <w:color w:val="auto"/>
              </w:rPr>
            </w:pPr>
          </w:p>
        </w:tc>
        <w:tc>
          <w:tcPr>
            <w:tcW w:w="1740" w:type="dxa"/>
            <w:vAlign w:val="bottom"/>
            <w:tcBorders>
              <w:top w:val="single" w:sz="8" w:color="793690"/>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860" w:type="dxa"/>
            <w:vAlign w:val="bottom"/>
            <w:tcBorders>
              <w:bottom w:val="single" w:sz="8" w:color="DADAE7"/>
            </w:tcBorders>
          </w:tcPr>
          <w:p>
            <w:pPr>
              <w:ind w:left="20"/>
              <w:spacing w:after="0"/>
              <w:rPr>
                <w:sz w:val="20"/>
                <w:szCs w:val="20"/>
                <w:color w:val="auto"/>
              </w:rPr>
            </w:pPr>
            <w:r>
              <w:rPr>
                <w:rFonts w:ascii="Arial" w:cs="Arial" w:eastAsia="Arial" w:hAnsi="Arial"/>
                <w:sz w:val="15"/>
                <w:szCs w:val="15"/>
                <w:i w:val="1"/>
                <w:iCs w:val="1"/>
                <w:color w:val="auto"/>
              </w:rPr>
              <w:t>relationships:</w:t>
            </w:r>
          </w:p>
        </w:tc>
        <w:tc>
          <w:tcPr>
            <w:tcW w:w="1620" w:type="dxa"/>
            <w:vAlign w:val="bottom"/>
            <w:tcBorders>
              <w:bottom w:val="single" w:sz="8" w:color="DADAE7"/>
            </w:tcBorders>
            <w:shd w:val="clear" w:color="auto" w:fill="F4EFF6"/>
          </w:tcPr>
          <w:p>
            <w:pPr>
              <w:spacing w:after="0"/>
              <w:rPr>
                <w:sz w:val="18"/>
                <w:szCs w:val="18"/>
                <w:color w:val="auto"/>
              </w:rPr>
            </w:pPr>
          </w:p>
        </w:tc>
        <w:tc>
          <w:tcPr>
            <w:tcW w:w="1740" w:type="dxa"/>
            <w:vAlign w:val="bottom"/>
            <w:tcBorders>
              <w:bottom w:val="single" w:sz="8" w:color="DADAE7"/>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5"/>
                <w:szCs w:val="15"/>
                <w:color w:val="auto"/>
              </w:rPr>
              <w:t>Agriculture contracts</w:t>
            </w:r>
          </w:p>
        </w:tc>
        <w:tc>
          <w:tcPr>
            <w:tcW w:w="1620" w:type="dxa"/>
            <w:vAlign w:val="bottom"/>
            <w:tcBorders>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139.7</w:t>
            </w:r>
          </w:p>
        </w:tc>
        <w:tc>
          <w:tcPr>
            <w:tcW w:w="1740" w:type="dxa"/>
            <w:vAlign w:val="bottom"/>
          </w:tcPr>
          <w:p>
            <w:pPr>
              <w:jc w:val="right"/>
              <w:spacing w:after="0"/>
              <w:rPr>
                <w:sz w:val="20"/>
                <w:szCs w:val="20"/>
                <w:color w:val="auto"/>
              </w:rPr>
            </w:pPr>
            <w:r>
              <w:rPr>
                <w:rFonts w:ascii="Arial" w:cs="Arial" w:eastAsia="Arial" w:hAnsi="Arial"/>
                <w:sz w:val="15"/>
                <w:szCs w:val="15"/>
                <w:color w:val="auto"/>
              </w:rPr>
              <w:t>221.5</w:t>
            </w:r>
          </w:p>
        </w:tc>
        <w:tc>
          <w:tcPr>
            <w:tcW w:w="0" w:type="dxa"/>
            <w:vAlign w:val="bottom"/>
          </w:tcPr>
          <w:p>
            <w:pPr>
              <w:spacing w:after="0"/>
              <w:rPr>
                <w:sz w:val="1"/>
                <w:szCs w:val="1"/>
                <w:color w:val="auto"/>
              </w:rPr>
            </w:pP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Energy contracts</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80.2</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53.0</w:t>
            </w:r>
          </w:p>
        </w:tc>
        <w:tc>
          <w:tcPr>
            <w:tcW w:w="0" w:type="dxa"/>
            <w:vAlign w:val="bottom"/>
          </w:tcPr>
          <w:p>
            <w:pPr>
              <w:spacing w:after="0"/>
              <w:rPr>
                <w:sz w:val="1"/>
                <w:szCs w:val="1"/>
                <w:color w:val="auto"/>
              </w:rPr>
            </w:pPr>
          </w:p>
        </w:tc>
      </w:tr>
      <w:tr>
        <w:trPr>
          <w:trHeight w:val="236"/>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Foreign currency contracts</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482.3</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259.1</w:t>
            </w:r>
          </w:p>
        </w:tc>
        <w:tc>
          <w:tcPr>
            <w:tcW w:w="0" w:type="dxa"/>
            <w:vAlign w:val="bottom"/>
          </w:tcPr>
          <w:p>
            <w:pPr>
              <w:spacing w:after="0"/>
              <w:rPr>
                <w:sz w:val="1"/>
                <w:szCs w:val="1"/>
                <w:color w:val="auto"/>
              </w:rPr>
            </w:pP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Precious metal contracts</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7.4</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36"/>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Credit contracts</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11.7</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Metals contracts</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9.3</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36"/>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Equity contracts</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246.8</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65.2</w:t>
            </w:r>
          </w:p>
        </w:tc>
        <w:tc>
          <w:tcPr>
            <w:tcW w:w="0" w:type="dxa"/>
            <w:vAlign w:val="bottom"/>
          </w:tcPr>
          <w:p>
            <w:pPr>
              <w:spacing w:after="0"/>
              <w:rPr>
                <w:sz w:val="1"/>
                <w:szCs w:val="1"/>
                <w:color w:val="auto"/>
              </w:rPr>
            </w:pP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Crypto contracts</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17.1</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16.1</w:t>
            </w:r>
          </w:p>
        </w:tc>
        <w:tc>
          <w:tcPr>
            <w:tcW w:w="0" w:type="dxa"/>
            <w:vAlign w:val="bottom"/>
          </w:tcPr>
          <w:p>
            <w:pPr>
              <w:spacing w:after="0"/>
              <w:rPr>
                <w:sz w:val="1"/>
                <w:szCs w:val="1"/>
                <w:color w:val="auto"/>
              </w:rPr>
            </w:pP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Rates contracts</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84.0</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62.8</w:t>
            </w:r>
          </w:p>
        </w:tc>
        <w:tc>
          <w:tcPr>
            <w:tcW w:w="0" w:type="dxa"/>
            <w:vAlign w:val="bottom"/>
          </w:tcPr>
          <w:p>
            <w:pPr>
              <w:spacing w:after="0"/>
              <w:rPr>
                <w:sz w:val="1"/>
                <w:szCs w:val="1"/>
                <w:color w:val="auto"/>
              </w:rPr>
            </w:pPr>
          </w:p>
        </w:tc>
      </w:tr>
      <w:tr>
        <w:trPr>
          <w:trHeight w:val="236"/>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i w:val="1"/>
                <w:iCs w:val="1"/>
                <w:color w:val="auto"/>
              </w:rPr>
              <w:t>Held for trading derivatives that are designated in hedge accounting relationships:</w:t>
            </w:r>
          </w:p>
        </w:tc>
        <w:tc>
          <w:tcPr>
            <w:tcW w:w="1620" w:type="dxa"/>
            <w:vAlign w:val="bottom"/>
            <w:tcBorders>
              <w:top w:val="single" w:sz="8" w:color="DADAE7"/>
              <w:bottom w:val="single" w:sz="8" w:color="F4EFF6"/>
            </w:tcBorders>
            <w:shd w:val="clear" w:color="auto" w:fill="F4EFF6"/>
          </w:tcPr>
          <w:p>
            <w:pPr>
              <w:spacing w:after="0"/>
              <w:rPr>
                <w:sz w:val="20"/>
                <w:szCs w:val="20"/>
                <w:color w:val="auto"/>
              </w:rPr>
            </w:pPr>
          </w:p>
        </w:tc>
        <w:tc>
          <w:tcPr>
            <w:tcW w:w="1740" w:type="dxa"/>
            <w:vAlign w:val="bottom"/>
            <w:tcBorders>
              <w:top w:val="single" w:sz="8" w:color="DADAE7"/>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Foreign currency contracts</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1.1</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24.2</w:t>
            </w:r>
          </w:p>
        </w:tc>
        <w:tc>
          <w:tcPr>
            <w:tcW w:w="0" w:type="dxa"/>
            <w:vAlign w:val="bottom"/>
          </w:tcPr>
          <w:p>
            <w:pPr>
              <w:spacing w:after="0"/>
              <w:rPr>
                <w:sz w:val="1"/>
                <w:szCs w:val="1"/>
                <w:color w:val="auto"/>
              </w:rPr>
            </w:pPr>
          </w:p>
        </w:tc>
      </w:tr>
      <w:tr>
        <w:trPr>
          <w:trHeight w:val="236"/>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Rates contracts</w:t>
            </w:r>
          </w:p>
        </w:tc>
        <w:tc>
          <w:tcPr>
            <w:tcW w:w="162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16.9</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33.2</w:t>
            </w:r>
          </w:p>
        </w:tc>
        <w:tc>
          <w:tcPr>
            <w:tcW w:w="0" w:type="dxa"/>
            <w:vAlign w:val="bottom"/>
          </w:tcPr>
          <w:p>
            <w:pPr>
              <w:spacing w:after="0"/>
              <w:rPr>
                <w:sz w:val="1"/>
                <w:szCs w:val="1"/>
                <w:color w:val="auto"/>
              </w:rPr>
            </w:pPr>
          </w:p>
        </w:tc>
      </w:tr>
      <w:tr>
        <w:trPr>
          <w:trHeight w:val="325"/>
        </w:trPr>
        <w:tc>
          <w:tcPr>
            <w:tcW w:w="7860" w:type="dxa"/>
            <w:vAlign w:val="bottom"/>
            <w:tcBorders>
              <w:top w:val="single" w:sz="8" w:color="793690"/>
            </w:tcBorders>
          </w:tcPr>
          <w:p>
            <w:pPr>
              <w:spacing w:after="0"/>
              <w:rPr>
                <w:sz w:val="24"/>
                <w:szCs w:val="24"/>
                <w:color w:val="auto"/>
              </w:rPr>
            </w:pPr>
          </w:p>
        </w:tc>
        <w:tc>
          <w:tcPr>
            <w:tcW w:w="162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1,096.5</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751.7</w:t>
            </w:r>
          </w:p>
        </w:tc>
        <w:tc>
          <w:tcPr>
            <w:tcW w:w="0" w:type="dxa"/>
            <w:vAlign w:val="bottom"/>
          </w:tcPr>
          <w:p>
            <w:pPr>
              <w:spacing w:after="0"/>
              <w:rPr>
                <w:sz w:val="1"/>
                <w:szCs w:val="1"/>
                <w:color w:val="auto"/>
              </w:rPr>
            </w:pPr>
          </w:p>
        </w:tc>
      </w:tr>
      <w:tr>
        <w:trPr>
          <w:trHeight w:val="20"/>
        </w:trPr>
        <w:tc>
          <w:tcPr>
            <w:tcW w:w="7860" w:type="dxa"/>
            <w:vAlign w:val="bottom"/>
            <w:shd w:val="clear" w:color="auto" w:fill="793690"/>
          </w:tcPr>
          <w:p>
            <w:pPr>
              <w:spacing w:after="0" w:line="20" w:lineRule="exact"/>
              <w:rPr>
                <w:sz w:val="1"/>
                <w:szCs w:val="1"/>
                <w:color w:val="auto"/>
              </w:rPr>
            </w:pPr>
          </w:p>
        </w:tc>
        <w:tc>
          <w:tcPr>
            <w:tcW w:w="1620" w:type="dxa"/>
            <w:vAlign w:val="bottom"/>
            <w:shd w:val="clear" w:color="auto" w:fill="793690"/>
          </w:tcPr>
          <w:p>
            <w:pPr>
              <w:spacing w:after="0" w:line="20" w:lineRule="exact"/>
              <w:rPr>
                <w:sz w:val="1"/>
                <w:szCs w:val="1"/>
                <w:color w:val="auto"/>
              </w:rPr>
            </w:pPr>
          </w:p>
        </w:tc>
        <w:tc>
          <w:tcPr>
            <w:tcW w:w="1740" w:type="dxa"/>
            <w:vAlign w:val="bottom"/>
            <w:shd w:val="clear" w:color="auto" w:fill="79369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793690"/>
        </w:rPr>
        <w:t>11 Trade and Other Payables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6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31 December 2024</w:t>
            </w:r>
          </w:p>
        </w:tc>
      </w:tr>
      <w:tr>
        <w:trPr>
          <w:trHeight w:val="375"/>
        </w:trPr>
        <w:tc>
          <w:tcPr>
            <w:tcW w:w="7860" w:type="dxa"/>
            <w:vAlign w:val="bottom"/>
          </w:tcPr>
          <w:p>
            <w:pPr>
              <w:spacing w:after="0"/>
              <w:rPr>
                <w:sz w:val="24"/>
                <w:szCs w:val="24"/>
                <w:color w:val="auto"/>
              </w:rPr>
            </w:pPr>
          </w:p>
        </w:tc>
        <w:tc>
          <w:tcPr>
            <w:tcW w:w="16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$m</w:t>
            </w:r>
          </w:p>
        </w:tc>
      </w:tr>
      <w:tr>
        <w:trPr>
          <w:trHeight w:val="236"/>
        </w:trPr>
        <w:tc>
          <w:tcPr>
            <w:tcW w:w="786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Amounts due to exchanges, clearing houses and other counterparties</w:t>
            </w:r>
          </w:p>
        </w:tc>
        <w:tc>
          <w:tcPr>
            <w:tcW w:w="1620" w:type="dxa"/>
            <w:vAlign w:val="bottom"/>
            <w:tcBorders>
              <w:top w:val="single" w:sz="8" w:color="793690"/>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1,020.2</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1,501.5</w:t>
            </w:r>
          </w:p>
        </w:tc>
      </w:tr>
      <w:tr>
        <w:trPr>
          <w:trHeight w:val="236"/>
        </w:trPr>
        <w:tc>
          <w:tcPr>
            <w:tcW w:w="7860" w:type="dxa"/>
            <w:vAlign w:val="bottom"/>
            <w:tcBorders>
              <w:top w:val="single" w:sz="8" w:color="DADAE7"/>
              <w:bottom w:val="single" w:sz="8" w:color="DADAE7"/>
            </w:tcBorders>
          </w:tcPr>
          <w:p>
            <w:pPr>
              <w:ind w:left="20"/>
              <w:spacing w:after="0"/>
              <w:rPr>
                <w:sz w:val="20"/>
                <w:szCs w:val="20"/>
                <w:color w:val="auto"/>
              </w:rPr>
            </w:pPr>
            <w:r>
              <w:rPr>
                <w:rFonts w:ascii="Arial" w:cs="Arial" w:eastAsia="Arial" w:hAnsi="Arial"/>
                <w:sz w:val="15"/>
                <w:szCs w:val="15"/>
                <w:color w:val="auto"/>
              </w:rPr>
              <w:t>Amounts due to Prime Brokers</w:t>
            </w:r>
            <w:r>
              <w:rPr>
                <w:rFonts w:ascii="Arial" w:cs="Arial" w:eastAsia="Arial" w:hAnsi="Arial"/>
                <w:sz w:val="19"/>
                <w:szCs w:val="19"/>
                <w:color w:val="auto"/>
                <w:vertAlign w:val="superscript"/>
              </w:rPr>
              <w:t>1</w:t>
            </w:r>
          </w:p>
        </w:tc>
        <w:tc>
          <w:tcPr>
            <w:tcW w:w="1620" w:type="dxa"/>
            <w:vAlign w:val="bottom"/>
            <w:tcBorders>
              <w:top w:val="single" w:sz="8" w:color="DADAE7"/>
              <w:bottom w:val="single" w:sz="8" w:color="DADAE7"/>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1,304.8</w:t>
            </w:r>
          </w:p>
        </w:tc>
        <w:tc>
          <w:tcPr>
            <w:tcW w:w="1740" w:type="dxa"/>
            <w:vAlign w:val="bottom"/>
            <w:tcBorders>
              <w:top w:val="single" w:sz="8" w:color="DADAE7"/>
              <w:bottom w:val="single" w:sz="8" w:color="DADAE7"/>
            </w:tcBorders>
          </w:tcPr>
          <w:p>
            <w:pPr>
              <w:jc w:val="right"/>
              <w:spacing w:after="0"/>
              <w:rPr>
                <w:sz w:val="20"/>
                <w:szCs w:val="20"/>
                <w:color w:val="auto"/>
              </w:rPr>
            </w:pPr>
            <w:r>
              <w:rPr>
                <w:rFonts w:ascii="Arial" w:cs="Arial" w:eastAsia="Arial" w:hAnsi="Arial"/>
                <w:sz w:val="15"/>
                <w:szCs w:val="15"/>
                <w:color w:val="auto"/>
              </w:rPr>
              <w:t>1,017.1</w:t>
            </w:r>
          </w:p>
        </w:tc>
      </w:tr>
      <w:tr>
        <w:trPr>
          <w:trHeight w:val="237"/>
        </w:trPr>
        <w:tc>
          <w:tcPr>
            <w:tcW w:w="7860" w:type="dxa"/>
            <w:vAlign w:val="bottom"/>
          </w:tcPr>
          <w:p>
            <w:pPr>
              <w:ind w:left="20"/>
              <w:spacing w:after="0"/>
              <w:rPr>
                <w:sz w:val="20"/>
                <w:szCs w:val="20"/>
                <w:color w:val="auto"/>
              </w:rPr>
            </w:pPr>
            <w:r>
              <w:rPr>
                <w:rFonts w:ascii="Arial" w:cs="Arial" w:eastAsia="Arial" w:hAnsi="Arial"/>
                <w:sz w:val="15"/>
                <w:szCs w:val="15"/>
                <w:color w:val="auto"/>
              </w:rPr>
              <w:t>Amounts payable to clients</w:t>
            </w:r>
          </w:p>
        </w:tc>
        <w:tc>
          <w:tcPr>
            <w:tcW w:w="1620" w:type="dxa"/>
            <w:vAlign w:val="bottom"/>
            <w:tcBorders>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8,438.2</w:t>
            </w:r>
          </w:p>
        </w:tc>
        <w:tc>
          <w:tcPr>
            <w:tcW w:w="1740" w:type="dxa"/>
            <w:vAlign w:val="bottom"/>
          </w:tcPr>
          <w:p>
            <w:pPr>
              <w:jc w:val="right"/>
              <w:spacing w:after="0"/>
              <w:rPr>
                <w:sz w:val="20"/>
                <w:szCs w:val="20"/>
                <w:color w:val="auto"/>
              </w:rPr>
            </w:pPr>
            <w:r>
              <w:rPr>
                <w:rFonts w:ascii="Arial" w:cs="Arial" w:eastAsia="Arial" w:hAnsi="Arial"/>
                <w:sz w:val="15"/>
                <w:szCs w:val="15"/>
                <w:color w:val="auto"/>
              </w:rPr>
              <w:t>6,253.7</w:t>
            </w:r>
          </w:p>
        </w:tc>
      </w:tr>
      <w:tr>
        <w:trPr>
          <w:trHeight w:val="236"/>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Accruals</w:t>
            </w:r>
          </w:p>
        </w:tc>
        <w:tc>
          <w:tcPr>
            <w:tcW w:w="162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461.0</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468.3</w:t>
            </w:r>
          </w:p>
        </w:tc>
      </w:tr>
      <w:tr>
        <w:trPr>
          <w:trHeight w:val="236"/>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Trade payables</w:t>
            </w:r>
          </w:p>
        </w:tc>
        <w:tc>
          <w:tcPr>
            <w:tcW w:w="162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2,081.7</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470.2</w:t>
            </w:r>
          </w:p>
        </w:tc>
      </w:tr>
      <w:tr>
        <w:trPr>
          <w:trHeight w:val="236"/>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Other tax and social security taxes</w:t>
            </w:r>
          </w:p>
        </w:tc>
        <w:tc>
          <w:tcPr>
            <w:tcW w:w="162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37.5</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9.9</w:t>
            </w:r>
          </w:p>
        </w:tc>
      </w:tr>
      <w:tr>
        <w:trPr>
          <w:trHeight w:val="236"/>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Deferred income</w:t>
            </w:r>
          </w:p>
        </w:tc>
        <w:tc>
          <w:tcPr>
            <w:tcW w:w="162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0.7</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2.4</w:t>
            </w:r>
          </w:p>
        </w:tc>
      </w:tr>
      <w:tr>
        <w:trPr>
          <w:trHeight w:val="236"/>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Other creditors</w:t>
            </w:r>
          </w:p>
        </w:tc>
        <w:tc>
          <w:tcPr>
            <w:tcW w:w="162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28.5</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17.3</w:t>
            </w:r>
          </w:p>
        </w:tc>
      </w:tr>
      <w:tr>
        <w:trPr>
          <w:trHeight w:val="324"/>
        </w:trPr>
        <w:tc>
          <w:tcPr>
            <w:tcW w:w="7860" w:type="dxa"/>
            <w:vAlign w:val="bottom"/>
            <w:tcBorders>
              <w:top w:val="single" w:sz="8" w:color="793690"/>
            </w:tcBorders>
          </w:tcPr>
          <w:p>
            <w:pPr>
              <w:spacing w:after="0"/>
              <w:rPr>
                <w:sz w:val="24"/>
                <w:szCs w:val="24"/>
                <w:color w:val="auto"/>
              </w:rPr>
            </w:pPr>
          </w:p>
        </w:tc>
        <w:tc>
          <w:tcPr>
            <w:tcW w:w="1620" w:type="dxa"/>
            <w:vAlign w:val="bottom"/>
            <w:tcBorders>
              <w:top w:val="single" w:sz="8" w:color="793690"/>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13,372.6</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9,740.4</w:t>
            </w:r>
          </w:p>
        </w:tc>
      </w:tr>
      <w:tr>
        <w:trPr>
          <w:trHeight w:val="20"/>
        </w:trPr>
        <w:tc>
          <w:tcPr>
            <w:tcW w:w="7860" w:type="dxa"/>
            <w:vAlign w:val="bottom"/>
            <w:shd w:val="clear" w:color="auto" w:fill="793690"/>
          </w:tcPr>
          <w:p>
            <w:pPr>
              <w:spacing w:after="0" w:line="20" w:lineRule="exact"/>
              <w:rPr>
                <w:sz w:val="1"/>
                <w:szCs w:val="1"/>
                <w:color w:val="auto"/>
              </w:rPr>
            </w:pPr>
          </w:p>
        </w:tc>
        <w:tc>
          <w:tcPr>
            <w:tcW w:w="1620" w:type="dxa"/>
            <w:vAlign w:val="bottom"/>
            <w:shd w:val="clear" w:color="auto" w:fill="793690"/>
          </w:tcPr>
          <w:p>
            <w:pPr>
              <w:spacing w:after="0" w:line="20" w:lineRule="exact"/>
              <w:rPr>
                <w:sz w:val="1"/>
                <w:szCs w:val="1"/>
                <w:color w:val="auto"/>
              </w:rPr>
            </w:pPr>
          </w:p>
        </w:tc>
        <w:tc>
          <w:tcPr>
            <w:tcW w:w="1740" w:type="dxa"/>
            <w:vAlign w:val="bottom"/>
            <w:shd w:val="clear" w:color="auto" w:fill="793690"/>
          </w:tcPr>
          <w:p>
            <w:pPr>
              <w:spacing w:after="0" w:line="20" w:lineRule="exact"/>
              <w:rPr>
                <w:sz w:val="1"/>
                <w:szCs w:val="1"/>
                <w:color w:val="auto"/>
              </w:rPr>
            </w:pPr>
          </w:p>
        </w:tc>
      </w:tr>
    </w:tbl>
    <w:p>
      <w:pPr>
        <w:spacing w:after="0" w:line="297" w:lineRule="exact"/>
        <w:rPr>
          <w:sz w:val="20"/>
          <w:szCs w:val="20"/>
          <w:color w:val="auto"/>
        </w:rPr>
      </w:pPr>
    </w:p>
    <w:p>
      <w:pPr>
        <w:ind w:left="660" w:right="160" w:hanging="328"/>
        <w:spacing w:after="0" w:line="285" w:lineRule="auto"/>
        <w:tabs>
          <w:tab w:leader="none" w:pos="656" w:val="left"/>
        </w:tabs>
        <w:numPr>
          <w:ilvl w:val="0"/>
          <w:numId w:val="31"/>
        </w:numPr>
        <w:rPr>
          <w:rFonts w:ascii="Arial" w:cs="Arial" w:eastAsia="Arial" w:hAnsi="Arial"/>
          <w:sz w:val="11"/>
          <w:szCs w:val="11"/>
          <w:color w:val="auto"/>
        </w:rPr>
      </w:pPr>
      <w:r>
        <w:rPr>
          <w:rFonts w:ascii="Arial" w:cs="Arial" w:eastAsia="Arial" w:hAnsi="Arial"/>
          <w:sz w:val="11"/>
          <w:szCs w:val="11"/>
          <w:color w:val="auto"/>
        </w:rPr>
        <w:t>The Group made a change in presentation to separate amounts payable to clients and amounts due to Prime Brokers. Amounts due to Prime Brokers include cash, realised and unrealised gains or losses on futures and options and margin financing.</w:t>
      </w:r>
    </w:p>
    <w:p>
      <w:pPr>
        <w:sectPr>
          <w:pgSz w:w="11900" w:h="16838" w:orient="portrait"/>
          <w:cols w:equalWidth="0" w:num="1">
            <w:col w:w="11220"/>
          </w:cols>
          <w:pgMar w:left="320" w:top="1349" w:right="359" w:bottom="369" w:gutter="0" w:footer="0" w:header="0"/>
        </w:sectPr>
      </w:pPr>
    </w:p>
    <w:p>
      <w:pPr>
        <w:spacing w:after="0" w:line="60" w:lineRule="exact"/>
        <w:rPr>
          <w:sz w:val="20"/>
          <w:szCs w:val="20"/>
          <w:color w:val="auto"/>
        </w:rPr>
      </w:pPr>
    </w:p>
    <w:p>
      <w:pPr>
        <w:ind w:right="360"/>
        <w:spacing w:after="0" w:line="301" w:lineRule="auto"/>
        <w:rPr>
          <w:sz w:val="20"/>
          <w:szCs w:val="20"/>
          <w:color w:val="auto"/>
        </w:rPr>
      </w:pPr>
      <w:r>
        <w:rPr>
          <w:rFonts w:ascii="Arial" w:cs="Arial" w:eastAsia="Arial" w:hAnsi="Arial"/>
          <w:sz w:val="15"/>
          <w:szCs w:val="15"/>
          <w:color w:val="auto"/>
        </w:rPr>
        <w:t>Included in amounts payable to clients, amounts due to Prime Brokers and amounts due to exchanges, clearing houses and other counterparties are segregated balances of $5,181.7m (31 December 2024: $4,733.5m) and non-segregated balances of $5,581.5m (31 December 2024: $4,038.8m).</w:t>
      </w:r>
    </w:p>
    <w:p>
      <w:pPr>
        <w:sectPr>
          <w:pgSz w:w="11900" w:h="16838" w:orient="portrait"/>
          <w:cols w:equalWidth="0" w:num="1">
            <w:col w:w="11220"/>
          </w:cols>
          <w:pgMar w:left="320" w:top="1349" w:right="359" w:bottom="369" w:gutter="0" w:footer="0" w:header="0"/>
          <w:type w:val="continuous"/>
        </w:sectPr>
      </w:pPr>
    </w:p>
    <w:bookmarkStart w:id="39" w:name="page40"/>
    <w:bookmarkEnd w:id="39"/>
    <w:p>
      <w:pPr>
        <w:jc w:val="center"/>
        <w:ind w:right="19"/>
        <w:spacing w:after="0"/>
        <w:rPr>
          <w:sz w:val="20"/>
          <w:szCs w:val="20"/>
          <w:color w:val="auto"/>
        </w:rPr>
      </w:pPr>
      <w:r>
        <w:rPr>
          <w:rFonts w:ascii="Arial" w:cs="Arial" w:eastAsia="Arial" w:hAnsi="Arial"/>
          <w:sz w:val="14"/>
          <w:szCs w:val="14"/>
          <w:b w:val="1"/>
          <w:bCs w:val="1"/>
          <w:color w:val="auto"/>
        </w:rPr>
        <w:t>18</w:t>
      </w:r>
    </w:p>
    <w:p>
      <w:pPr>
        <w:sectPr>
          <w:pgSz w:w="11900" w:h="16838" w:orient="portrait"/>
          <w:cols w:equalWidth="0" w:num="1">
            <w:col w:w="9019"/>
          </w:cols>
          <w:pgMar w:left="1440" w:top="171" w:right="1440" w:bottom="1440" w:gutter="0" w:footer="0" w:header="0"/>
        </w:sectPr>
      </w:pPr>
    </w:p>
    <w:bookmarkStart w:id="40" w:name="page41"/>
    <w:bookmarkEnd w:id="40"/>
    <w:p>
      <w:pPr>
        <w:spacing w:after="0"/>
        <w:rPr>
          <w:sz w:val="20"/>
          <w:szCs w:val="20"/>
          <w:color w:val="auto"/>
        </w:rPr>
      </w:pPr>
      <w:r>
        <w:rPr>
          <w:rFonts w:ascii="Arial" w:cs="Arial" w:eastAsia="Arial" w:hAnsi="Arial"/>
          <w:sz w:val="22"/>
          <w:szCs w:val="22"/>
          <w:b w:val="1"/>
          <w:bCs w:val="1"/>
          <w:color w:val="793690"/>
        </w:rPr>
        <w:t xml:space="preserve">Notes to the Unaudited Condensed Consolidated Financial Statements </w:t>
      </w:r>
      <w:r>
        <w:rPr>
          <w:rFonts w:ascii="Arial" w:cs="Arial" w:eastAsia="Arial" w:hAnsi="Arial"/>
          <w:sz w:val="22"/>
          <w:szCs w:val="22"/>
          <w:color w:val="793690"/>
        </w:rPr>
        <w:t>(continued)</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793690"/>
        </w:rPr>
        <w:t>12 Share Capital</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summary of the shares outstanding for the respective periods.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351"/>
        </w:trPr>
        <w:tc>
          <w:tcPr>
            <w:tcW w:w="4360" w:type="dxa"/>
            <w:vAlign w:val="bottom"/>
          </w:tcPr>
          <w:p>
            <w:pPr>
              <w:spacing w:after="0"/>
              <w:rPr>
                <w:sz w:val="24"/>
                <w:szCs w:val="24"/>
                <w:color w:val="auto"/>
              </w:rPr>
            </w:pPr>
          </w:p>
        </w:tc>
        <w:tc>
          <w:tcPr>
            <w:tcW w:w="2440" w:type="dxa"/>
            <w:vAlign w:val="bottom"/>
            <w:tcBorders>
              <w:bottom w:val="single" w:sz="8" w:color="F4EFF6"/>
            </w:tcBorders>
            <w:shd w:val="clear" w:color="auto" w:fill="F4EFF6"/>
          </w:tcPr>
          <w:p>
            <w:pPr>
              <w:jc w:val="right"/>
              <w:ind w:right="70"/>
              <w:spacing w:after="0"/>
              <w:rPr>
                <w:sz w:val="20"/>
                <w:szCs w:val="20"/>
                <w:color w:val="auto"/>
              </w:rPr>
            </w:pPr>
            <w:r>
              <w:rPr>
                <w:rFonts w:ascii="Arial" w:cs="Arial" w:eastAsia="Arial" w:hAnsi="Arial"/>
                <w:sz w:val="13"/>
                <w:szCs w:val="13"/>
                <w:b w:val="1"/>
                <w:bCs w:val="1"/>
                <w:color w:val="auto"/>
              </w:rPr>
              <w:t>Issued and fully paid</w:t>
            </w:r>
          </w:p>
        </w:tc>
        <w:tc>
          <w:tcPr>
            <w:tcW w:w="920" w:type="dxa"/>
            <w:vAlign w:val="bottom"/>
            <w:tcBorders>
              <w:bottom w:val="single" w:sz="8" w:color="F4EFF6"/>
            </w:tcBorders>
            <w:shd w:val="clear" w:color="auto" w:fill="F4EFF6"/>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gridSpan w:val="2"/>
          </w:tcPr>
          <w:p>
            <w:pPr>
              <w:jc w:val="right"/>
              <w:ind w:right="989"/>
              <w:spacing w:after="0"/>
              <w:rPr>
                <w:sz w:val="20"/>
                <w:szCs w:val="20"/>
                <w:color w:val="auto"/>
              </w:rPr>
            </w:pPr>
            <w:r>
              <w:rPr>
                <w:rFonts w:ascii="Arial" w:cs="Arial" w:eastAsia="Arial" w:hAnsi="Arial"/>
                <w:sz w:val="13"/>
                <w:szCs w:val="13"/>
                <w:b w:val="1"/>
                <w:bCs w:val="1"/>
                <w:color w:val="auto"/>
              </w:rPr>
              <w:t>Issued and fully paid</w:t>
            </w:r>
          </w:p>
        </w:tc>
      </w:tr>
      <w:tr>
        <w:trPr>
          <w:trHeight w:val="174"/>
        </w:trPr>
        <w:tc>
          <w:tcPr>
            <w:tcW w:w="4360" w:type="dxa"/>
            <w:vAlign w:val="bottom"/>
          </w:tcPr>
          <w:p>
            <w:pPr>
              <w:spacing w:after="0"/>
              <w:rPr>
                <w:sz w:val="15"/>
                <w:szCs w:val="15"/>
                <w:color w:val="auto"/>
              </w:rPr>
            </w:pPr>
          </w:p>
        </w:tc>
        <w:tc>
          <w:tcPr>
            <w:tcW w:w="2440" w:type="dxa"/>
            <w:vAlign w:val="bottom"/>
            <w:tcBorders>
              <w:top w:val="single" w:sz="8" w:color="793690"/>
            </w:tcBorders>
            <w:shd w:val="clear" w:color="auto" w:fill="F4EFF6"/>
          </w:tcPr>
          <w:p>
            <w:pPr>
              <w:jc w:val="right"/>
              <w:ind w:right="770"/>
              <w:spacing w:after="0"/>
              <w:rPr>
                <w:sz w:val="20"/>
                <w:szCs w:val="20"/>
                <w:color w:val="auto"/>
              </w:rPr>
            </w:pPr>
            <w:r>
              <w:rPr>
                <w:rFonts w:ascii="Arial" w:cs="Arial" w:eastAsia="Arial" w:hAnsi="Arial"/>
                <w:sz w:val="13"/>
                <w:szCs w:val="13"/>
                <w:b w:val="1"/>
                <w:bCs w:val="1"/>
                <w:color w:val="auto"/>
              </w:rPr>
              <w:t>30 June 2025</w:t>
            </w:r>
          </w:p>
        </w:tc>
        <w:tc>
          <w:tcPr>
            <w:tcW w:w="920" w:type="dxa"/>
            <w:vAlign w:val="bottom"/>
            <w:tcBorders>
              <w:top w:val="single" w:sz="8" w:color="793690"/>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40" w:type="dxa"/>
            <w:vAlign w:val="bottom"/>
          </w:tcPr>
          <w:p>
            <w:pPr>
              <w:spacing w:after="0"/>
              <w:rPr>
                <w:sz w:val="15"/>
                <w:szCs w:val="15"/>
                <w:color w:val="auto"/>
              </w:rPr>
            </w:pPr>
          </w:p>
        </w:tc>
        <w:tc>
          <w:tcPr>
            <w:tcW w:w="1920" w:type="dxa"/>
            <w:vAlign w:val="bottom"/>
            <w:tcBorders>
              <w:top w:val="single" w:sz="8" w:color="793690"/>
            </w:tcBorders>
          </w:tcPr>
          <w:p>
            <w:pPr>
              <w:jc w:val="right"/>
              <w:ind w:right="257"/>
              <w:spacing w:after="0"/>
              <w:rPr>
                <w:sz w:val="20"/>
                <w:szCs w:val="20"/>
                <w:color w:val="auto"/>
              </w:rPr>
            </w:pPr>
            <w:r>
              <w:rPr>
                <w:rFonts w:ascii="Arial" w:cs="Arial" w:eastAsia="Arial" w:hAnsi="Arial"/>
                <w:sz w:val="13"/>
                <w:szCs w:val="13"/>
                <w:b w:val="1"/>
                <w:bCs w:val="1"/>
                <w:color w:val="auto"/>
              </w:rPr>
              <w:t>31 December 2024</w:t>
            </w:r>
          </w:p>
        </w:tc>
        <w:tc>
          <w:tcPr>
            <w:tcW w:w="1440" w:type="dxa"/>
            <w:vAlign w:val="bottom"/>
            <w:tcBorders>
              <w:top w:val="single" w:sz="8" w:color="793690"/>
            </w:tcBorders>
          </w:tcPr>
          <w:p>
            <w:pPr>
              <w:jc w:val="right"/>
              <w:spacing w:after="0"/>
              <w:rPr>
                <w:sz w:val="20"/>
                <w:szCs w:val="20"/>
                <w:color w:val="auto"/>
              </w:rPr>
            </w:pPr>
            <w:r>
              <w:rPr>
                <w:rFonts w:ascii="Arial" w:cs="Arial" w:eastAsia="Arial" w:hAnsi="Arial"/>
                <w:sz w:val="13"/>
                <w:szCs w:val="13"/>
                <w:b w:val="1"/>
                <w:bCs w:val="1"/>
                <w:color w:val="auto"/>
              </w:rPr>
              <w:t>31 December 2024</w:t>
            </w:r>
          </w:p>
        </w:tc>
      </w:tr>
      <w:tr>
        <w:trPr>
          <w:trHeight w:val="386"/>
        </w:trPr>
        <w:tc>
          <w:tcPr>
            <w:tcW w:w="4360" w:type="dxa"/>
            <w:vAlign w:val="bottom"/>
          </w:tcPr>
          <w:p>
            <w:pPr>
              <w:spacing w:after="0"/>
              <w:rPr>
                <w:sz w:val="24"/>
                <w:szCs w:val="24"/>
                <w:color w:val="auto"/>
              </w:rPr>
            </w:pPr>
          </w:p>
        </w:tc>
        <w:tc>
          <w:tcPr>
            <w:tcW w:w="2440" w:type="dxa"/>
            <w:vAlign w:val="bottom"/>
            <w:tcBorders>
              <w:bottom w:val="single" w:sz="8" w:color="F4EFF6"/>
            </w:tcBorders>
            <w:shd w:val="clear" w:color="auto" w:fill="F4EFF6"/>
          </w:tcPr>
          <w:p>
            <w:pPr>
              <w:jc w:val="right"/>
              <w:ind w:right="770"/>
              <w:spacing w:after="0"/>
              <w:rPr>
                <w:sz w:val="20"/>
                <w:szCs w:val="20"/>
                <w:color w:val="auto"/>
              </w:rPr>
            </w:pPr>
            <w:r>
              <w:rPr>
                <w:rFonts w:ascii="Arial" w:cs="Arial" w:eastAsia="Arial" w:hAnsi="Arial"/>
                <w:sz w:val="13"/>
                <w:szCs w:val="13"/>
                <w:b w:val="1"/>
                <w:bCs w:val="1"/>
                <w:color w:val="auto"/>
              </w:rPr>
              <w:t>Number</w:t>
            </w:r>
          </w:p>
        </w:tc>
        <w:tc>
          <w:tcPr>
            <w:tcW w:w="9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$'000</w:t>
            </w:r>
          </w:p>
        </w:tc>
        <w:tc>
          <w:tcPr>
            <w:tcW w:w="140" w:type="dxa"/>
            <w:vAlign w:val="bottom"/>
          </w:tcPr>
          <w:p>
            <w:pPr>
              <w:spacing w:after="0"/>
              <w:rPr>
                <w:sz w:val="24"/>
                <w:szCs w:val="24"/>
                <w:color w:val="auto"/>
              </w:rPr>
            </w:pPr>
          </w:p>
        </w:tc>
        <w:tc>
          <w:tcPr>
            <w:tcW w:w="1920" w:type="dxa"/>
            <w:vAlign w:val="bottom"/>
          </w:tcPr>
          <w:p>
            <w:pPr>
              <w:jc w:val="right"/>
              <w:ind w:right="257"/>
              <w:spacing w:after="0"/>
              <w:rPr>
                <w:sz w:val="20"/>
                <w:szCs w:val="20"/>
                <w:color w:val="auto"/>
              </w:rPr>
            </w:pPr>
            <w:r>
              <w:rPr>
                <w:rFonts w:ascii="Arial" w:cs="Arial" w:eastAsia="Arial" w:hAnsi="Arial"/>
                <w:sz w:val="13"/>
                <w:szCs w:val="13"/>
                <w:b w:val="1"/>
                <w:bCs w:val="1"/>
                <w:color w:val="auto"/>
              </w:rPr>
              <w:t>Number</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237"/>
        </w:trPr>
        <w:tc>
          <w:tcPr>
            <w:tcW w:w="436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Ordinary Shares of $0.001551 each</w:t>
            </w:r>
          </w:p>
        </w:tc>
        <w:tc>
          <w:tcPr>
            <w:tcW w:w="2440" w:type="dxa"/>
            <w:vAlign w:val="bottom"/>
            <w:tcBorders>
              <w:top w:val="single" w:sz="8" w:color="793690"/>
              <w:bottom w:val="single" w:sz="8" w:color="F4EFF6"/>
            </w:tcBorders>
            <w:shd w:val="clear" w:color="auto" w:fill="F4EFF6"/>
          </w:tcPr>
          <w:p>
            <w:pPr>
              <w:jc w:val="right"/>
              <w:ind w:right="830"/>
              <w:spacing w:after="0"/>
              <w:rPr>
                <w:sz w:val="20"/>
                <w:szCs w:val="20"/>
                <w:color w:val="auto"/>
              </w:rPr>
            </w:pPr>
            <w:r>
              <w:rPr>
                <w:rFonts w:ascii="Arial" w:cs="Arial" w:eastAsia="Arial" w:hAnsi="Arial"/>
                <w:sz w:val="15"/>
                <w:szCs w:val="15"/>
                <w:b w:val="1"/>
                <w:bCs w:val="1"/>
                <w:color w:val="auto"/>
              </w:rPr>
              <w:t>72,899,078</w:t>
            </w:r>
          </w:p>
        </w:tc>
        <w:tc>
          <w:tcPr>
            <w:tcW w:w="920" w:type="dxa"/>
            <w:vAlign w:val="bottom"/>
            <w:tcBorders>
              <w:top w:val="single" w:sz="8" w:color="793690"/>
              <w:bottom w:val="single" w:sz="8" w:color="F4EFF6"/>
            </w:tcBorders>
            <w:shd w:val="clear" w:color="auto" w:fill="F4EFF6"/>
          </w:tcPr>
          <w:p>
            <w:pPr>
              <w:jc w:val="right"/>
              <w:ind w:right="9"/>
              <w:spacing w:after="0"/>
              <w:rPr>
                <w:sz w:val="20"/>
                <w:szCs w:val="20"/>
                <w:color w:val="auto"/>
              </w:rPr>
            </w:pPr>
            <w:r>
              <w:rPr>
                <w:rFonts w:ascii="Arial" w:cs="Arial" w:eastAsia="Arial" w:hAnsi="Arial"/>
                <w:sz w:val="15"/>
                <w:szCs w:val="15"/>
                <w:b w:val="1"/>
                <w:bCs w:val="1"/>
                <w:color w:val="auto"/>
              </w:rPr>
              <w:t>113</w:t>
            </w:r>
          </w:p>
        </w:tc>
        <w:tc>
          <w:tcPr>
            <w:tcW w:w="2060" w:type="dxa"/>
            <w:vAlign w:val="bottom"/>
            <w:tcBorders>
              <w:top w:val="single" w:sz="8" w:color="793690"/>
            </w:tcBorders>
            <w:gridSpan w:val="2"/>
          </w:tcPr>
          <w:p>
            <w:pPr>
              <w:jc w:val="right"/>
              <w:ind w:right="317"/>
              <w:spacing w:after="0"/>
              <w:rPr>
                <w:sz w:val="20"/>
                <w:szCs w:val="20"/>
                <w:color w:val="auto"/>
              </w:rPr>
            </w:pPr>
            <w:r>
              <w:rPr>
                <w:rFonts w:ascii="Arial" w:cs="Arial" w:eastAsia="Arial" w:hAnsi="Arial"/>
                <w:sz w:val="15"/>
                <w:szCs w:val="15"/>
                <w:color w:val="auto"/>
              </w:rPr>
              <w:t>72,221,843</w:t>
            </w:r>
          </w:p>
        </w:tc>
        <w:tc>
          <w:tcPr>
            <w:tcW w:w="14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112</w:t>
            </w:r>
          </w:p>
        </w:tc>
      </w:tr>
      <w:tr>
        <w:trPr>
          <w:trHeight w:val="237"/>
        </w:trPr>
        <w:tc>
          <w:tcPr>
            <w:tcW w:w="43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Deferred Shares of £0.000469 each</w:t>
            </w:r>
          </w:p>
        </w:tc>
        <w:tc>
          <w:tcPr>
            <w:tcW w:w="2440" w:type="dxa"/>
            <w:vAlign w:val="bottom"/>
            <w:tcBorders>
              <w:top w:val="single" w:sz="8" w:color="DADAE7"/>
              <w:bottom w:val="single" w:sz="8" w:color="F4EFF6"/>
            </w:tcBorders>
            <w:shd w:val="clear" w:color="auto" w:fill="F4EFF6"/>
          </w:tcPr>
          <w:p>
            <w:pPr>
              <w:jc w:val="right"/>
              <w:ind w:right="830"/>
              <w:spacing w:after="0"/>
              <w:rPr>
                <w:sz w:val="20"/>
                <w:szCs w:val="20"/>
                <w:color w:val="auto"/>
              </w:rPr>
            </w:pPr>
            <w:r>
              <w:rPr>
                <w:rFonts w:ascii="Arial" w:cs="Arial" w:eastAsia="Arial" w:hAnsi="Arial"/>
                <w:sz w:val="15"/>
                <w:szCs w:val="15"/>
                <w:b w:val="1"/>
                <w:bCs w:val="1"/>
                <w:color w:val="auto"/>
              </w:rPr>
              <w:t>4,129,436</w:t>
            </w:r>
          </w:p>
        </w:tc>
        <w:tc>
          <w:tcPr>
            <w:tcW w:w="920" w:type="dxa"/>
            <w:vAlign w:val="bottom"/>
            <w:tcBorders>
              <w:top w:val="single" w:sz="8" w:color="DADAE7"/>
              <w:bottom w:val="single" w:sz="8" w:color="F4EFF6"/>
            </w:tcBorders>
            <w:shd w:val="clear" w:color="auto" w:fill="F4EFF6"/>
          </w:tcPr>
          <w:p>
            <w:pPr>
              <w:jc w:val="right"/>
              <w:ind w:right="9"/>
              <w:spacing w:after="0"/>
              <w:rPr>
                <w:sz w:val="20"/>
                <w:szCs w:val="20"/>
                <w:color w:val="auto"/>
              </w:rPr>
            </w:pPr>
            <w:r>
              <w:rPr>
                <w:rFonts w:ascii="Arial" w:cs="Arial" w:eastAsia="Arial" w:hAnsi="Arial"/>
                <w:sz w:val="15"/>
                <w:szCs w:val="15"/>
                <w:b w:val="1"/>
                <w:bCs w:val="1"/>
                <w:color w:val="auto"/>
              </w:rPr>
              <w:t>3</w:t>
            </w:r>
          </w:p>
        </w:tc>
        <w:tc>
          <w:tcPr>
            <w:tcW w:w="2060" w:type="dxa"/>
            <w:vAlign w:val="bottom"/>
            <w:tcBorders>
              <w:top w:val="single" w:sz="8" w:color="DADAE7"/>
            </w:tcBorders>
            <w:gridSpan w:val="2"/>
          </w:tcPr>
          <w:p>
            <w:pPr>
              <w:jc w:val="right"/>
              <w:ind w:right="317"/>
              <w:spacing w:after="0"/>
              <w:rPr>
                <w:sz w:val="20"/>
                <w:szCs w:val="20"/>
                <w:color w:val="auto"/>
              </w:rPr>
            </w:pPr>
            <w:r>
              <w:rPr>
                <w:rFonts w:ascii="Arial" w:cs="Arial" w:eastAsia="Arial" w:hAnsi="Arial"/>
                <w:sz w:val="15"/>
                <w:szCs w:val="15"/>
                <w:color w:val="auto"/>
              </w:rPr>
              <w:t>4,129,436</w:t>
            </w:r>
          </w:p>
        </w:tc>
        <w:tc>
          <w:tcPr>
            <w:tcW w:w="14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3</w:t>
            </w:r>
          </w:p>
        </w:tc>
      </w:tr>
      <w:tr>
        <w:trPr>
          <w:trHeight w:val="324"/>
        </w:trPr>
        <w:tc>
          <w:tcPr>
            <w:tcW w:w="4360" w:type="dxa"/>
            <w:vAlign w:val="bottom"/>
            <w:tcBorders>
              <w:top w:val="single" w:sz="8" w:color="793690"/>
            </w:tcBorders>
          </w:tcPr>
          <w:p>
            <w:pPr>
              <w:spacing w:after="0"/>
              <w:rPr>
                <w:sz w:val="24"/>
                <w:szCs w:val="24"/>
                <w:color w:val="auto"/>
              </w:rPr>
            </w:pPr>
          </w:p>
        </w:tc>
        <w:tc>
          <w:tcPr>
            <w:tcW w:w="2440" w:type="dxa"/>
            <w:vAlign w:val="bottom"/>
            <w:tcBorders>
              <w:top w:val="single" w:sz="8" w:color="793690"/>
              <w:bottom w:val="single" w:sz="8" w:color="F4EFF6"/>
            </w:tcBorders>
            <w:shd w:val="clear" w:color="auto" w:fill="F4EFF6"/>
          </w:tcPr>
          <w:p>
            <w:pPr>
              <w:jc w:val="right"/>
              <w:ind w:right="830"/>
              <w:spacing w:after="0"/>
              <w:rPr>
                <w:sz w:val="20"/>
                <w:szCs w:val="20"/>
                <w:color w:val="auto"/>
              </w:rPr>
            </w:pPr>
            <w:r>
              <w:rPr>
                <w:rFonts w:ascii="Arial" w:cs="Arial" w:eastAsia="Arial" w:hAnsi="Arial"/>
                <w:sz w:val="15"/>
                <w:szCs w:val="15"/>
                <w:b w:val="1"/>
                <w:bCs w:val="1"/>
                <w:color w:val="auto"/>
              </w:rPr>
              <w:t>77,028,514</w:t>
            </w:r>
          </w:p>
        </w:tc>
        <w:tc>
          <w:tcPr>
            <w:tcW w:w="920" w:type="dxa"/>
            <w:vAlign w:val="bottom"/>
            <w:tcBorders>
              <w:top w:val="single" w:sz="8" w:color="793690"/>
              <w:bottom w:val="single" w:sz="8" w:color="F4EFF6"/>
            </w:tcBorders>
            <w:shd w:val="clear" w:color="auto" w:fill="F4EFF6"/>
          </w:tcPr>
          <w:p>
            <w:pPr>
              <w:jc w:val="right"/>
              <w:ind w:right="9"/>
              <w:spacing w:after="0"/>
              <w:rPr>
                <w:sz w:val="20"/>
                <w:szCs w:val="20"/>
                <w:color w:val="auto"/>
              </w:rPr>
            </w:pPr>
            <w:r>
              <w:rPr>
                <w:rFonts w:ascii="Arial" w:cs="Arial" w:eastAsia="Arial" w:hAnsi="Arial"/>
                <w:sz w:val="15"/>
                <w:szCs w:val="15"/>
                <w:b w:val="1"/>
                <w:bCs w:val="1"/>
                <w:color w:val="auto"/>
              </w:rPr>
              <w:t>116</w:t>
            </w:r>
          </w:p>
        </w:tc>
        <w:tc>
          <w:tcPr>
            <w:tcW w:w="2060" w:type="dxa"/>
            <w:vAlign w:val="bottom"/>
            <w:tcBorders>
              <w:top w:val="single" w:sz="8" w:color="793690"/>
            </w:tcBorders>
            <w:gridSpan w:val="2"/>
          </w:tcPr>
          <w:p>
            <w:pPr>
              <w:jc w:val="right"/>
              <w:ind w:right="317"/>
              <w:spacing w:after="0"/>
              <w:rPr>
                <w:sz w:val="20"/>
                <w:szCs w:val="20"/>
                <w:color w:val="auto"/>
              </w:rPr>
            </w:pPr>
            <w:r>
              <w:rPr>
                <w:rFonts w:ascii="Arial" w:cs="Arial" w:eastAsia="Arial" w:hAnsi="Arial"/>
                <w:sz w:val="15"/>
                <w:szCs w:val="15"/>
                <w:color w:val="auto"/>
              </w:rPr>
              <w:t>76,351,279</w:t>
            </w:r>
          </w:p>
        </w:tc>
        <w:tc>
          <w:tcPr>
            <w:tcW w:w="14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115</w:t>
            </w:r>
          </w:p>
        </w:tc>
      </w:tr>
      <w:tr>
        <w:trPr>
          <w:trHeight w:val="20"/>
        </w:trPr>
        <w:tc>
          <w:tcPr>
            <w:tcW w:w="4360" w:type="dxa"/>
            <w:vAlign w:val="bottom"/>
            <w:shd w:val="clear" w:color="auto" w:fill="793690"/>
          </w:tcPr>
          <w:p>
            <w:pPr>
              <w:spacing w:after="0" w:line="20" w:lineRule="exact"/>
              <w:rPr>
                <w:sz w:val="1"/>
                <w:szCs w:val="1"/>
                <w:color w:val="auto"/>
              </w:rPr>
            </w:pPr>
          </w:p>
        </w:tc>
        <w:tc>
          <w:tcPr>
            <w:tcW w:w="2440" w:type="dxa"/>
            <w:vAlign w:val="bottom"/>
            <w:shd w:val="clear" w:color="auto" w:fill="793690"/>
          </w:tcPr>
          <w:p>
            <w:pPr>
              <w:spacing w:after="0" w:line="20" w:lineRule="exact"/>
              <w:rPr>
                <w:sz w:val="1"/>
                <w:szCs w:val="1"/>
                <w:color w:val="auto"/>
              </w:rPr>
            </w:pPr>
          </w:p>
        </w:tc>
        <w:tc>
          <w:tcPr>
            <w:tcW w:w="920" w:type="dxa"/>
            <w:vAlign w:val="bottom"/>
            <w:shd w:val="clear" w:color="auto" w:fill="793690"/>
          </w:tcPr>
          <w:p>
            <w:pPr>
              <w:spacing w:after="0" w:line="20" w:lineRule="exact"/>
              <w:rPr>
                <w:sz w:val="1"/>
                <w:szCs w:val="1"/>
                <w:color w:val="auto"/>
              </w:rPr>
            </w:pPr>
          </w:p>
        </w:tc>
        <w:tc>
          <w:tcPr>
            <w:tcW w:w="140" w:type="dxa"/>
            <w:vAlign w:val="bottom"/>
            <w:shd w:val="clear" w:color="auto" w:fill="793690"/>
          </w:tcPr>
          <w:p>
            <w:pPr>
              <w:spacing w:after="0" w:line="20" w:lineRule="exact"/>
              <w:rPr>
                <w:sz w:val="1"/>
                <w:szCs w:val="1"/>
                <w:color w:val="auto"/>
              </w:rPr>
            </w:pPr>
          </w:p>
        </w:tc>
        <w:tc>
          <w:tcPr>
            <w:tcW w:w="1920" w:type="dxa"/>
            <w:vAlign w:val="bottom"/>
            <w:shd w:val="clear" w:color="auto" w:fill="793690"/>
          </w:tcPr>
          <w:p>
            <w:pPr>
              <w:spacing w:after="0" w:line="20" w:lineRule="exact"/>
              <w:rPr>
                <w:sz w:val="1"/>
                <w:szCs w:val="1"/>
                <w:color w:val="auto"/>
              </w:rPr>
            </w:pPr>
          </w:p>
        </w:tc>
        <w:tc>
          <w:tcPr>
            <w:tcW w:w="1440" w:type="dxa"/>
            <w:vAlign w:val="bottom"/>
            <w:shd w:val="clear" w:color="auto" w:fill="793690"/>
          </w:tcPr>
          <w:p>
            <w:pPr>
              <w:spacing w:after="0" w:line="20" w:lineRule="exact"/>
              <w:rPr>
                <w:sz w:val="1"/>
                <w:szCs w:val="1"/>
                <w:color w:val="auto"/>
              </w:rPr>
            </w:pPr>
          </w:p>
        </w:tc>
      </w:tr>
    </w:tbl>
    <w:p>
      <w:pPr>
        <w:spacing w:after="0" w:line="293" w:lineRule="exact"/>
        <w:rPr>
          <w:sz w:val="20"/>
          <w:szCs w:val="20"/>
          <w:color w:val="auto"/>
        </w:rPr>
      </w:pPr>
    </w:p>
    <w:p>
      <w:pPr>
        <w:ind w:right="220"/>
        <w:spacing w:after="0" w:line="283" w:lineRule="auto"/>
        <w:rPr>
          <w:sz w:val="20"/>
          <w:szCs w:val="20"/>
          <w:color w:val="auto"/>
        </w:rPr>
      </w:pPr>
      <w:r>
        <w:rPr>
          <w:rFonts w:ascii="Arial" w:cs="Arial" w:eastAsia="Arial" w:hAnsi="Arial"/>
          <w:sz w:val="15"/>
          <w:szCs w:val="15"/>
          <w:color w:val="auto"/>
        </w:rPr>
        <w:t>During the period the Group issued a cumulative 677,235 ordinary shares as part of the vesting of the 2021 Retention Long Term Incentive Plan as well as under 3 tranches of awards issued under the Deferred Bonus Plan. Each share issued has a nominal value of $0.001551.</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auto"/>
        </w:rPr>
        <w:t>Please refer to note 17 for further detail on each share-based payment plan.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00" w:type="dxa"/>
            <w:vAlign w:val="bottom"/>
          </w:tcPr>
          <w:p>
            <w:pPr>
              <w:spacing w:after="0"/>
              <w:rPr>
                <w:sz w:val="13"/>
                <w:szCs w:val="13"/>
                <w:color w:val="auto"/>
              </w:rPr>
            </w:pPr>
          </w:p>
        </w:tc>
        <w:tc>
          <w:tcPr>
            <w:tcW w:w="1620" w:type="dxa"/>
            <w:vAlign w:val="bottom"/>
            <w:shd w:val="clear" w:color="auto" w:fill="F4EFF6"/>
          </w:tcPr>
          <w:p>
            <w:pPr>
              <w:spacing w:after="0"/>
              <w:rPr>
                <w:sz w:val="13"/>
                <w:szCs w:val="13"/>
                <w:color w:val="auto"/>
              </w:rPr>
            </w:pPr>
          </w:p>
        </w:tc>
        <w:tc>
          <w:tcPr>
            <w:tcW w:w="2200" w:type="dxa"/>
            <w:vAlign w:val="bottom"/>
            <w:shd w:val="clear" w:color="auto" w:fill="F4EFF6"/>
          </w:tcPr>
          <w:p>
            <w:pPr>
              <w:jc w:val="right"/>
              <w:ind w:right="430"/>
              <w:spacing w:after="0"/>
              <w:rPr>
                <w:sz w:val="20"/>
                <w:szCs w:val="20"/>
                <w:color w:val="auto"/>
              </w:rPr>
            </w:pPr>
            <w:r>
              <w:rPr>
                <w:rFonts w:ascii="Arial" w:cs="Arial" w:eastAsia="Arial" w:hAnsi="Arial"/>
                <w:sz w:val="13"/>
                <w:szCs w:val="13"/>
                <w:b w:val="1"/>
                <w:bCs w:val="1"/>
                <w:color w:val="auto"/>
              </w:rPr>
              <w:t>Deferred Shares</w:t>
            </w:r>
          </w:p>
        </w:tc>
        <w:tc>
          <w:tcPr>
            <w:tcW w:w="1300" w:type="dxa"/>
            <w:vAlign w:val="bottom"/>
            <w:shd w:val="clear" w:color="auto" w:fill="F4EFF6"/>
          </w:tcPr>
          <w:p>
            <w:pPr>
              <w:spacing w:after="0"/>
              <w:rPr>
                <w:sz w:val="13"/>
                <w:szCs w:val="13"/>
                <w:color w:val="auto"/>
              </w:rPr>
            </w:pPr>
          </w:p>
        </w:tc>
      </w:tr>
      <w:tr>
        <w:trPr>
          <w:trHeight w:val="148"/>
        </w:trPr>
        <w:tc>
          <w:tcPr>
            <w:tcW w:w="6100" w:type="dxa"/>
            <w:vAlign w:val="bottom"/>
          </w:tcPr>
          <w:p>
            <w:pPr>
              <w:spacing w:after="0"/>
              <w:rPr>
                <w:sz w:val="12"/>
                <w:szCs w:val="12"/>
                <w:color w:val="auto"/>
              </w:rPr>
            </w:pPr>
          </w:p>
        </w:tc>
        <w:tc>
          <w:tcPr>
            <w:tcW w:w="16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Ordinary shares of</w:t>
            </w:r>
          </w:p>
        </w:tc>
        <w:tc>
          <w:tcPr>
            <w:tcW w:w="2200" w:type="dxa"/>
            <w:vAlign w:val="bottom"/>
            <w:shd w:val="clear" w:color="auto" w:fill="F4EFF6"/>
          </w:tcPr>
          <w:p>
            <w:pPr>
              <w:jc w:val="right"/>
              <w:ind w:right="390"/>
              <w:spacing w:after="0"/>
              <w:rPr>
                <w:sz w:val="20"/>
                <w:szCs w:val="20"/>
                <w:color w:val="auto"/>
              </w:rPr>
            </w:pPr>
            <w:r>
              <w:rPr>
                <w:rFonts w:ascii="Arial" w:cs="Arial" w:eastAsia="Arial" w:hAnsi="Arial"/>
                <w:sz w:val="13"/>
                <w:szCs w:val="13"/>
                <w:b w:val="1"/>
                <w:bCs w:val="1"/>
                <w:color w:val="auto"/>
              </w:rPr>
              <w:t>of £0.000469</w:t>
            </w:r>
          </w:p>
        </w:tc>
        <w:tc>
          <w:tcPr>
            <w:tcW w:w="130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Total</w:t>
            </w:r>
          </w:p>
        </w:tc>
      </w:tr>
      <w:tr>
        <w:trPr>
          <w:trHeight w:val="207"/>
        </w:trPr>
        <w:tc>
          <w:tcPr>
            <w:tcW w:w="6100" w:type="dxa"/>
            <w:vAlign w:val="bottom"/>
          </w:tcPr>
          <w:p>
            <w:pPr>
              <w:spacing w:after="0"/>
              <w:rPr>
                <w:sz w:val="18"/>
                <w:szCs w:val="18"/>
                <w:color w:val="auto"/>
              </w:rPr>
            </w:pPr>
          </w:p>
        </w:tc>
        <w:tc>
          <w:tcPr>
            <w:tcW w:w="16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$0.001551 Number</w:t>
            </w:r>
          </w:p>
        </w:tc>
        <w:tc>
          <w:tcPr>
            <w:tcW w:w="2200" w:type="dxa"/>
            <w:vAlign w:val="bottom"/>
            <w:tcBorders>
              <w:bottom w:val="single" w:sz="8" w:color="F4EFF6"/>
            </w:tcBorders>
            <w:shd w:val="clear" w:color="auto" w:fill="F4EFF6"/>
          </w:tcPr>
          <w:p>
            <w:pPr>
              <w:jc w:val="right"/>
              <w:ind w:right="390"/>
              <w:spacing w:after="0"/>
              <w:rPr>
                <w:sz w:val="20"/>
                <w:szCs w:val="20"/>
                <w:color w:val="auto"/>
              </w:rPr>
            </w:pPr>
            <w:r>
              <w:rPr>
                <w:rFonts w:ascii="Arial" w:cs="Arial" w:eastAsia="Arial" w:hAnsi="Arial"/>
                <w:sz w:val="13"/>
                <w:szCs w:val="13"/>
                <w:b w:val="1"/>
                <w:bCs w:val="1"/>
                <w:color w:val="auto"/>
              </w:rPr>
              <w:t>Number</w:t>
            </w:r>
          </w:p>
        </w:tc>
        <w:tc>
          <w:tcPr>
            <w:tcW w:w="130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Number</w:t>
            </w:r>
          </w:p>
        </w:tc>
      </w:tr>
      <w:tr>
        <w:trPr>
          <w:trHeight w:val="237"/>
        </w:trPr>
        <w:tc>
          <w:tcPr>
            <w:tcW w:w="610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At 1 January 2025</w:t>
            </w:r>
          </w:p>
        </w:tc>
        <w:tc>
          <w:tcPr>
            <w:tcW w:w="1620" w:type="dxa"/>
            <w:vAlign w:val="bottom"/>
            <w:tcBorders>
              <w:top w:val="single" w:sz="8" w:color="793690"/>
              <w:bottom w:val="single" w:sz="8" w:color="F4EFF6"/>
            </w:tcBorders>
            <w:shd w:val="clear" w:color="auto" w:fill="F4EFF6"/>
          </w:tcPr>
          <w:p>
            <w:pPr>
              <w:jc w:val="right"/>
              <w:ind w:right="9"/>
              <w:spacing w:after="0"/>
              <w:rPr>
                <w:sz w:val="20"/>
                <w:szCs w:val="20"/>
                <w:color w:val="auto"/>
              </w:rPr>
            </w:pPr>
            <w:r>
              <w:rPr>
                <w:rFonts w:ascii="Arial" w:cs="Arial" w:eastAsia="Arial" w:hAnsi="Arial"/>
                <w:sz w:val="15"/>
                <w:szCs w:val="15"/>
                <w:color w:val="auto"/>
              </w:rPr>
              <w:t>72,221,843</w:t>
            </w:r>
          </w:p>
        </w:tc>
        <w:tc>
          <w:tcPr>
            <w:tcW w:w="2200" w:type="dxa"/>
            <w:vAlign w:val="bottom"/>
            <w:tcBorders>
              <w:top w:val="single" w:sz="8" w:color="793690"/>
              <w:bottom w:val="single" w:sz="8" w:color="F4EFF6"/>
            </w:tcBorders>
            <w:shd w:val="clear" w:color="auto" w:fill="F4EFF6"/>
          </w:tcPr>
          <w:p>
            <w:pPr>
              <w:jc w:val="right"/>
              <w:ind w:right="450"/>
              <w:spacing w:after="0"/>
              <w:rPr>
                <w:sz w:val="20"/>
                <w:szCs w:val="20"/>
                <w:color w:val="auto"/>
              </w:rPr>
            </w:pPr>
            <w:r>
              <w:rPr>
                <w:rFonts w:ascii="Arial" w:cs="Arial" w:eastAsia="Arial" w:hAnsi="Arial"/>
                <w:sz w:val="15"/>
                <w:szCs w:val="15"/>
                <w:color w:val="auto"/>
              </w:rPr>
              <w:t>4,129,436</w:t>
            </w:r>
          </w:p>
        </w:tc>
        <w:tc>
          <w:tcPr>
            <w:tcW w:w="130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76,351,279</w:t>
            </w:r>
          </w:p>
        </w:tc>
      </w:tr>
      <w:tr>
        <w:trPr>
          <w:trHeight w:val="237"/>
        </w:trPr>
        <w:tc>
          <w:tcPr>
            <w:tcW w:w="610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Issuance of ordinary shares during the period</w:t>
            </w:r>
          </w:p>
        </w:tc>
        <w:tc>
          <w:tcPr>
            <w:tcW w:w="1620" w:type="dxa"/>
            <w:vAlign w:val="bottom"/>
            <w:tcBorders>
              <w:top w:val="single" w:sz="8" w:color="DADAE7"/>
              <w:bottom w:val="single" w:sz="8" w:color="F4EFF6"/>
            </w:tcBorders>
            <w:shd w:val="clear" w:color="auto" w:fill="F4EFF6"/>
          </w:tcPr>
          <w:p>
            <w:pPr>
              <w:jc w:val="right"/>
              <w:ind w:right="9"/>
              <w:spacing w:after="0"/>
              <w:rPr>
                <w:sz w:val="20"/>
                <w:szCs w:val="20"/>
                <w:color w:val="auto"/>
              </w:rPr>
            </w:pPr>
            <w:r>
              <w:rPr>
                <w:rFonts w:ascii="Arial" w:cs="Arial" w:eastAsia="Arial" w:hAnsi="Arial"/>
                <w:sz w:val="15"/>
                <w:szCs w:val="15"/>
                <w:color w:val="auto"/>
              </w:rPr>
              <w:t>677,235</w:t>
            </w:r>
          </w:p>
        </w:tc>
        <w:tc>
          <w:tcPr>
            <w:tcW w:w="2200" w:type="dxa"/>
            <w:vAlign w:val="bottom"/>
            <w:tcBorders>
              <w:top w:val="single" w:sz="8" w:color="DADAE7"/>
              <w:bottom w:val="single" w:sz="8" w:color="F4EFF6"/>
            </w:tcBorders>
            <w:shd w:val="clear" w:color="auto" w:fill="F4EFF6"/>
          </w:tcPr>
          <w:p>
            <w:pPr>
              <w:jc w:val="right"/>
              <w:ind w:right="450"/>
              <w:spacing w:after="0"/>
              <w:rPr>
                <w:sz w:val="20"/>
                <w:szCs w:val="20"/>
                <w:color w:val="auto"/>
              </w:rPr>
            </w:pPr>
            <w:r>
              <w:rPr>
                <w:rFonts w:ascii="Arial" w:cs="Arial" w:eastAsia="Arial" w:hAnsi="Arial"/>
                <w:sz w:val="15"/>
                <w:szCs w:val="15"/>
                <w:color w:val="auto"/>
              </w:rPr>
              <w:t>—</w:t>
            </w:r>
          </w:p>
        </w:tc>
        <w:tc>
          <w:tcPr>
            <w:tcW w:w="13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677,235</w:t>
            </w:r>
          </w:p>
        </w:tc>
      </w:tr>
      <w:tr>
        <w:trPr>
          <w:trHeight w:val="217"/>
        </w:trPr>
        <w:tc>
          <w:tcPr>
            <w:tcW w:w="610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At 30 June 2025</w:t>
            </w:r>
          </w:p>
        </w:tc>
        <w:tc>
          <w:tcPr>
            <w:tcW w:w="1620" w:type="dxa"/>
            <w:vAlign w:val="bottom"/>
            <w:tcBorders>
              <w:top w:val="single" w:sz="8" w:color="793690"/>
              <w:bottom w:val="single" w:sz="8" w:color="F4EFF6"/>
            </w:tcBorders>
            <w:shd w:val="clear" w:color="auto" w:fill="F4EFF6"/>
          </w:tcPr>
          <w:p>
            <w:pPr>
              <w:jc w:val="right"/>
              <w:ind w:right="9"/>
              <w:spacing w:after="0"/>
              <w:rPr>
                <w:sz w:val="20"/>
                <w:szCs w:val="20"/>
                <w:color w:val="auto"/>
              </w:rPr>
            </w:pPr>
            <w:r>
              <w:rPr>
                <w:rFonts w:ascii="Arial" w:cs="Arial" w:eastAsia="Arial" w:hAnsi="Arial"/>
                <w:sz w:val="15"/>
                <w:szCs w:val="15"/>
                <w:b w:val="1"/>
                <w:bCs w:val="1"/>
                <w:color w:val="auto"/>
              </w:rPr>
              <w:t>72,899,078</w:t>
            </w:r>
          </w:p>
        </w:tc>
        <w:tc>
          <w:tcPr>
            <w:tcW w:w="2200" w:type="dxa"/>
            <w:vAlign w:val="bottom"/>
            <w:tcBorders>
              <w:top w:val="single" w:sz="8" w:color="793690"/>
              <w:bottom w:val="single" w:sz="8" w:color="F4EFF6"/>
            </w:tcBorders>
            <w:shd w:val="clear" w:color="auto" w:fill="F4EFF6"/>
          </w:tcPr>
          <w:p>
            <w:pPr>
              <w:jc w:val="right"/>
              <w:ind w:right="450"/>
              <w:spacing w:after="0"/>
              <w:rPr>
                <w:sz w:val="20"/>
                <w:szCs w:val="20"/>
                <w:color w:val="auto"/>
              </w:rPr>
            </w:pPr>
            <w:r>
              <w:rPr>
                <w:rFonts w:ascii="Arial" w:cs="Arial" w:eastAsia="Arial" w:hAnsi="Arial"/>
                <w:sz w:val="15"/>
                <w:szCs w:val="15"/>
                <w:b w:val="1"/>
                <w:bCs w:val="1"/>
                <w:color w:val="auto"/>
              </w:rPr>
              <w:t>4,129,436</w:t>
            </w:r>
          </w:p>
        </w:tc>
        <w:tc>
          <w:tcPr>
            <w:tcW w:w="130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77,028,514</w:t>
            </w:r>
          </w:p>
        </w:tc>
      </w:tr>
      <w:tr>
        <w:trPr>
          <w:trHeight w:val="20"/>
        </w:trPr>
        <w:tc>
          <w:tcPr>
            <w:tcW w:w="6100" w:type="dxa"/>
            <w:vAlign w:val="bottom"/>
            <w:shd w:val="clear" w:color="auto" w:fill="793690"/>
          </w:tcPr>
          <w:p>
            <w:pPr>
              <w:spacing w:after="0" w:line="20" w:lineRule="exact"/>
              <w:rPr>
                <w:sz w:val="1"/>
                <w:szCs w:val="1"/>
                <w:color w:val="auto"/>
              </w:rPr>
            </w:pPr>
          </w:p>
        </w:tc>
        <w:tc>
          <w:tcPr>
            <w:tcW w:w="1620" w:type="dxa"/>
            <w:vAlign w:val="bottom"/>
            <w:shd w:val="clear" w:color="auto" w:fill="793690"/>
          </w:tcPr>
          <w:p>
            <w:pPr>
              <w:spacing w:after="0" w:line="20" w:lineRule="exact"/>
              <w:rPr>
                <w:sz w:val="1"/>
                <w:szCs w:val="1"/>
                <w:color w:val="auto"/>
              </w:rPr>
            </w:pPr>
          </w:p>
        </w:tc>
        <w:tc>
          <w:tcPr>
            <w:tcW w:w="2200" w:type="dxa"/>
            <w:vAlign w:val="bottom"/>
            <w:shd w:val="clear" w:color="auto" w:fill="793690"/>
          </w:tcPr>
          <w:p>
            <w:pPr>
              <w:spacing w:after="0" w:line="20" w:lineRule="exact"/>
              <w:rPr>
                <w:sz w:val="1"/>
                <w:szCs w:val="1"/>
                <w:color w:val="auto"/>
              </w:rPr>
            </w:pPr>
          </w:p>
        </w:tc>
        <w:tc>
          <w:tcPr>
            <w:tcW w:w="1300" w:type="dxa"/>
            <w:vAlign w:val="bottom"/>
            <w:shd w:val="clear" w:color="auto" w:fill="793690"/>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5"/>
          <w:szCs w:val="15"/>
          <w:color w:val="auto"/>
        </w:rPr>
        <w:t>Following settlement of some eligible Group share-based payment schemes, the Group held 1,199,156 (31 December 2024: 1,930,957) ordinary shares purchased at</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 total cost of $58.3m (31 December 2024: $23.2m). Please refer to note </w:t>
      </w:r>
      <w:r>
        <w:rPr>
          <w:rFonts w:ascii="Arial" w:cs="Arial" w:eastAsia="Arial" w:hAnsi="Arial"/>
          <w:sz w:val="15"/>
          <w:szCs w:val="15"/>
          <w:u w:val="single" w:color="auto"/>
          <w:color w:val="auto"/>
        </w:rPr>
        <w:t>17</w:t>
      </w:r>
      <w:r>
        <w:rPr>
          <w:rFonts w:ascii="Arial" w:cs="Arial" w:eastAsia="Arial" w:hAnsi="Arial"/>
          <w:sz w:val="15"/>
          <w:szCs w:val="15"/>
          <w:color w:val="auto"/>
        </w:rPr>
        <w:t xml:space="preserve"> 'Share Based Payments' for further detail.</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The rights of all shares are disclosed in the 2024 Group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19</w:t>
      </w:r>
    </w:p>
    <w:p>
      <w:pPr>
        <w:sectPr>
          <w:pgSz w:w="11900" w:h="16838" w:orient="portrait"/>
          <w:cols w:equalWidth="0" w:num="1">
            <w:col w:w="11220"/>
          </w:cols>
          <w:pgMar w:left="320" w:top="1353" w:right="359" w:bottom="1440" w:gutter="0" w:footer="0" w:header="0"/>
        </w:sectPr>
      </w:pPr>
    </w:p>
    <w:bookmarkStart w:id="41" w:name="page42"/>
    <w:bookmarkEnd w:id="41"/>
    <w:p>
      <w:pPr>
        <w:spacing w:after="0"/>
        <w:rPr>
          <w:sz w:val="20"/>
          <w:szCs w:val="20"/>
          <w:color w:val="auto"/>
        </w:rPr>
      </w:pPr>
      <w:r>
        <w:rPr>
          <w:rFonts w:ascii="Arial" w:cs="Arial" w:eastAsia="Arial" w:hAnsi="Arial"/>
          <w:sz w:val="22"/>
          <w:szCs w:val="22"/>
          <w:b w:val="1"/>
          <w:bCs w:val="1"/>
          <w:color w:val="793690"/>
        </w:rPr>
        <w:t xml:space="preserve">Notes to the Unaudited Condensed Consolidated Financial Statements </w:t>
      </w:r>
      <w:r>
        <w:rPr>
          <w:rFonts w:ascii="Arial" w:cs="Arial" w:eastAsia="Arial" w:hAnsi="Arial"/>
          <w:sz w:val="22"/>
          <w:szCs w:val="22"/>
          <w:color w:val="793690"/>
        </w:rPr>
        <w:t>(continued)</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793690"/>
        </w:rPr>
        <w:t>13 Financial Instruments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Categories of financial instruments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1600" w:type="dxa"/>
            <w:vAlign w:val="bottom"/>
            <w:gridSpan w:val="2"/>
            <w:shd w:val="clear" w:color="auto" w:fill="F4EFF6"/>
          </w:tcPr>
          <w:p>
            <w:pPr>
              <w:jc w:val="right"/>
              <w:ind w:right="20"/>
              <w:spacing w:after="0"/>
              <w:rPr>
                <w:sz w:val="20"/>
                <w:szCs w:val="20"/>
                <w:color w:val="auto"/>
              </w:rPr>
            </w:pPr>
            <w:r>
              <w:rPr>
                <w:rFonts w:ascii="Arial" w:cs="Arial" w:eastAsia="Arial" w:hAnsi="Arial"/>
                <w:sz w:val="13"/>
                <w:szCs w:val="13"/>
                <w:b w:val="1"/>
                <w:bCs w:val="1"/>
                <w:color w:val="auto"/>
              </w:rPr>
              <w:t>FVTPL</w:t>
            </w:r>
          </w:p>
        </w:tc>
        <w:tc>
          <w:tcPr>
            <w:tcW w:w="140" w:type="dxa"/>
            <w:vAlign w:val="bottom"/>
            <w:shd w:val="clear" w:color="auto" w:fill="F4EFF6"/>
          </w:tcPr>
          <w:p>
            <w:pPr>
              <w:spacing w:after="0"/>
              <w:rPr>
                <w:sz w:val="16"/>
                <w:szCs w:val="16"/>
                <w:color w:val="auto"/>
              </w:rPr>
            </w:pPr>
          </w:p>
        </w:tc>
        <w:tc>
          <w:tcPr>
            <w:tcW w:w="1600" w:type="dxa"/>
            <w:vAlign w:val="bottom"/>
            <w:gridSpan w:val="2"/>
            <w:shd w:val="clear" w:color="auto" w:fill="F4EFF6"/>
          </w:tcPr>
          <w:p>
            <w:pPr>
              <w:jc w:val="right"/>
              <w:ind w:right="20"/>
              <w:spacing w:after="0"/>
              <w:rPr>
                <w:sz w:val="20"/>
                <w:szCs w:val="20"/>
                <w:color w:val="auto"/>
              </w:rPr>
            </w:pPr>
            <w:r>
              <w:rPr>
                <w:rFonts w:ascii="Arial" w:cs="Arial" w:eastAsia="Arial" w:hAnsi="Arial"/>
                <w:sz w:val="13"/>
                <w:szCs w:val="13"/>
                <w:b w:val="1"/>
                <w:bCs w:val="1"/>
                <w:color w:val="auto"/>
              </w:rPr>
              <w:t>FVTOCI</w:t>
            </w:r>
          </w:p>
        </w:tc>
        <w:tc>
          <w:tcPr>
            <w:tcW w:w="140" w:type="dxa"/>
            <w:vAlign w:val="bottom"/>
            <w:shd w:val="clear" w:color="auto" w:fill="F4EFF6"/>
          </w:tcPr>
          <w:p>
            <w:pPr>
              <w:spacing w:after="0"/>
              <w:rPr>
                <w:sz w:val="16"/>
                <w:szCs w:val="16"/>
                <w:color w:val="auto"/>
              </w:rPr>
            </w:pPr>
          </w:p>
        </w:tc>
        <w:tc>
          <w:tcPr>
            <w:tcW w:w="1620" w:type="dxa"/>
            <w:vAlign w:val="bottom"/>
            <w:gridSpan w:val="2"/>
            <w:shd w:val="clear" w:color="auto" w:fill="F4EFF6"/>
          </w:tcPr>
          <w:p>
            <w:pPr>
              <w:jc w:val="right"/>
              <w:ind w:right="20"/>
              <w:spacing w:after="0"/>
              <w:rPr>
                <w:sz w:val="20"/>
                <w:szCs w:val="20"/>
                <w:color w:val="auto"/>
              </w:rPr>
            </w:pPr>
            <w:r>
              <w:rPr>
                <w:rFonts w:ascii="Arial" w:cs="Arial" w:eastAsia="Arial" w:hAnsi="Arial"/>
                <w:sz w:val="13"/>
                <w:szCs w:val="13"/>
                <w:b w:val="1"/>
                <w:bCs w:val="1"/>
                <w:color w:val="auto"/>
              </w:rPr>
              <w:t>Amortised cost</w:t>
            </w:r>
          </w:p>
        </w:tc>
        <w:tc>
          <w:tcPr>
            <w:tcW w:w="140" w:type="dxa"/>
            <w:vAlign w:val="bottom"/>
            <w:shd w:val="clear" w:color="auto" w:fill="F4EFF6"/>
          </w:tcPr>
          <w:p>
            <w:pPr>
              <w:spacing w:after="0"/>
              <w:rPr>
                <w:sz w:val="16"/>
                <w:szCs w:val="16"/>
                <w:color w:val="auto"/>
              </w:rPr>
            </w:pPr>
          </w:p>
        </w:tc>
        <w:tc>
          <w:tcPr>
            <w:tcW w:w="160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5"/>
        </w:trPr>
        <w:tc>
          <w:tcPr>
            <w:tcW w:w="4380" w:type="dxa"/>
            <w:vAlign w:val="bottom"/>
          </w:tcPr>
          <w:p>
            <w:pPr>
              <w:ind w:left="20"/>
              <w:spacing w:after="0"/>
              <w:rPr>
                <w:sz w:val="20"/>
                <w:szCs w:val="20"/>
                <w:color w:val="auto"/>
              </w:rPr>
            </w:pPr>
            <w:r>
              <w:rPr>
                <w:rFonts w:ascii="Arial" w:cs="Arial" w:eastAsia="Arial" w:hAnsi="Arial"/>
                <w:sz w:val="13"/>
                <w:szCs w:val="13"/>
                <w:b w:val="1"/>
                <w:bCs w:val="1"/>
                <w:color w:val="auto"/>
              </w:rPr>
              <w:t>Financial assets at 30 June 2025</w:t>
            </w:r>
          </w:p>
        </w:tc>
        <w:tc>
          <w:tcPr>
            <w:tcW w:w="1600" w:type="dxa"/>
            <w:vAlign w:val="bottom"/>
            <w:tcBorders>
              <w:bottom w:val="single" w:sz="8" w:color="F4EFF6"/>
            </w:tcBorders>
            <w:gridSpan w:val="2"/>
            <w:shd w:val="clear" w:color="auto" w:fill="F4EFF6"/>
          </w:tcPr>
          <w:p>
            <w:pPr>
              <w:jc w:val="right"/>
              <w:ind w:right="20"/>
              <w:spacing w:after="0"/>
              <w:rPr>
                <w:sz w:val="20"/>
                <w:szCs w:val="20"/>
                <w:color w:val="auto"/>
              </w:rPr>
            </w:pPr>
            <w:r>
              <w:rPr>
                <w:rFonts w:ascii="Arial" w:cs="Arial" w:eastAsia="Arial" w:hAnsi="Arial"/>
                <w:sz w:val="13"/>
                <w:szCs w:val="13"/>
                <w:b w:val="1"/>
                <w:bCs w:val="1"/>
                <w:color w:val="auto"/>
              </w:rPr>
              <w:t>$m</w:t>
            </w:r>
          </w:p>
        </w:tc>
        <w:tc>
          <w:tcPr>
            <w:tcW w:w="140" w:type="dxa"/>
            <w:vAlign w:val="bottom"/>
            <w:tcBorders>
              <w:bottom w:val="single" w:sz="8" w:color="F4EFF6"/>
            </w:tcBorders>
            <w:shd w:val="clear" w:color="auto" w:fill="F4EFF6"/>
          </w:tcPr>
          <w:p>
            <w:pPr>
              <w:spacing w:after="0"/>
              <w:rPr>
                <w:sz w:val="17"/>
                <w:szCs w:val="17"/>
                <w:color w:val="auto"/>
              </w:rPr>
            </w:pPr>
          </w:p>
        </w:tc>
        <w:tc>
          <w:tcPr>
            <w:tcW w:w="1600" w:type="dxa"/>
            <w:vAlign w:val="bottom"/>
            <w:tcBorders>
              <w:bottom w:val="single" w:sz="8" w:color="F4EFF6"/>
            </w:tcBorders>
            <w:gridSpan w:val="2"/>
            <w:shd w:val="clear" w:color="auto" w:fill="F4EFF6"/>
          </w:tcPr>
          <w:p>
            <w:pPr>
              <w:jc w:val="right"/>
              <w:ind w:right="20"/>
              <w:spacing w:after="0"/>
              <w:rPr>
                <w:sz w:val="20"/>
                <w:szCs w:val="20"/>
                <w:color w:val="auto"/>
              </w:rPr>
            </w:pPr>
            <w:r>
              <w:rPr>
                <w:rFonts w:ascii="Arial" w:cs="Arial" w:eastAsia="Arial" w:hAnsi="Arial"/>
                <w:sz w:val="13"/>
                <w:szCs w:val="13"/>
                <w:b w:val="1"/>
                <w:bCs w:val="1"/>
                <w:color w:val="auto"/>
              </w:rPr>
              <w:t>$m</w:t>
            </w:r>
          </w:p>
        </w:tc>
        <w:tc>
          <w:tcPr>
            <w:tcW w:w="140" w:type="dxa"/>
            <w:vAlign w:val="bottom"/>
            <w:tcBorders>
              <w:bottom w:val="single" w:sz="8" w:color="F4EFF6"/>
            </w:tcBorders>
            <w:shd w:val="clear" w:color="auto" w:fill="F4EFF6"/>
          </w:tcPr>
          <w:p>
            <w:pPr>
              <w:spacing w:after="0"/>
              <w:rPr>
                <w:sz w:val="17"/>
                <w:szCs w:val="17"/>
                <w:color w:val="auto"/>
              </w:rPr>
            </w:pPr>
          </w:p>
        </w:tc>
        <w:tc>
          <w:tcPr>
            <w:tcW w:w="1620" w:type="dxa"/>
            <w:vAlign w:val="bottom"/>
            <w:tcBorders>
              <w:bottom w:val="single" w:sz="8" w:color="F4EFF6"/>
            </w:tcBorders>
            <w:gridSpan w:val="2"/>
            <w:shd w:val="clear" w:color="auto" w:fill="F4EFF6"/>
          </w:tcPr>
          <w:p>
            <w:pPr>
              <w:jc w:val="right"/>
              <w:ind w:right="20"/>
              <w:spacing w:after="0"/>
              <w:rPr>
                <w:sz w:val="20"/>
                <w:szCs w:val="20"/>
                <w:color w:val="auto"/>
              </w:rPr>
            </w:pPr>
            <w:r>
              <w:rPr>
                <w:rFonts w:ascii="Arial" w:cs="Arial" w:eastAsia="Arial" w:hAnsi="Arial"/>
                <w:sz w:val="13"/>
                <w:szCs w:val="13"/>
                <w:b w:val="1"/>
                <w:bCs w:val="1"/>
                <w:color w:val="auto"/>
              </w:rPr>
              <w:t>$m</w:t>
            </w:r>
          </w:p>
        </w:tc>
        <w:tc>
          <w:tcPr>
            <w:tcW w:w="140" w:type="dxa"/>
            <w:vAlign w:val="bottom"/>
            <w:tcBorders>
              <w:bottom w:val="single" w:sz="8" w:color="F4EFF6"/>
            </w:tcBorders>
            <w:shd w:val="clear" w:color="auto" w:fill="F4EFF6"/>
          </w:tcPr>
          <w:p>
            <w:pPr>
              <w:spacing w:after="0"/>
              <w:rPr>
                <w:sz w:val="17"/>
                <w:szCs w:val="17"/>
                <w:color w:val="auto"/>
              </w:rPr>
            </w:pPr>
          </w:p>
        </w:tc>
        <w:tc>
          <w:tcPr>
            <w:tcW w:w="160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0" w:type="dxa"/>
            <w:vAlign w:val="bottom"/>
          </w:tcPr>
          <w:p>
            <w:pPr>
              <w:spacing w:after="0"/>
              <w:rPr>
                <w:sz w:val="1"/>
                <w:szCs w:val="1"/>
                <w:color w:val="auto"/>
              </w:rPr>
            </w:pPr>
          </w:p>
        </w:tc>
      </w:tr>
      <w:tr>
        <w:trPr>
          <w:trHeight w:val="237"/>
        </w:trPr>
        <w:tc>
          <w:tcPr>
            <w:tcW w:w="438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Investments</w:t>
            </w:r>
          </w:p>
        </w:tc>
        <w:tc>
          <w:tcPr>
            <w:tcW w:w="156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793690"/>
              <w:bottom w:val="single" w:sz="8" w:color="F4EFF6"/>
            </w:tcBorders>
            <w:shd w:val="clear" w:color="auto" w:fill="F4EFF6"/>
          </w:tcPr>
          <w:p>
            <w:pPr>
              <w:spacing w:after="0"/>
              <w:rPr>
                <w:sz w:val="20"/>
                <w:szCs w:val="20"/>
                <w:color w:val="auto"/>
              </w:rPr>
            </w:pPr>
          </w:p>
        </w:tc>
        <w:tc>
          <w:tcPr>
            <w:tcW w:w="140" w:type="dxa"/>
            <w:vAlign w:val="bottom"/>
            <w:tcBorders>
              <w:top w:val="single" w:sz="8" w:color="793690"/>
              <w:bottom w:val="single" w:sz="8" w:color="F4EFF6"/>
            </w:tcBorders>
            <w:shd w:val="clear" w:color="auto" w:fill="F4EFF6"/>
          </w:tcPr>
          <w:p>
            <w:pPr>
              <w:spacing w:after="0"/>
              <w:rPr>
                <w:sz w:val="20"/>
                <w:szCs w:val="20"/>
                <w:color w:val="auto"/>
              </w:rPr>
            </w:pPr>
          </w:p>
        </w:tc>
        <w:tc>
          <w:tcPr>
            <w:tcW w:w="156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28.9</w:t>
            </w:r>
          </w:p>
        </w:tc>
        <w:tc>
          <w:tcPr>
            <w:tcW w:w="40" w:type="dxa"/>
            <w:vAlign w:val="bottom"/>
            <w:tcBorders>
              <w:top w:val="single" w:sz="8" w:color="793690"/>
              <w:bottom w:val="single" w:sz="8" w:color="F4EFF6"/>
            </w:tcBorders>
            <w:shd w:val="clear" w:color="auto" w:fill="F4EFF6"/>
          </w:tcPr>
          <w:p>
            <w:pPr>
              <w:spacing w:after="0"/>
              <w:rPr>
                <w:sz w:val="20"/>
                <w:szCs w:val="20"/>
                <w:color w:val="auto"/>
              </w:rPr>
            </w:pPr>
          </w:p>
        </w:tc>
        <w:tc>
          <w:tcPr>
            <w:tcW w:w="140" w:type="dxa"/>
            <w:vAlign w:val="bottom"/>
            <w:tcBorders>
              <w:top w:val="single" w:sz="8" w:color="793690"/>
              <w:bottom w:val="single" w:sz="8" w:color="F4EFF6"/>
            </w:tcBorders>
            <w:shd w:val="clear" w:color="auto" w:fill="F4EFF6"/>
          </w:tcPr>
          <w:p>
            <w:pPr>
              <w:spacing w:after="0"/>
              <w:rPr>
                <w:sz w:val="20"/>
                <w:szCs w:val="20"/>
                <w:color w:val="auto"/>
              </w:rPr>
            </w:pPr>
          </w:p>
        </w:tc>
        <w:tc>
          <w:tcPr>
            <w:tcW w:w="1620" w:type="dxa"/>
            <w:vAlign w:val="bottom"/>
            <w:tcBorders>
              <w:top w:val="single" w:sz="8" w:color="793690"/>
              <w:bottom w:val="single" w:sz="8" w:color="F4EFF6"/>
            </w:tcBorders>
            <w:gridSpan w:val="2"/>
            <w:shd w:val="clear" w:color="auto" w:fill="F4EFF6"/>
          </w:tcPr>
          <w:p>
            <w:pPr>
              <w:jc w:val="right"/>
              <w:ind w:right="80"/>
              <w:spacing w:after="0"/>
              <w:rPr>
                <w:sz w:val="20"/>
                <w:szCs w:val="20"/>
                <w:color w:val="auto"/>
              </w:rPr>
            </w:pPr>
            <w:r>
              <w:rPr>
                <w:rFonts w:ascii="Arial" w:cs="Arial" w:eastAsia="Arial" w:hAnsi="Arial"/>
                <w:sz w:val="15"/>
                <w:szCs w:val="15"/>
                <w:b w:val="1"/>
                <w:bCs w:val="1"/>
                <w:color w:val="auto"/>
              </w:rPr>
              <w:t>—</w:t>
            </w:r>
          </w:p>
        </w:tc>
        <w:tc>
          <w:tcPr>
            <w:tcW w:w="1740" w:type="dxa"/>
            <w:vAlign w:val="bottom"/>
            <w:tcBorders>
              <w:top w:val="single" w:sz="8" w:color="793690"/>
              <w:bottom w:val="single" w:sz="8" w:color="F4EFF6"/>
            </w:tcBorders>
            <w:gridSpan w:val="2"/>
            <w:shd w:val="clear" w:color="auto" w:fill="F4EFF6"/>
          </w:tcPr>
          <w:p>
            <w:pPr>
              <w:jc w:val="right"/>
              <w:spacing w:after="0"/>
              <w:rPr>
                <w:sz w:val="20"/>
                <w:szCs w:val="20"/>
                <w:color w:val="auto"/>
              </w:rPr>
            </w:pPr>
            <w:r>
              <w:rPr>
                <w:rFonts w:ascii="Arial" w:cs="Arial" w:eastAsia="Arial" w:hAnsi="Arial"/>
                <w:sz w:val="15"/>
                <w:szCs w:val="15"/>
                <w:b w:val="1"/>
                <w:bCs w:val="1"/>
                <w:color w:val="auto"/>
              </w:rPr>
              <w:t>28.9</w:t>
            </w:r>
          </w:p>
        </w:tc>
        <w:tc>
          <w:tcPr>
            <w:tcW w:w="0" w:type="dxa"/>
            <w:vAlign w:val="bottom"/>
          </w:tcPr>
          <w:p>
            <w:pPr>
              <w:spacing w:after="0"/>
              <w:rPr>
                <w:sz w:val="1"/>
                <w:szCs w:val="1"/>
                <w:color w:val="auto"/>
              </w:rPr>
            </w:pPr>
          </w:p>
        </w:tc>
      </w:tr>
      <w:tr>
        <w:trPr>
          <w:trHeight w:val="237"/>
        </w:trPr>
        <w:tc>
          <w:tcPr>
            <w:tcW w:w="4380" w:type="dxa"/>
            <w:vAlign w:val="bottom"/>
            <w:tcBorders>
              <w:top w:val="single" w:sz="8" w:color="CCCCD3"/>
              <w:bottom w:val="single" w:sz="8" w:color="CCCCD3"/>
            </w:tcBorders>
          </w:tcPr>
          <w:p>
            <w:pPr>
              <w:ind w:left="20"/>
              <w:spacing w:after="0"/>
              <w:rPr>
                <w:sz w:val="20"/>
                <w:szCs w:val="20"/>
                <w:color w:val="auto"/>
              </w:rPr>
            </w:pPr>
            <w:r>
              <w:rPr>
                <w:rFonts w:ascii="Arial" w:cs="Arial" w:eastAsia="Arial" w:hAnsi="Arial"/>
                <w:sz w:val="15"/>
                <w:szCs w:val="15"/>
                <w:color w:val="auto"/>
              </w:rPr>
              <w:t>Treasury instruments</w:t>
            </w:r>
            <w:r>
              <w:rPr>
                <w:rFonts w:ascii="Arial" w:cs="Arial" w:eastAsia="Arial" w:hAnsi="Arial"/>
                <w:sz w:val="19"/>
                <w:szCs w:val="19"/>
                <w:color w:val="auto"/>
                <w:vertAlign w:val="superscript"/>
              </w:rPr>
              <w:t>1</w:t>
            </w:r>
          </w:p>
        </w:tc>
        <w:tc>
          <w:tcPr>
            <w:tcW w:w="1560" w:type="dxa"/>
            <w:vAlign w:val="bottom"/>
            <w:tcBorders>
              <w:top w:val="single" w:sz="8" w:color="CCCCD3"/>
              <w:bottom w:val="single" w:sz="8" w:color="CCCCD3"/>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17.0</w:t>
            </w:r>
          </w:p>
        </w:tc>
        <w:tc>
          <w:tcPr>
            <w:tcW w:w="40" w:type="dxa"/>
            <w:vAlign w:val="bottom"/>
            <w:tcBorders>
              <w:top w:val="single" w:sz="8" w:color="CCCCD3"/>
              <w:bottom w:val="single" w:sz="8" w:color="CCCCD3"/>
            </w:tcBorders>
            <w:shd w:val="clear" w:color="auto" w:fill="F4EFF6"/>
          </w:tcPr>
          <w:p>
            <w:pPr>
              <w:spacing w:after="0"/>
              <w:rPr>
                <w:sz w:val="20"/>
                <w:szCs w:val="20"/>
                <w:color w:val="auto"/>
              </w:rPr>
            </w:pPr>
          </w:p>
        </w:tc>
        <w:tc>
          <w:tcPr>
            <w:tcW w:w="140" w:type="dxa"/>
            <w:vAlign w:val="bottom"/>
            <w:tcBorders>
              <w:top w:val="single" w:sz="8" w:color="CCCCD3"/>
              <w:bottom w:val="single" w:sz="8" w:color="CCCCD3"/>
            </w:tcBorders>
            <w:shd w:val="clear" w:color="auto" w:fill="F4EFF6"/>
          </w:tcPr>
          <w:p>
            <w:pPr>
              <w:spacing w:after="0"/>
              <w:rPr>
                <w:sz w:val="20"/>
                <w:szCs w:val="20"/>
                <w:color w:val="auto"/>
              </w:rPr>
            </w:pPr>
          </w:p>
        </w:tc>
        <w:tc>
          <w:tcPr>
            <w:tcW w:w="1560" w:type="dxa"/>
            <w:vAlign w:val="bottom"/>
            <w:tcBorders>
              <w:top w:val="single" w:sz="8" w:color="CCCCD3"/>
              <w:bottom w:val="single" w:sz="8" w:color="CCCCD3"/>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CCCCD3"/>
              <w:bottom w:val="single" w:sz="8" w:color="CCCCD3"/>
            </w:tcBorders>
            <w:shd w:val="clear" w:color="auto" w:fill="F4EFF6"/>
          </w:tcPr>
          <w:p>
            <w:pPr>
              <w:spacing w:after="0"/>
              <w:rPr>
                <w:sz w:val="20"/>
                <w:szCs w:val="20"/>
                <w:color w:val="auto"/>
              </w:rPr>
            </w:pPr>
          </w:p>
        </w:tc>
        <w:tc>
          <w:tcPr>
            <w:tcW w:w="1720" w:type="dxa"/>
            <w:vAlign w:val="bottom"/>
            <w:tcBorders>
              <w:top w:val="single" w:sz="8" w:color="CCCCD3"/>
              <w:bottom w:val="single" w:sz="8" w:color="CCCCD3"/>
            </w:tcBorders>
            <w:gridSpan w:val="2"/>
            <w:shd w:val="clear" w:color="auto" w:fill="F4EFF6"/>
          </w:tcPr>
          <w:p>
            <w:pPr>
              <w:jc w:val="right"/>
              <w:spacing w:after="0"/>
              <w:rPr>
                <w:sz w:val="20"/>
                <w:szCs w:val="20"/>
                <w:color w:val="auto"/>
              </w:rPr>
            </w:pPr>
            <w:r>
              <w:rPr>
                <w:rFonts w:ascii="Arial" w:cs="Arial" w:eastAsia="Arial" w:hAnsi="Arial"/>
                <w:sz w:val="15"/>
                <w:szCs w:val="15"/>
                <w:b w:val="1"/>
                <w:bCs w:val="1"/>
                <w:color w:val="auto"/>
              </w:rPr>
              <w:t>3,411.0</w:t>
            </w:r>
          </w:p>
        </w:tc>
        <w:tc>
          <w:tcPr>
            <w:tcW w:w="40" w:type="dxa"/>
            <w:vAlign w:val="bottom"/>
            <w:tcBorders>
              <w:top w:val="single" w:sz="8" w:color="CCCCD3"/>
              <w:bottom w:val="single" w:sz="8" w:color="CCCCD3"/>
            </w:tcBorders>
            <w:shd w:val="clear" w:color="auto" w:fill="F4EFF6"/>
          </w:tcPr>
          <w:p>
            <w:pPr>
              <w:spacing w:after="0"/>
              <w:rPr>
                <w:sz w:val="20"/>
                <w:szCs w:val="20"/>
                <w:color w:val="auto"/>
              </w:rPr>
            </w:pPr>
          </w:p>
        </w:tc>
        <w:tc>
          <w:tcPr>
            <w:tcW w:w="1740" w:type="dxa"/>
            <w:vAlign w:val="bottom"/>
            <w:tcBorders>
              <w:top w:val="single" w:sz="8" w:color="CCCCD3"/>
              <w:bottom w:val="single" w:sz="8" w:color="CCCCD3"/>
            </w:tcBorders>
            <w:gridSpan w:val="2"/>
            <w:shd w:val="clear" w:color="auto" w:fill="F4EFF6"/>
          </w:tcPr>
          <w:p>
            <w:pPr>
              <w:jc w:val="right"/>
              <w:spacing w:after="0"/>
              <w:rPr>
                <w:sz w:val="20"/>
                <w:szCs w:val="20"/>
                <w:color w:val="auto"/>
              </w:rPr>
            </w:pPr>
            <w:r>
              <w:rPr>
                <w:rFonts w:ascii="Arial" w:cs="Arial" w:eastAsia="Arial" w:hAnsi="Arial"/>
                <w:sz w:val="15"/>
                <w:szCs w:val="15"/>
                <w:b w:val="1"/>
                <w:bCs w:val="1"/>
                <w:color w:val="auto"/>
              </w:rPr>
              <w:t>3,428.0</w:t>
            </w:r>
          </w:p>
        </w:tc>
        <w:tc>
          <w:tcPr>
            <w:tcW w:w="0" w:type="dxa"/>
            <w:vAlign w:val="bottom"/>
          </w:tcPr>
          <w:p>
            <w:pPr>
              <w:spacing w:after="0"/>
              <w:rPr>
                <w:sz w:val="1"/>
                <w:szCs w:val="1"/>
                <w:color w:val="auto"/>
              </w:rPr>
            </w:pPr>
          </w:p>
        </w:tc>
      </w:tr>
      <w:tr>
        <w:trPr>
          <w:trHeight w:val="236"/>
        </w:trPr>
        <w:tc>
          <w:tcPr>
            <w:tcW w:w="4380" w:type="dxa"/>
            <w:vAlign w:val="bottom"/>
          </w:tcPr>
          <w:p>
            <w:pPr>
              <w:ind w:left="20"/>
              <w:spacing w:after="0"/>
              <w:rPr>
                <w:sz w:val="20"/>
                <w:szCs w:val="20"/>
                <w:color w:val="auto"/>
              </w:rPr>
            </w:pPr>
            <w:r>
              <w:rPr>
                <w:rFonts w:ascii="Arial" w:cs="Arial" w:eastAsia="Arial" w:hAnsi="Arial"/>
                <w:sz w:val="15"/>
                <w:szCs w:val="15"/>
                <w:color w:val="auto"/>
              </w:rPr>
              <w:t>Fixed income securities</w:t>
            </w:r>
          </w:p>
        </w:tc>
        <w:tc>
          <w:tcPr>
            <w:tcW w:w="156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104.9</w:t>
            </w:r>
          </w:p>
        </w:tc>
        <w:tc>
          <w:tcPr>
            <w:tcW w:w="40" w:type="dxa"/>
            <w:vAlign w:val="bottom"/>
            <w:tcBorders>
              <w:bottom w:val="single" w:sz="8" w:color="F4EFF6"/>
            </w:tcBorders>
            <w:shd w:val="clear" w:color="auto" w:fill="F4EFF6"/>
          </w:tcPr>
          <w:p>
            <w:pPr>
              <w:spacing w:after="0"/>
              <w:rPr>
                <w:sz w:val="20"/>
                <w:szCs w:val="20"/>
                <w:color w:val="auto"/>
              </w:rPr>
            </w:pPr>
          </w:p>
        </w:tc>
        <w:tc>
          <w:tcPr>
            <w:tcW w:w="140" w:type="dxa"/>
            <w:vAlign w:val="bottom"/>
            <w:tcBorders>
              <w:bottom w:val="single" w:sz="8" w:color="F4EFF6"/>
            </w:tcBorders>
            <w:shd w:val="clear" w:color="auto" w:fill="F4EFF6"/>
          </w:tcPr>
          <w:p>
            <w:pPr>
              <w:spacing w:after="0"/>
              <w:rPr>
                <w:sz w:val="20"/>
                <w:szCs w:val="20"/>
                <w:color w:val="auto"/>
              </w:rPr>
            </w:pPr>
          </w:p>
        </w:tc>
        <w:tc>
          <w:tcPr>
            <w:tcW w:w="156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bottom w:val="single" w:sz="8" w:color="F4EFF6"/>
            </w:tcBorders>
            <w:shd w:val="clear" w:color="auto" w:fill="F4EFF6"/>
          </w:tcPr>
          <w:p>
            <w:pPr>
              <w:spacing w:after="0"/>
              <w:rPr>
                <w:sz w:val="20"/>
                <w:szCs w:val="20"/>
                <w:color w:val="auto"/>
              </w:rPr>
            </w:pPr>
          </w:p>
        </w:tc>
        <w:tc>
          <w:tcPr>
            <w:tcW w:w="140" w:type="dxa"/>
            <w:vAlign w:val="bottom"/>
            <w:tcBorders>
              <w:bottom w:val="single" w:sz="8" w:color="F4EFF6"/>
            </w:tcBorders>
            <w:shd w:val="clear" w:color="auto" w:fill="F4EFF6"/>
          </w:tcPr>
          <w:p>
            <w:pPr>
              <w:spacing w:after="0"/>
              <w:rPr>
                <w:sz w:val="20"/>
                <w:szCs w:val="20"/>
                <w:color w:val="auto"/>
              </w:rPr>
            </w:pPr>
          </w:p>
        </w:tc>
        <w:tc>
          <w:tcPr>
            <w:tcW w:w="158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0.5</w:t>
            </w:r>
          </w:p>
        </w:tc>
        <w:tc>
          <w:tcPr>
            <w:tcW w:w="40" w:type="dxa"/>
            <w:vAlign w:val="bottom"/>
            <w:tcBorders>
              <w:bottom w:val="single" w:sz="8" w:color="F4EFF6"/>
            </w:tcBorders>
            <w:shd w:val="clear" w:color="auto" w:fill="F4EFF6"/>
          </w:tcPr>
          <w:p>
            <w:pPr>
              <w:spacing w:after="0"/>
              <w:rPr>
                <w:sz w:val="20"/>
                <w:szCs w:val="20"/>
                <w:color w:val="auto"/>
              </w:rPr>
            </w:pPr>
          </w:p>
        </w:tc>
        <w:tc>
          <w:tcPr>
            <w:tcW w:w="1740" w:type="dxa"/>
            <w:vAlign w:val="bottom"/>
            <w:tcBorders>
              <w:bottom w:val="single" w:sz="8" w:color="F4EFF6"/>
            </w:tcBorders>
            <w:gridSpan w:val="2"/>
            <w:shd w:val="clear" w:color="auto" w:fill="F4EFF6"/>
          </w:tcPr>
          <w:p>
            <w:pPr>
              <w:jc w:val="right"/>
              <w:spacing w:after="0"/>
              <w:rPr>
                <w:sz w:val="20"/>
                <w:szCs w:val="20"/>
                <w:color w:val="auto"/>
              </w:rPr>
            </w:pPr>
            <w:r>
              <w:rPr>
                <w:rFonts w:ascii="Arial" w:cs="Arial" w:eastAsia="Arial" w:hAnsi="Arial"/>
                <w:sz w:val="15"/>
                <w:szCs w:val="15"/>
                <w:b w:val="1"/>
                <w:bCs w:val="1"/>
                <w:color w:val="auto"/>
              </w:rPr>
              <w:t>105.4</w:t>
            </w:r>
          </w:p>
        </w:tc>
        <w:tc>
          <w:tcPr>
            <w:tcW w:w="0" w:type="dxa"/>
            <w:vAlign w:val="bottom"/>
          </w:tcPr>
          <w:p>
            <w:pPr>
              <w:spacing w:after="0"/>
              <w:rPr>
                <w:sz w:val="1"/>
                <w:szCs w:val="1"/>
                <w:color w:val="auto"/>
              </w:rPr>
            </w:pPr>
          </w:p>
        </w:tc>
      </w:tr>
      <w:tr>
        <w:trPr>
          <w:trHeight w:val="237"/>
        </w:trPr>
        <w:tc>
          <w:tcPr>
            <w:tcW w:w="4380" w:type="dxa"/>
            <w:vAlign w:val="bottom"/>
            <w:tcBorders>
              <w:top w:val="single" w:sz="8" w:color="CCCCD3"/>
            </w:tcBorders>
          </w:tcPr>
          <w:p>
            <w:pPr>
              <w:ind w:left="20"/>
              <w:spacing w:after="0"/>
              <w:rPr>
                <w:sz w:val="20"/>
                <w:szCs w:val="20"/>
                <w:color w:val="auto"/>
              </w:rPr>
            </w:pPr>
            <w:r>
              <w:rPr>
                <w:rFonts w:ascii="Arial" w:cs="Arial" w:eastAsia="Arial" w:hAnsi="Arial"/>
                <w:sz w:val="15"/>
                <w:szCs w:val="15"/>
                <w:color w:val="auto"/>
              </w:rPr>
              <w:t>Equity instruments</w:t>
            </w:r>
          </w:p>
        </w:tc>
        <w:tc>
          <w:tcPr>
            <w:tcW w:w="1560" w:type="dxa"/>
            <w:vAlign w:val="bottom"/>
            <w:tcBorders>
              <w:top w:val="single" w:sz="8" w:color="CCCCD3"/>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6,038.4</w:t>
            </w:r>
          </w:p>
        </w:tc>
        <w:tc>
          <w:tcPr>
            <w:tcW w:w="40" w:type="dxa"/>
            <w:vAlign w:val="bottom"/>
            <w:tcBorders>
              <w:top w:val="single" w:sz="8" w:color="CCCCD3"/>
              <w:bottom w:val="single" w:sz="8" w:color="F4EFF6"/>
            </w:tcBorders>
            <w:shd w:val="clear" w:color="auto" w:fill="F4EFF6"/>
          </w:tcPr>
          <w:p>
            <w:pPr>
              <w:spacing w:after="0"/>
              <w:rPr>
                <w:sz w:val="20"/>
                <w:szCs w:val="20"/>
                <w:color w:val="auto"/>
              </w:rPr>
            </w:pPr>
          </w:p>
        </w:tc>
        <w:tc>
          <w:tcPr>
            <w:tcW w:w="140" w:type="dxa"/>
            <w:vAlign w:val="bottom"/>
            <w:tcBorders>
              <w:top w:val="single" w:sz="8" w:color="CCCCD3"/>
              <w:bottom w:val="single" w:sz="8" w:color="F4EFF6"/>
            </w:tcBorders>
            <w:shd w:val="clear" w:color="auto" w:fill="F4EFF6"/>
          </w:tcPr>
          <w:p>
            <w:pPr>
              <w:spacing w:after="0"/>
              <w:rPr>
                <w:sz w:val="20"/>
                <w:szCs w:val="20"/>
                <w:color w:val="auto"/>
              </w:rPr>
            </w:pPr>
          </w:p>
        </w:tc>
        <w:tc>
          <w:tcPr>
            <w:tcW w:w="1560" w:type="dxa"/>
            <w:vAlign w:val="bottom"/>
            <w:tcBorders>
              <w:top w:val="single" w:sz="8" w:color="CCCCD3"/>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CCCCD3"/>
              <w:bottom w:val="single" w:sz="8" w:color="F4EFF6"/>
            </w:tcBorders>
            <w:shd w:val="clear" w:color="auto" w:fill="F4EFF6"/>
          </w:tcPr>
          <w:p>
            <w:pPr>
              <w:spacing w:after="0"/>
              <w:rPr>
                <w:sz w:val="20"/>
                <w:szCs w:val="20"/>
                <w:color w:val="auto"/>
              </w:rPr>
            </w:pPr>
          </w:p>
        </w:tc>
        <w:tc>
          <w:tcPr>
            <w:tcW w:w="140" w:type="dxa"/>
            <w:vAlign w:val="bottom"/>
            <w:tcBorders>
              <w:top w:val="single" w:sz="8" w:color="CCCCD3"/>
              <w:bottom w:val="single" w:sz="8" w:color="F4EFF6"/>
            </w:tcBorders>
            <w:shd w:val="clear" w:color="auto" w:fill="F4EFF6"/>
          </w:tcPr>
          <w:p>
            <w:pPr>
              <w:spacing w:after="0"/>
              <w:rPr>
                <w:sz w:val="20"/>
                <w:szCs w:val="20"/>
                <w:color w:val="auto"/>
              </w:rPr>
            </w:pPr>
          </w:p>
        </w:tc>
        <w:tc>
          <w:tcPr>
            <w:tcW w:w="1580" w:type="dxa"/>
            <w:vAlign w:val="bottom"/>
            <w:tcBorders>
              <w:top w:val="single" w:sz="8" w:color="CCCCD3"/>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CCCCD3"/>
              <w:bottom w:val="single" w:sz="8" w:color="F4EFF6"/>
            </w:tcBorders>
            <w:shd w:val="clear" w:color="auto" w:fill="F4EFF6"/>
          </w:tcPr>
          <w:p>
            <w:pPr>
              <w:spacing w:after="0"/>
              <w:rPr>
                <w:sz w:val="20"/>
                <w:szCs w:val="20"/>
                <w:color w:val="auto"/>
              </w:rPr>
            </w:pPr>
          </w:p>
        </w:tc>
        <w:tc>
          <w:tcPr>
            <w:tcW w:w="1740" w:type="dxa"/>
            <w:vAlign w:val="bottom"/>
            <w:tcBorders>
              <w:top w:val="single" w:sz="8" w:color="CCCCD3"/>
              <w:bottom w:val="single" w:sz="8" w:color="F4EFF6"/>
            </w:tcBorders>
            <w:gridSpan w:val="2"/>
            <w:shd w:val="clear" w:color="auto" w:fill="F4EFF6"/>
          </w:tcPr>
          <w:p>
            <w:pPr>
              <w:jc w:val="right"/>
              <w:spacing w:after="0"/>
              <w:rPr>
                <w:sz w:val="20"/>
                <w:szCs w:val="20"/>
                <w:color w:val="auto"/>
              </w:rPr>
            </w:pPr>
            <w:r>
              <w:rPr>
                <w:rFonts w:ascii="Arial" w:cs="Arial" w:eastAsia="Arial" w:hAnsi="Arial"/>
                <w:sz w:val="15"/>
                <w:szCs w:val="15"/>
                <w:b w:val="1"/>
                <w:bCs w:val="1"/>
                <w:color w:val="auto"/>
              </w:rPr>
              <w:t>6,038.4</w:t>
            </w:r>
          </w:p>
        </w:tc>
        <w:tc>
          <w:tcPr>
            <w:tcW w:w="0" w:type="dxa"/>
            <w:vAlign w:val="bottom"/>
          </w:tcPr>
          <w:p>
            <w:pPr>
              <w:spacing w:after="0"/>
              <w:rPr>
                <w:sz w:val="1"/>
                <w:szCs w:val="1"/>
                <w:color w:val="auto"/>
              </w:rPr>
            </w:pPr>
          </w:p>
        </w:tc>
      </w:tr>
      <w:tr>
        <w:trPr>
          <w:trHeight w:val="237"/>
        </w:trPr>
        <w:tc>
          <w:tcPr>
            <w:tcW w:w="4380" w:type="dxa"/>
            <w:vAlign w:val="bottom"/>
            <w:tcBorders>
              <w:top w:val="single" w:sz="8" w:color="CCCCD3"/>
            </w:tcBorders>
          </w:tcPr>
          <w:p>
            <w:pPr>
              <w:ind w:left="20"/>
              <w:spacing w:after="0"/>
              <w:rPr>
                <w:sz w:val="20"/>
                <w:szCs w:val="20"/>
                <w:color w:val="auto"/>
              </w:rPr>
            </w:pPr>
            <w:r>
              <w:rPr>
                <w:rFonts w:ascii="Arial" w:cs="Arial" w:eastAsia="Arial" w:hAnsi="Arial"/>
                <w:sz w:val="15"/>
                <w:szCs w:val="15"/>
                <w:color w:val="auto"/>
              </w:rPr>
              <w:t>Derivative instruments</w:t>
            </w:r>
          </w:p>
        </w:tc>
        <w:tc>
          <w:tcPr>
            <w:tcW w:w="1560" w:type="dxa"/>
            <w:vAlign w:val="bottom"/>
            <w:tcBorders>
              <w:top w:val="single" w:sz="8" w:color="CCCCD3"/>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1,453.9</w:t>
            </w:r>
          </w:p>
        </w:tc>
        <w:tc>
          <w:tcPr>
            <w:tcW w:w="40" w:type="dxa"/>
            <w:vAlign w:val="bottom"/>
            <w:tcBorders>
              <w:top w:val="single" w:sz="8" w:color="CCCCD3"/>
              <w:bottom w:val="single" w:sz="8" w:color="F4EFF6"/>
            </w:tcBorders>
            <w:shd w:val="clear" w:color="auto" w:fill="F4EFF6"/>
          </w:tcPr>
          <w:p>
            <w:pPr>
              <w:spacing w:after="0"/>
              <w:rPr>
                <w:sz w:val="20"/>
                <w:szCs w:val="20"/>
                <w:color w:val="auto"/>
              </w:rPr>
            </w:pPr>
          </w:p>
        </w:tc>
        <w:tc>
          <w:tcPr>
            <w:tcW w:w="140" w:type="dxa"/>
            <w:vAlign w:val="bottom"/>
            <w:tcBorders>
              <w:top w:val="single" w:sz="8" w:color="CCCCD3"/>
              <w:bottom w:val="single" w:sz="8" w:color="F4EFF6"/>
            </w:tcBorders>
            <w:shd w:val="clear" w:color="auto" w:fill="F4EFF6"/>
          </w:tcPr>
          <w:p>
            <w:pPr>
              <w:spacing w:after="0"/>
              <w:rPr>
                <w:sz w:val="20"/>
                <w:szCs w:val="20"/>
                <w:color w:val="auto"/>
              </w:rPr>
            </w:pPr>
          </w:p>
        </w:tc>
        <w:tc>
          <w:tcPr>
            <w:tcW w:w="1560" w:type="dxa"/>
            <w:vAlign w:val="bottom"/>
            <w:tcBorders>
              <w:top w:val="single" w:sz="8" w:color="CCCCD3"/>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17.8</w:t>
            </w:r>
          </w:p>
        </w:tc>
        <w:tc>
          <w:tcPr>
            <w:tcW w:w="40" w:type="dxa"/>
            <w:vAlign w:val="bottom"/>
            <w:tcBorders>
              <w:top w:val="single" w:sz="8" w:color="CCCCD3"/>
              <w:bottom w:val="single" w:sz="8" w:color="F4EFF6"/>
            </w:tcBorders>
            <w:shd w:val="clear" w:color="auto" w:fill="F4EFF6"/>
          </w:tcPr>
          <w:p>
            <w:pPr>
              <w:spacing w:after="0"/>
              <w:rPr>
                <w:sz w:val="20"/>
                <w:szCs w:val="20"/>
                <w:color w:val="auto"/>
              </w:rPr>
            </w:pPr>
          </w:p>
        </w:tc>
        <w:tc>
          <w:tcPr>
            <w:tcW w:w="140" w:type="dxa"/>
            <w:vAlign w:val="bottom"/>
            <w:tcBorders>
              <w:top w:val="single" w:sz="8" w:color="CCCCD3"/>
              <w:bottom w:val="single" w:sz="8" w:color="F4EFF6"/>
            </w:tcBorders>
            <w:shd w:val="clear" w:color="auto" w:fill="F4EFF6"/>
          </w:tcPr>
          <w:p>
            <w:pPr>
              <w:spacing w:after="0"/>
              <w:rPr>
                <w:sz w:val="20"/>
                <w:szCs w:val="20"/>
                <w:color w:val="auto"/>
              </w:rPr>
            </w:pPr>
          </w:p>
        </w:tc>
        <w:tc>
          <w:tcPr>
            <w:tcW w:w="1580" w:type="dxa"/>
            <w:vAlign w:val="bottom"/>
            <w:tcBorders>
              <w:top w:val="single" w:sz="8" w:color="CCCCD3"/>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CCCCD3"/>
              <w:bottom w:val="single" w:sz="8" w:color="F4EFF6"/>
            </w:tcBorders>
            <w:shd w:val="clear" w:color="auto" w:fill="F4EFF6"/>
          </w:tcPr>
          <w:p>
            <w:pPr>
              <w:spacing w:after="0"/>
              <w:rPr>
                <w:sz w:val="20"/>
                <w:szCs w:val="20"/>
                <w:color w:val="auto"/>
              </w:rPr>
            </w:pPr>
          </w:p>
        </w:tc>
        <w:tc>
          <w:tcPr>
            <w:tcW w:w="1740" w:type="dxa"/>
            <w:vAlign w:val="bottom"/>
            <w:tcBorders>
              <w:top w:val="single" w:sz="8" w:color="CCCCD3"/>
              <w:bottom w:val="single" w:sz="8" w:color="F4EFF6"/>
            </w:tcBorders>
            <w:gridSpan w:val="2"/>
            <w:shd w:val="clear" w:color="auto" w:fill="F4EFF6"/>
          </w:tcPr>
          <w:p>
            <w:pPr>
              <w:jc w:val="right"/>
              <w:spacing w:after="0"/>
              <w:rPr>
                <w:sz w:val="20"/>
                <w:szCs w:val="20"/>
                <w:color w:val="auto"/>
              </w:rPr>
            </w:pPr>
            <w:r>
              <w:rPr>
                <w:rFonts w:ascii="Arial" w:cs="Arial" w:eastAsia="Arial" w:hAnsi="Arial"/>
                <w:sz w:val="15"/>
                <w:szCs w:val="15"/>
                <w:b w:val="1"/>
                <w:bCs w:val="1"/>
                <w:color w:val="auto"/>
              </w:rPr>
              <w:t>1,471.7</w:t>
            </w:r>
          </w:p>
        </w:tc>
        <w:tc>
          <w:tcPr>
            <w:tcW w:w="0" w:type="dxa"/>
            <w:vAlign w:val="bottom"/>
          </w:tcPr>
          <w:p>
            <w:pPr>
              <w:spacing w:after="0"/>
              <w:rPr>
                <w:sz w:val="1"/>
                <w:szCs w:val="1"/>
                <w:color w:val="auto"/>
              </w:rPr>
            </w:pPr>
          </w:p>
        </w:tc>
      </w:tr>
      <w:tr>
        <w:trPr>
          <w:trHeight w:val="237"/>
        </w:trPr>
        <w:tc>
          <w:tcPr>
            <w:tcW w:w="4380" w:type="dxa"/>
            <w:vAlign w:val="bottom"/>
            <w:tcBorders>
              <w:top w:val="single" w:sz="8" w:color="CCCCD3"/>
            </w:tcBorders>
          </w:tcPr>
          <w:p>
            <w:pPr>
              <w:ind w:left="20"/>
              <w:spacing w:after="0"/>
              <w:rPr>
                <w:sz w:val="20"/>
                <w:szCs w:val="20"/>
                <w:color w:val="auto"/>
              </w:rPr>
            </w:pPr>
            <w:r>
              <w:rPr>
                <w:rFonts w:ascii="Arial" w:cs="Arial" w:eastAsia="Arial" w:hAnsi="Arial"/>
                <w:sz w:val="15"/>
                <w:szCs w:val="15"/>
                <w:color w:val="auto"/>
              </w:rPr>
              <w:t>Stock borrowing</w:t>
            </w:r>
          </w:p>
        </w:tc>
        <w:tc>
          <w:tcPr>
            <w:tcW w:w="1560" w:type="dxa"/>
            <w:vAlign w:val="bottom"/>
            <w:tcBorders>
              <w:top w:val="single" w:sz="8" w:color="CCCCD3"/>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2,495.1</w:t>
            </w:r>
          </w:p>
        </w:tc>
        <w:tc>
          <w:tcPr>
            <w:tcW w:w="40" w:type="dxa"/>
            <w:vAlign w:val="bottom"/>
            <w:tcBorders>
              <w:top w:val="single" w:sz="8" w:color="CCCCD3"/>
              <w:bottom w:val="single" w:sz="8" w:color="F4EFF6"/>
            </w:tcBorders>
            <w:shd w:val="clear" w:color="auto" w:fill="F4EFF6"/>
          </w:tcPr>
          <w:p>
            <w:pPr>
              <w:spacing w:after="0"/>
              <w:rPr>
                <w:sz w:val="20"/>
                <w:szCs w:val="20"/>
                <w:color w:val="auto"/>
              </w:rPr>
            </w:pPr>
          </w:p>
        </w:tc>
        <w:tc>
          <w:tcPr>
            <w:tcW w:w="140" w:type="dxa"/>
            <w:vAlign w:val="bottom"/>
            <w:tcBorders>
              <w:top w:val="single" w:sz="8" w:color="CCCCD3"/>
              <w:bottom w:val="single" w:sz="8" w:color="F4EFF6"/>
            </w:tcBorders>
            <w:shd w:val="clear" w:color="auto" w:fill="F4EFF6"/>
          </w:tcPr>
          <w:p>
            <w:pPr>
              <w:spacing w:after="0"/>
              <w:rPr>
                <w:sz w:val="20"/>
                <w:szCs w:val="20"/>
                <w:color w:val="auto"/>
              </w:rPr>
            </w:pPr>
          </w:p>
        </w:tc>
        <w:tc>
          <w:tcPr>
            <w:tcW w:w="1560" w:type="dxa"/>
            <w:vAlign w:val="bottom"/>
            <w:tcBorders>
              <w:top w:val="single" w:sz="8" w:color="CCCCD3"/>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CCCCD3"/>
              <w:bottom w:val="single" w:sz="8" w:color="F4EFF6"/>
            </w:tcBorders>
            <w:shd w:val="clear" w:color="auto" w:fill="F4EFF6"/>
          </w:tcPr>
          <w:p>
            <w:pPr>
              <w:spacing w:after="0"/>
              <w:rPr>
                <w:sz w:val="20"/>
                <w:szCs w:val="20"/>
                <w:color w:val="auto"/>
              </w:rPr>
            </w:pPr>
          </w:p>
        </w:tc>
        <w:tc>
          <w:tcPr>
            <w:tcW w:w="140" w:type="dxa"/>
            <w:vAlign w:val="bottom"/>
            <w:tcBorders>
              <w:top w:val="single" w:sz="8" w:color="CCCCD3"/>
              <w:bottom w:val="single" w:sz="8" w:color="F4EFF6"/>
            </w:tcBorders>
            <w:shd w:val="clear" w:color="auto" w:fill="F4EFF6"/>
          </w:tcPr>
          <w:p>
            <w:pPr>
              <w:spacing w:after="0"/>
              <w:rPr>
                <w:sz w:val="20"/>
                <w:szCs w:val="20"/>
                <w:color w:val="auto"/>
              </w:rPr>
            </w:pPr>
          </w:p>
        </w:tc>
        <w:tc>
          <w:tcPr>
            <w:tcW w:w="1580" w:type="dxa"/>
            <w:vAlign w:val="bottom"/>
            <w:tcBorders>
              <w:top w:val="single" w:sz="8" w:color="CCCCD3"/>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CCCCD3"/>
              <w:bottom w:val="single" w:sz="8" w:color="F4EFF6"/>
            </w:tcBorders>
            <w:shd w:val="clear" w:color="auto" w:fill="F4EFF6"/>
          </w:tcPr>
          <w:p>
            <w:pPr>
              <w:spacing w:after="0"/>
              <w:rPr>
                <w:sz w:val="20"/>
                <w:szCs w:val="20"/>
                <w:color w:val="auto"/>
              </w:rPr>
            </w:pPr>
          </w:p>
        </w:tc>
        <w:tc>
          <w:tcPr>
            <w:tcW w:w="140" w:type="dxa"/>
            <w:vAlign w:val="bottom"/>
            <w:tcBorders>
              <w:top w:val="single" w:sz="8" w:color="CCCCD3"/>
              <w:bottom w:val="single" w:sz="8" w:color="F4EFF6"/>
            </w:tcBorders>
            <w:shd w:val="clear" w:color="auto" w:fill="F4EFF6"/>
          </w:tcPr>
          <w:p>
            <w:pPr>
              <w:spacing w:after="0"/>
              <w:rPr>
                <w:sz w:val="20"/>
                <w:szCs w:val="20"/>
                <w:color w:val="auto"/>
              </w:rPr>
            </w:pPr>
          </w:p>
        </w:tc>
        <w:tc>
          <w:tcPr>
            <w:tcW w:w="1600" w:type="dxa"/>
            <w:vAlign w:val="bottom"/>
            <w:tcBorders>
              <w:top w:val="single" w:sz="8" w:color="CCCCD3"/>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2,495.1</w:t>
            </w:r>
          </w:p>
        </w:tc>
        <w:tc>
          <w:tcPr>
            <w:tcW w:w="0" w:type="dxa"/>
            <w:vAlign w:val="bottom"/>
          </w:tcPr>
          <w:p>
            <w:pPr>
              <w:spacing w:after="0"/>
              <w:rPr>
                <w:sz w:val="1"/>
                <w:szCs w:val="1"/>
                <w:color w:val="auto"/>
              </w:rPr>
            </w:pPr>
          </w:p>
        </w:tc>
      </w:tr>
      <w:tr>
        <w:trPr>
          <w:trHeight w:val="236"/>
        </w:trPr>
        <w:tc>
          <w:tcPr>
            <w:tcW w:w="4380" w:type="dxa"/>
            <w:vAlign w:val="bottom"/>
            <w:tcBorders>
              <w:top w:val="single" w:sz="8" w:color="CCCCD3"/>
            </w:tcBorders>
          </w:tcPr>
          <w:p>
            <w:pPr>
              <w:ind w:left="20"/>
              <w:spacing w:after="0"/>
              <w:rPr>
                <w:sz w:val="20"/>
                <w:szCs w:val="20"/>
                <w:color w:val="auto"/>
              </w:rPr>
            </w:pPr>
            <w:r>
              <w:rPr>
                <w:rFonts w:ascii="Arial" w:cs="Arial" w:eastAsia="Arial" w:hAnsi="Arial"/>
                <w:sz w:val="15"/>
                <w:szCs w:val="15"/>
                <w:color w:val="auto"/>
              </w:rPr>
              <w:t>Reverse repurchase agreements</w:t>
            </w:r>
          </w:p>
        </w:tc>
        <w:tc>
          <w:tcPr>
            <w:tcW w:w="1560" w:type="dxa"/>
            <w:vAlign w:val="bottom"/>
            <w:tcBorders>
              <w:top w:val="single" w:sz="8" w:color="CCCCD3"/>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2,607.2</w:t>
            </w:r>
          </w:p>
        </w:tc>
        <w:tc>
          <w:tcPr>
            <w:tcW w:w="40" w:type="dxa"/>
            <w:vAlign w:val="bottom"/>
            <w:tcBorders>
              <w:top w:val="single" w:sz="8" w:color="CCCCD3"/>
              <w:bottom w:val="single" w:sz="8" w:color="F4EFF6"/>
            </w:tcBorders>
            <w:shd w:val="clear" w:color="auto" w:fill="F4EFF6"/>
          </w:tcPr>
          <w:p>
            <w:pPr>
              <w:spacing w:after="0"/>
              <w:rPr>
                <w:sz w:val="20"/>
                <w:szCs w:val="20"/>
                <w:color w:val="auto"/>
              </w:rPr>
            </w:pPr>
          </w:p>
        </w:tc>
        <w:tc>
          <w:tcPr>
            <w:tcW w:w="140" w:type="dxa"/>
            <w:vAlign w:val="bottom"/>
            <w:tcBorders>
              <w:top w:val="single" w:sz="8" w:color="CCCCD3"/>
              <w:bottom w:val="single" w:sz="8" w:color="F4EFF6"/>
            </w:tcBorders>
            <w:shd w:val="clear" w:color="auto" w:fill="F4EFF6"/>
          </w:tcPr>
          <w:p>
            <w:pPr>
              <w:spacing w:after="0"/>
              <w:rPr>
                <w:sz w:val="20"/>
                <w:szCs w:val="20"/>
                <w:color w:val="auto"/>
              </w:rPr>
            </w:pPr>
          </w:p>
        </w:tc>
        <w:tc>
          <w:tcPr>
            <w:tcW w:w="1560" w:type="dxa"/>
            <w:vAlign w:val="bottom"/>
            <w:tcBorders>
              <w:top w:val="single" w:sz="8" w:color="CCCCD3"/>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CCCCD3"/>
              <w:bottom w:val="single" w:sz="8" w:color="F4EFF6"/>
            </w:tcBorders>
            <w:shd w:val="clear" w:color="auto" w:fill="F4EFF6"/>
          </w:tcPr>
          <w:p>
            <w:pPr>
              <w:spacing w:after="0"/>
              <w:rPr>
                <w:sz w:val="20"/>
                <w:szCs w:val="20"/>
                <w:color w:val="auto"/>
              </w:rPr>
            </w:pPr>
          </w:p>
        </w:tc>
        <w:tc>
          <w:tcPr>
            <w:tcW w:w="140" w:type="dxa"/>
            <w:vAlign w:val="bottom"/>
            <w:tcBorders>
              <w:top w:val="single" w:sz="8" w:color="CCCCD3"/>
              <w:bottom w:val="single" w:sz="8" w:color="F4EFF6"/>
            </w:tcBorders>
            <w:shd w:val="clear" w:color="auto" w:fill="F4EFF6"/>
          </w:tcPr>
          <w:p>
            <w:pPr>
              <w:spacing w:after="0"/>
              <w:rPr>
                <w:sz w:val="20"/>
                <w:szCs w:val="20"/>
                <w:color w:val="auto"/>
              </w:rPr>
            </w:pPr>
          </w:p>
        </w:tc>
        <w:tc>
          <w:tcPr>
            <w:tcW w:w="1580" w:type="dxa"/>
            <w:vAlign w:val="bottom"/>
            <w:tcBorders>
              <w:top w:val="single" w:sz="8" w:color="CCCCD3"/>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CCCCD3"/>
              <w:bottom w:val="single" w:sz="8" w:color="F4EFF6"/>
            </w:tcBorders>
            <w:shd w:val="clear" w:color="auto" w:fill="F4EFF6"/>
          </w:tcPr>
          <w:p>
            <w:pPr>
              <w:spacing w:after="0"/>
              <w:rPr>
                <w:sz w:val="20"/>
                <w:szCs w:val="20"/>
                <w:color w:val="auto"/>
              </w:rPr>
            </w:pPr>
          </w:p>
        </w:tc>
        <w:tc>
          <w:tcPr>
            <w:tcW w:w="140" w:type="dxa"/>
            <w:vAlign w:val="bottom"/>
            <w:tcBorders>
              <w:top w:val="single" w:sz="8" w:color="CCCCD3"/>
              <w:bottom w:val="single" w:sz="8" w:color="F4EFF6"/>
            </w:tcBorders>
            <w:shd w:val="clear" w:color="auto" w:fill="F4EFF6"/>
          </w:tcPr>
          <w:p>
            <w:pPr>
              <w:spacing w:after="0"/>
              <w:rPr>
                <w:sz w:val="20"/>
                <w:szCs w:val="20"/>
                <w:color w:val="auto"/>
              </w:rPr>
            </w:pPr>
          </w:p>
        </w:tc>
        <w:tc>
          <w:tcPr>
            <w:tcW w:w="1600" w:type="dxa"/>
            <w:vAlign w:val="bottom"/>
            <w:tcBorders>
              <w:top w:val="single" w:sz="8" w:color="CCCCD3"/>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2,607.2</w:t>
            </w:r>
          </w:p>
        </w:tc>
        <w:tc>
          <w:tcPr>
            <w:tcW w:w="0" w:type="dxa"/>
            <w:vAlign w:val="bottom"/>
          </w:tcPr>
          <w:p>
            <w:pPr>
              <w:spacing w:after="0"/>
              <w:rPr>
                <w:sz w:val="1"/>
                <w:szCs w:val="1"/>
                <w:color w:val="auto"/>
              </w:rPr>
            </w:pPr>
          </w:p>
        </w:tc>
      </w:tr>
      <w:tr>
        <w:trPr>
          <w:trHeight w:val="192"/>
        </w:trPr>
        <w:tc>
          <w:tcPr>
            <w:tcW w:w="4380" w:type="dxa"/>
            <w:vAlign w:val="bottom"/>
            <w:tcBorders>
              <w:top w:val="single" w:sz="8" w:color="CCCCD3"/>
            </w:tcBorders>
          </w:tcPr>
          <w:p>
            <w:pPr>
              <w:ind w:left="20"/>
              <w:spacing w:after="0"/>
              <w:rPr>
                <w:sz w:val="20"/>
                <w:szCs w:val="20"/>
                <w:color w:val="auto"/>
              </w:rPr>
            </w:pPr>
            <w:r>
              <w:rPr>
                <w:rFonts w:ascii="Arial" w:cs="Arial" w:eastAsia="Arial" w:hAnsi="Arial"/>
                <w:sz w:val="15"/>
                <w:szCs w:val="15"/>
                <w:color w:val="auto"/>
              </w:rPr>
              <w:t>Amounts due from exchanges, clearing houses and other</w:t>
            </w:r>
          </w:p>
        </w:tc>
        <w:tc>
          <w:tcPr>
            <w:tcW w:w="1560" w:type="dxa"/>
            <w:vAlign w:val="bottom"/>
            <w:tcBorders>
              <w:top w:val="single" w:sz="8" w:color="CCCCD3"/>
            </w:tcBorders>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CCCCD3"/>
            </w:tcBorders>
            <w:shd w:val="clear" w:color="auto" w:fill="F4EFF6"/>
          </w:tcPr>
          <w:p>
            <w:pPr>
              <w:spacing w:after="0"/>
              <w:rPr>
                <w:sz w:val="16"/>
                <w:szCs w:val="16"/>
                <w:color w:val="auto"/>
              </w:rPr>
            </w:pPr>
          </w:p>
        </w:tc>
        <w:tc>
          <w:tcPr>
            <w:tcW w:w="140" w:type="dxa"/>
            <w:vAlign w:val="bottom"/>
            <w:tcBorders>
              <w:top w:val="single" w:sz="8" w:color="CCCCD3"/>
            </w:tcBorders>
            <w:shd w:val="clear" w:color="auto" w:fill="F4EFF6"/>
          </w:tcPr>
          <w:p>
            <w:pPr>
              <w:spacing w:after="0"/>
              <w:rPr>
                <w:sz w:val="16"/>
                <w:szCs w:val="16"/>
                <w:color w:val="auto"/>
              </w:rPr>
            </w:pPr>
          </w:p>
        </w:tc>
        <w:tc>
          <w:tcPr>
            <w:tcW w:w="1560" w:type="dxa"/>
            <w:vAlign w:val="bottom"/>
            <w:tcBorders>
              <w:top w:val="single" w:sz="8" w:color="CCCCD3"/>
            </w:tcBorders>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CCCCD3"/>
            </w:tcBorders>
            <w:shd w:val="clear" w:color="auto" w:fill="F4EFF6"/>
          </w:tcPr>
          <w:p>
            <w:pPr>
              <w:spacing w:after="0"/>
              <w:rPr>
                <w:sz w:val="16"/>
                <w:szCs w:val="16"/>
                <w:color w:val="auto"/>
              </w:rPr>
            </w:pPr>
          </w:p>
        </w:tc>
        <w:tc>
          <w:tcPr>
            <w:tcW w:w="140" w:type="dxa"/>
            <w:vAlign w:val="bottom"/>
            <w:tcBorders>
              <w:top w:val="single" w:sz="8" w:color="CCCCD3"/>
            </w:tcBorders>
            <w:shd w:val="clear" w:color="auto" w:fill="F4EFF6"/>
          </w:tcPr>
          <w:p>
            <w:pPr>
              <w:spacing w:after="0"/>
              <w:rPr>
                <w:sz w:val="16"/>
                <w:szCs w:val="16"/>
                <w:color w:val="auto"/>
              </w:rPr>
            </w:pPr>
          </w:p>
        </w:tc>
        <w:tc>
          <w:tcPr>
            <w:tcW w:w="1580" w:type="dxa"/>
            <w:vAlign w:val="bottom"/>
            <w:tcBorders>
              <w:top w:val="single" w:sz="8" w:color="CCCCD3"/>
            </w:tcBorders>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4,925.0</w:t>
            </w:r>
          </w:p>
        </w:tc>
        <w:tc>
          <w:tcPr>
            <w:tcW w:w="40" w:type="dxa"/>
            <w:vAlign w:val="bottom"/>
            <w:tcBorders>
              <w:top w:val="single" w:sz="8" w:color="CCCCD3"/>
            </w:tcBorders>
            <w:shd w:val="clear" w:color="auto" w:fill="F4EFF6"/>
          </w:tcPr>
          <w:p>
            <w:pPr>
              <w:spacing w:after="0"/>
              <w:rPr>
                <w:sz w:val="16"/>
                <w:szCs w:val="16"/>
                <w:color w:val="auto"/>
              </w:rPr>
            </w:pPr>
          </w:p>
        </w:tc>
        <w:tc>
          <w:tcPr>
            <w:tcW w:w="140" w:type="dxa"/>
            <w:vAlign w:val="bottom"/>
            <w:tcBorders>
              <w:top w:val="single" w:sz="8" w:color="CCCCD3"/>
            </w:tcBorders>
            <w:shd w:val="clear" w:color="auto" w:fill="F4EFF6"/>
          </w:tcPr>
          <w:p>
            <w:pPr>
              <w:spacing w:after="0"/>
              <w:rPr>
                <w:sz w:val="16"/>
                <w:szCs w:val="16"/>
                <w:color w:val="auto"/>
              </w:rPr>
            </w:pPr>
          </w:p>
        </w:tc>
        <w:tc>
          <w:tcPr>
            <w:tcW w:w="1600" w:type="dxa"/>
            <w:vAlign w:val="bottom"/>
            <w:tcBorders>
              <w:top w:val="single" w:sz="8" w:color="CCCCD3"/>
            </w:tcBorders>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4,925.0</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counterparties</w:t>
            </w:r>
          </w:p>
        </w:tc>
        <w:tc>
          <w:tcPr>
            <w:tcW w:w="1560" w:type="dxa"/>
            <w:vAlign w:val="bottom"/>
            <w:tcBorders>
              <w:bottom w:val="single" w:sz="8" w:color="CCCCD3"/>
            </w:tcBorders>
            <w:vMerge w:val="continue"/>
            <w:shd w:val="clear" w:color="auto" w:fill="F4EFF6"/>
          </w:tcPr>
          <w:p>
            <w:pPr>
              <w:spacing w:after="0"/>
              <w:rPr>
                <w:sz w:val="18"/>
                <w:szCs w:val="18"/>
                <w:color w:val="auto"/>
              </w:rPr>
            </w:pPr>
          </w:p>
        </w:tc>
        <w:tc>
          <w:tcPr>
            <w:tcW w:w="40" w:type="dxa"/>
            <w:vAlign w:val="bottom"/>
            <w:tcBorders>
              <w:bottom w:val="single" w:sz="8" w:color="CCCCD3"/>
            </w:tcBorders>
            <w:shd w:val="clear" w:color="auto" w:fill="F4EFF6"/>
          </w:tcPr>
          <w:p>
            <w:pPr>
              <w:spacing w:after="0"/>
              <w:rPr>
                <w:sz w:val="18"/>
                <w:szCs w:val="18"/>
                <w:color w:val="auto"/>
              </w:rPr>
            </w:pPr>
          </w:p>
        </w:tc>
        <w:tc>
          <w:tcPr>
            <w:tcW w:w="140" w:type="dxa"/>
            <w:vAlign w:val="bottom"/>
            <w:tcBorders>
              <w:bottom w:val="single" w:sz="8" w:color="CCCCD3"/>
            </w:tcBorders>
            <w:shd w:val="clear" w:color="auto" w:fill="F4EFF6"/>
          </w:tcPr>
          <w:p>
            <w:pPr>
              <w:spacing w:after="0"/>
              <w:rPr>
                <w:sz w:val="18"/>
                <w:szCs w:val="18"/>
                <w:color w:val="auto"/>
              </w:rPr>
            </w:pPr>
          </w:p>
        </w:tc>
        <w:tc>
          <w:tcPr>
            <w:tcW w:w="1560" w:type="dxa"/>
            <w:vAlign w:val="bottom"/>
            <w:tcBorders>
              <w:bottom w:val="single" w:sz="8" w:color="CCCCD3"/>
            </w:tcBorders>
            <w:vMerge w:val="continue"/>
            <w:shd w:val="clear" w:color="auto" w:fill="F4EFF6"/>
          </w:tcPr>
          <w:p>
            <w:pPr>
              <w:spacing w:after="0"/>
              <w:rPr>
                <w:sz w:val="18"/>
                <w:szCs w:val="18"/>
                <w:color w:val="auto"/>
              </w:rPr>
            </w:pPr>
          </w:p>
        </w:tc>
        <w:tc>
          <w:tcPr>
            <w:tcW w:w="40" w:type="dxa"/>
            <w:vAlign w:val="bottom"/>
            <w:tcBorders>
              <w:bottom w:val="single" w:sz="8" w:color="CCCCD3"/>
            </w:tcBorders>
            <w:shd w:val="clear" w:color="auto" w:fill="F4EFF6"/>
          </w:tcPr>
          <w:p>
            <w:pPr>
              <w:spacing w:after="0"/>
              <w:rPr>
                <w:sz w:val="18"/>
                <w:szCs w:val="18"/>
                <w:color w:val="auto"/>
              </w:rPr>
            </w:pPr>
          </w:p>
        </w:tc>
        <w:tc>
          <w:tcPr>
            <w:tcW w:w="140" w:type="dxa"/>
            <w:vAlign w:val="bottom"/>
            <w:tcBorders>
              <w:bottom w:val="single" w:sz="8" w:color="CCCCD3"/>
            </w:tcBorders>
            <w:shd w:val="clear" w:color="auto" w:fill="F4EFF6"/>
          </w:tcPr>
          <w:p>
            <w:pPr>
              <w:spacing w:after="0"/>
              <w:rPr>
                <w:sz w:val="18"/>
                <w:szCs w:val="18"/>
                <w:color w:val="auto"/>
              </w:rPr>
            </w:pPr>
          </w:p>
        </w:tc>
        <w:tc>
          <w:tcPr>
            <w:tcW w:w="1580" w:type="dxa"/>
            <w:vAlign w:val="bottom"/>
            <w:tcBorders>
              <w:bottom w:val="single" w:sz="8" w:color="CCCCD3"/>
            </w:tcBorders>
            <w:vMerge w:val="continue"/>
            <w:shd w:val="clear" w:color="auto" w:fill="F4EFF6"/>
          </w:tcPr>
          <w:p>
            <w:pPr>
              <w:spacing w:after="0"/>
              <w:rPr>
                <w:sz w:val="18"/>
                <w:szCs w:val="18"/>
                <w:color w:val="auto"/>
              </w:rPr>
            </w:pPr>
          </w:p>
        </w:tc>
        <w:tc>
          <w:tcPr>
            <w:tcW w:w="40" w:type="dxa"/>
            <w:vAlign w:val="bottom"/>
            <w:tcBorders>
              <w:bottom w:val="single" w:sz="8" w:color="CCCCD3"/>
            </w:tcBorders>
            <w:shd w:val="clear" w:color="auto" w:fill="F4EFF6"/>
          </w:tcPr>
          <w:p>
            <w:pPr>
              <w:spacing w:after="0"/>
              <w:rPr>
                <w:sz w:val="18"/>
                <w:szCs w:val="18"/>
                <w:color w:val="auto"/>
              </w:rPr>
            </w:pPr>
          </w:p>
        </w:tc>
        <w:tc>
          <w:tcPr>
            <w:tcW w:w="140" w:type="dxa"/>
            <w:vAlign w:val="bottom"/>
            <w:tcBorders>
              <w:bottom w:val="single" w:sz="8" w:color="CCCCD3"/>
            </w:tcBorders>
            <w:shd w:val="clear" w:color="auto" w:fill="F4EFF6"/>
          </w:tcPr>
          <w:p>
            <w:pPr>
              <w:spacing w:after="0"/>
              <w:rPr>
                <w:sz w:val="18"/>
                <w:szCs w:val="18"/>
                <w:color w:val="auto"/>
              </w:rPr>
            </w:pPr>
          </w:p>
        </w:tc>
        <w:tc>
          <w:tcPr>
            <w:tcW w:w="1600" w:type="dxa"/>
            <w:vAlign w:val="bottom"/>
            <w:tcBorders>
              <w:bottom w:val="single" w:sz="8" w:color="CCCCD3"/>
            </w:tcBorders>
            <w:vMerge w:val="continue"/>
            <w:shd w:val="clear" w:color="auto" w:fill="F4EFF6"/>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5"/>
                <w:szCs w:val="15"/>
                <w:color w:val="auto"/>
              </w:rPr>
              <w:t>Amounts due from Prime Brokers</w:t>
            </w:r>
          </w:p>
        </w:tc>
        <w:tc>
          <w:tcPr>
            <w:tcW w:w="156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bottom w:val="single" w:sz="8" w:color="F4EFF6"/>
            </w:tcBorders>
            <w:shd w:val="clear" w:color="auto" w:fill="F4EFF6"/>
          </w:tcPr>
          <w:p>
            <w:pPr>
              <w:spacing w:after="0"/>
              <w:rPr>
                <w:sz w:val="21"/>
                <w:szCs w:val="21"/>
                <w:color w:val="auto"/>
              </w:rPr>
            </w:pPr>
          </w:p>
        </w:tc>
        <w:tc>
          <w:tcPr>
            <w:tcW w:w="140" w:type="dxa"/>
            <w:vAlign w:val="bottom"/>
            <w:tcBorders>
              <w:bottom w:val="single" w:sz="8" w:color="F4EFF6"/>
            </w:tcBorders>
            <w:shd w:val="clear" w:color="auto" w:fill="F4EFF6"/>
          </w:tcPr>
          <w:p>
            <w:pPr>
              <w:spacing w:after="0"/>
              <w:rPr>
                <w:sz w:val="21"/>
                <w:szCs w:val="21"/>
                <w:color w:val="auto"/>
              </w:rPr>
            </w:pPr>
          </w:p>
        </w:tc>
        <w:tc>
          <w:tcPr>
            <w:tcW w:w="156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bottom w:val="single" w:sz="8" w:color="F4EFF6"/>
            </w:tcBorders>
            <w:shd w:val="clear" w:color="auto" w:fill="F4EFF6"/>
          </w:tcPr>
          <w:p>
            <w:pPr>
              <w:spacing w:after="0"/>
              <w:rPr>
                <w:sz w:val="21"/>
                <w:szCs w:val="21"/>
                <w:color w:val="auto"/>
              </w:rPr>
            </w:pPr>
          </w:p>
        </w:tc>
        <w:tc>
          <w:tcPr>
            <w:tcW w:w="140" w:type="dxa"/>
            <w:vAlign w:val="bottom"/>
            <w:tcBorders>
              <w:bottom w:val="single" w:sz="8" w:color="F4EFF6"/>
            </w:tcBorders>
            <w:shd w:val="clear" w:color="auto" w:fill="F4EFF6"/>
          </w:tcPr>
          <w:p>
            <w:pPr>
              <w:spacing w:after="0"/>
              <w:rPr>
                <w:sz w:val="21"/>
                <w:szCs w:val="21"/>
                <w:color w:val="auto"/>
              </w:rPr>
            </w:pPr>
          </w:p>
        </w:tc>
        <w:tc>
          <w:tcPr>
            <w:tcW w:w="158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112.8</w:t>
            </w:r>
          </w:p>
        </w:tc>
        <w:tc>
          <w:tcPr>
            <w:tcW w:w="40" w:type="dxa"/>
            <w:vAlign w:val="bottom"/>
            <w:tcBorders>
              <w:bottom w:val="single" w:sz="8" w:color="F4EFF6"/>
            </w:tcBorders>
            <w:shd w:val="clear" w:color="auto" w:fill="F4EFF6"/>
          </w:tcPr>
          <w:p>
            <w:pPr>
              <w:spacing w:after="0"/>
              <w:rPr>
                <w:sz w:val="21"/>
                <w:szCs w:val="21"/>
                <w:color w:val="auto"/>
              </w:rPr>
            </w:pPr>
          </w:p>
        </w:tc>
        <w:tc>
          <w:tcPr>
            <w:tcW w:w="140" w:type="dxa"/>
            <w:vAlign w:val="bottom"/>
            <w:tcBorders>
              <w:bottom w:val="single" w:sz="8" w:color="F4EFF6"/>
            </w:tcBorders>
            <w:shd w:val="clear" w:color="auto" w:fill="F4EFF6"/>
          </w:tcPr>
          <w:p>
            <w:pPr>
              <w:spacing w:after="0"/>
              <w:rPr>
                <w:sz w:val="21"/>
                <w:szCs w:val="21"/>
                <w:color w:val="auto"/>
              </w:rPr>
            </w:pPr>
          </w:p>
        </w:tc>
        <w:tc>
          <w:tcPr>
            <w:tcW w:w="160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112.8</w:t>
            </w:r>
          </w:p>
        </w:tc>
        <w:tc>
          <w:tcPr>
            <w:tcW w:w="0" w:type="dxa"/>
            <w:vAlign w:val="bottom"/>
          </w:tcPr>
          <w:p>
            <w:pPr>
              <w:spacing w:after="0"/>
              <w:rPr>
                <w:sz w:val="1"/>
                <w:szCs w:val="1"/>
                <w:color w:val="auto"/>
              </w:rPr>
            </w:pPr>
          </w:p>
        </w:tc>
      </w:tr>
      <w:tr>
        <w:trPr>
          <w:trHeight w:val="236"/>
        </w:trPr>
        <w:tc>
          <w:tcPr>
            <w:tcW w:w="43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Amounts receivable from clients</w:t>
            </w:r>
          </w:p>
        </w:tc>
        <w:tc>
          <w:tcPr>
            <w:tcW w:w="1560" w:type="dxa"/>
            <w:vAlign w:val="bottom"/>
            <w:tcBorders>
              <w:top w:val="single" w:sz="8" w:color="CCCCD3"/>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32.3</w:t>
            </w:r>
          </w:p>
        </w:tc>
        <w:tc>
          <w:tcPr>
            <w:tcW w:w="40" w:type="dxa"/>
            <w:vAlign w:val="bottom"/>
            <w:tcBorders>
              <w:top w:val="single" w:sz="8" w:color="CCCCD3"/>
              <w:bottom w:val="single" w:sz="8" w:color="F4EFF6"/>
            </w:tcBorders>
            <w:shd w:val="clear" w:color="auto" w:fill="F4EFF6"/>
          </w:tcPr>
          <w:p>
            <w:pPr>
              <w:spacing w:after="0"/>
              <w:rPr>
                <w:sz w:val="20"/>
                <w:szCs w:val="20"/>
                <w:color w:val="auto"/>
              </w:rPr>
            </w:pPr>
          </w:p>
        </w:tc>
        <w:tc>
          <w:tcPr>
            <w:tcW w:w="140" w:type="dxa"/>
            <w:vAlign w:val="bottom"/>
            <w:tcBorders>
              <w:top w:val="single" w:sz="8" w:color="CCCCD3"/>
              <w:bottom w:val="single" w:sz="8" w:color="F4EFF6"/>
            </w:tcBorders>
            <w:shd w:val="clear" w:color="auto" w:fill="F4EFF6"/>
          </w:tcPr>
          <w:p>
            <w:pPr>
              <w:spacing w:after="0"/>
              <w:rPr>
                <w:sz w:val="20"/>
                <w:szCs w:val="20"/>
                <w:color w:val="auto"/>
              </w:rPr>
            </w:pPr>
          </w:p>
        </w:tc>
        <w:tc>
          <w:tcPr>
            <w:tcW w:w="1560" w:type="dxa"/>
            <w:vAlign w:val="bottom"/>
            <w:tcBorders>
              <w:top w:val="single" w:sz="8" w:color="CCCCD3"/>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CCCCD3"/>
              <w:bottom w:val="single" w:sz="8" w:color="F4EFF6"/>
            </w:tcBorders>
            <w:shd w:val="clear" w:color="auto" w:fill="F4EFF6"/>
          </w:tcPr>
          <w:p>
            <w:pPr>
              <w:spacing w:after="0"/>
              <w:rPr>
                <w:sz w:val="20"/>
                <w:szCs w:val="20"/>
                <w:color w:val="auto"/>
              </w:rPr>
            </w:pPr>
          </w:p>
        </w:tc>
        <w:tc>
          <w:tcPr>
            <w:tcW w:w="140" w:type="dxa"/>
            <w:vAlign w:val="bottom"/>
            <w:tcBorders>
              <w:top w:val="single" w:sz="8" w:color="CCCCD3"/>
              <w:bottom w:val="single" w:sz="8" w:color="F4EFF6"/>
            </w:tcBorders>
            <w:shd w:val="clear" w:color="auto" w:fill="F4EFF6"/>
          </w:tcPr>
          <w:p>
            <w:pPr>
              <w:spacing w:after="0"/>
              <w:rPr>
                <w:sz w:val="20"/>
                <w:szCs w:val="20"/>
                <w:color w:val="auto"/>
              </w:rPr>
            </w:pPr>
          </w:p>
        </w:tc>
        <w:tc>
          <w:tcPr>
            <w:tcW w:w="1580" w:type="dxa"/>
            <w:vAlign w:val="bottom"/>
            <w:tcBorders>
              <w:top w:val="single" w:sz="8" w:color="CCCCD3"/>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2,607.5</w:t>
            </w:r>
          </w:p>
        </w:tc>
        <w:tc>
          <w:tcPr>
            <w:tcW w:w="40" w:type="dxa"/>
            <w:vAlign w:val="bottom"/>
            <w:tcBorders>
              <w:top w:val="single" w:sz="8" w:color="CCCCD3"/>
              <w:bottom w:val="single" w:sz="8" w:color="F4EFF6"/>
            </w:tcBorders>
            <w:shd w:val="clear" w:color="auto" w:fill="F4EFF6"/>
          </w:tcPr>
          <w:p>
            <w:pPr>
              <w:spacing w:after="0"/>
              <w:rPr>
                <w:sz w:val="20"/>
                <w:szCs w:val="20"/>
                <w:color w:val="auto"/>
              </w:rPr>
            </w:pPr>
          </w:p>
        </w:tc>
        <w:tc>
          <w:tcPr>
            <w:tcW w:w="140" w:type="dxa"/>
            <w:vAlign w:val="bottom"/>
            <w:tcBorders>
              <w:top w:val="single" w:sz="8" w:color="CCCCD3"/>
              <w:bottom w:val="single" w:sz="8" w:color="F4EFF6"/>
            </w:tcBorders>
            <w:shd w:val="clear" w:color="auto" w:fill="F4EFF6"/>
          </w:tcPr>
          <w:p>
            <w:pPr>
              <w:spacing w:after="0"/>
              <w:rPr>
                <w:sz w:val="20"/>
                <w:szCs w:val="20"/>
                <w:color w:val="auto"/>
              </w:rPr>
            </w:pPr>
          </w:p>
        </w:tc>
        <w:tc>
          <w:tcPr>
            <w:tcW w:w="1600" w:type="dxa"/>
            <w:vAlign w:val="bottom"/>
            <w:tcBorders>
              <w:top w:val="single" w:sz="8" w:color="CCCCD3"/>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2,639.8</w:t>
            </w:r>
          </w:p>
        </w:tc>
        <w:tc>
          <w:tcPr>
            <w:tcW w:w="0" w:type="dxa"/>
            <w:vAlign w:val="bottom"/>
          </w:tcPr>
          <w:p>
            <w:pPr>
              <w:spacing w:after="0"/>
              <w:rPr>
                <w:sz w:val="1"/>
                <w:szCs w:val="1"/>
                <w:color w:val="auto"/>
              </w:rPr>
            </w:pPr>
          </w:p>
        </w:tc>
      </w:tr>
      <w:tr>
        <w:trPr>
          <w:trHeight w:val="237"/>
        </w:trPr>
        <w:tc>
          <w:tcPr>
            <w:tcW w:w="4380" w:type="dxa"/>
            <w:vAlign w:val="bottom"/>
            <w:tcBorders>
              <w:top w:val="single" w:sz="8" w:color="CCCCD3"/>
            </w:tcBorders>
          </w:tcPr>
          <w:p>
            <w:pPr>
              <w:ind w:left="20"/>
              <w:spacing w:after="0"/>
              <w:rPr>
                <w:sz w:val="20"/>
                <w:szCs w:val="20"/>
                <w:color w:val="auto"/>
              </w:rPr>
            </w:pPr>
            <w:r>
              <w:rPr>
                <w:rFonts w:ascii="Arial" w:cs="Arial" w:eastAsia="Arial" w:hAnsi="Arial"/>
                <w:sz w:val="15"/>
                <w:szCs w:val="15"/>
                <w:color w:val="auto"/>
              </w:rPr>
              <w:t>Trade debtors</w:t>
            </w:r>
          </w:p>
        </w:tc>
        <w:tc>
          <w:tcPr>
            <w:tcW w:w="1560" w:type="dxa"/>
            <w:vAlign w:val="bottom"/>
            <w:tcBorders>
              <w:top w:val="single" w:sz="8" w:color="CCCCD3"/>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43.0</w:t>
            </w:r>
          </w:p>
        </w:tc>
        <w:tc>
          <w:tcPr>
            <w:tcW w:w="40" w:type="dxa"/>
            <w:vAlign w:val="bottom"/>
            <w:tcBorders>
              <w:top w:val="single" w:sz="8" w:color="CCCCD3"/>
              <w:bottom w:val="single" w:sz="8" w:color="F4EFF6"/>
            </w:tcBorders>
            <w:shd w:val="clear" w:color="auto" w:fill="F4EFF6"/>
          </w:tcPr>
          <w:p>
            <w:pPr>
              <w:spacing w:after="0"/>
              <w:rPr>
                <w:sz w:val="20"/>
                <w:szCs w:val="20"/>
                <w:color w:val="auto"/>
              </w:rPr>
            </w:pPr>
          </w:p>
        </w:tc>
        <w:tc>
          <w:tcPr>
            <w:tcW w:w="140" w:type="dxa"/>
            <w:vAlign w:val="bottom"/>
            <w:tcBorders>
              <w:top w:val="single" w:sz="8" w:color="CCCCD3"/>
              <w:bottom w:val="single" w:sz="8" w:color="F4EFF6"/>
            </w:tcBorders>
            <w:shd w:val="clear" w:color="auto" w:fill="F4EFF6"/>
          </w:tcPr>
          <w:p>
            <w:pPr>
              <w:spacing w:after="0"/>
              <w:rPr>
                <w:sz w:val="20"/>
                <w:szCs w:val="20"/>
                <w:color w:val="auto"/>
              </w:rPr>
            </w:pPr>
          </w:p>
        </w:tc>
        <w:tc>
          <w:tcPr>
            <w:tcW w:w="1560" w:type="dxa"/>
            <w:vAlign w:val="bottom"/>
            <w:tcBorders>
              <w:top w:val="single" w:sz="8" w:color="CCCCD3"/>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CCCCD3"/>
              <w:bottom w:val="single" w:sz="8" w:color="F4EFF6"/>
            </w:tcBorders>
            <w:shd w:val="clear" w:color="auto" w:fill="F4EFF6"/>
          </w:tcPr>
          <w:p>
            <w:pPr>
              <w:spacing w:after="0"/>
              <w:rPr>
                <w:sz w:val="20"/>
                <w:szCs w:val="20"/>
                <w:color w:val="auto"/>
              </w:rPr>
            </w:pPr>
          </w:p>
        </w:tc>
        <w:tc>
          <w:tcPr>
            <w:tcW w:w="140" w:type="dxa"/>
            <w:vAlign w:val="bottom"/>
            <w:tcBorders>
              <w:top w:val="single" w:sz="8" w:color="CCCCD3"/>
              <w:bottom w:val="single" w:sz="8" w:color="F4EFF6"/>
            </w:tcBorders>
            <w:shd w:val="clear" w:color="auto" w:fill="F4EFF6"/>
          </w:tcPr>
          <w:p>
            <w:pPr>
              <w:spacing w:after="0"/>
              <w:rPr>
                <w:sz w:val="20"/>
                <w:szCs w:val="20"/>
                <w:color w:val="auto"/>
              </w:rPr>
            </w:pPr>
          </w:p>
        </w:tc>
        <w:tc>
          <w:tcPr>
            <w:tcW w:w="1580" w:type="dxa"/>
            <w:vAlign w:val="bottom"/>
            <w:tcBorders>
              <w:top w:val="single" w:sz="8" w:color="CCCCD3"/>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2,289.3</w:t>
            </w:r>
          </w:p>
        </w:tc>
        <w:tc>
          <w:tcPr>
            <w:tcW w:w="40" w:type="dxa"/>
            <w:vAlign w:val="bottom"/>
            <w:tcBorders>
              <w:top w:val="single" w:sz="8" w:color="CCCCD3"/>
              <w:bottom w:val="single" w:sz="8" w:color="F4EFF6"/>
            </w:tcBorders>
            <w:shd w:val="clear" w:color="auto" w:fill="F4EFF6"/>
          </w:tcPr>
          <w:p>
            <w:pPr>
              <w:spacing w:after="0"/>
              <w:rPr>
                <w:sz w:val="20"/>
                <w:szCs w:val="20"/>
                <w:color w:val="auto"/>
              </w:rPr>
            </w:pPr>
          </w:p>
        </w:tc>
        <w:tc>
          <w:tcPr>
            <w:tcW w:w="140" w:type="dxa"/>
            <w:vAlign w:val="bottom"/>
            <w:tcBorders>
              <w:top w:val="single" w:sz="8" w:color="CCCCD3"/>
              <w:bottom w:val="single" w:sz="8" w:color="F4EFF6"/>
            </w:tcBorders>
            <w:shd w:val="clear" w:color="auto" w:fill="F4EFF6"/>
          </w:tcPr>
          <w:p>
            <w:pPr>
              <w:spacing w:after="0"/>
              <w:rPr>
                <w:sz w:val="20"/>
                <w:szCs w:val="20"/>
                <w:color w:val="auto"/>
              </w:rPr>
            </w:pPr>
          </w:p>
        </w:tc>
        <w:tc>
          <w:tcPr>
            <w:tcW w:w="1600" w:type="dxa"/>
            <w:vAlign w:val="bottom"/>
            <w:tcBorders>
              <w:top w:val="single" w:sz="8" w:color="CCCCD3"/>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2,332.3</w:t>
            </w:r>
          </w:p>
        </w:tc>
        <w:tc>
          <w:tcPr>
            <w:tcW w:w="0" w:type="dxa"/>
            <w:vAlign w:val="bottom"/>
          </w:tcPr>
          <w:p>
            <w:pPr>
              <w:spacing w:after="0"/>
              <w:rPr>
                <w:sz w:val="1"/>
                <w:szCs w:val="1"/>
                <w:color w:val="auto"/>
              </w:rPr>
            </w:pPr>
          </w:p>
        </w:tc>
      </w:tr>
      <w:tr>
        <w:trPr>
          <w:trHeight w:val="237"/>
        </w:trPr>
        <w:tc>
          <w:tcPr>
            <w:tcW w:w="4380" w:type="dxa"/>
            <w:vAlign w:val="bottom"/>
            <w:tcBorders>
              <w:top w:val="single" w:sz="8" w:color="CCCCD3"/>
            </w:tcBorders>
          </w:tcPr>
          <w:p>
            <w:pPr>
              <w:ind w:left="20"/>
              <w:spacing w:after="0"/>
              <w:rPr>
                <w:sz w:val="20"/>
                <w:szCs w:val="20"/>
                <w:color w:val="auto"/>
              </w:rPr>
            </w:pPr>
            <w:r>
              <w:rPr>
                <w:rFonts w:ascii="Arial" w:cs="Arial" w:eastAsia="Arial" w:hAnsi="Arial"/>
                <w:sz w:val="15"/>
                <w:szCs w:val="15"/>
                <w:color w:val="auto"/>
              </w:rPr>
              <w:t>Default funds and deposits</w:t>
            </w:r>
          </w:p>
        </w:tc>
        <w:tc>
          <w:tcPr>
            <w:tcW w:w="1560" w:type="dxa"/>
            <w:vAlign w:val="bottom"/>
            <w:tcBorders>
              <w:top w:val="single" w:sz="8" w:color="CCCCD3"/>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CCCCD3"/>
              <w:bottom w:val="single" w:sz="8" w:color="F4EFF6"/>
            </w:tcBorders>
            <w:shd w:val="clear" w:color="auto" w:fill="F4EFF6"/>
          </w:tcPr>
          <w:p>
            <w:pPr>
              <w:spacing w:after="0"/>
              <w:rPr>
                <w:sz w:val="20"/>
                <w:szCs w:val="20"/>
                <w:color w:val="auto"/>
              </w:rPr>
            </w:pPr>
          </w:p>
        </w:tc>
        <w:tc>
          <w:tcPr>
            <w:tcW w:w="140" w:type="dxa"/>
            <w:vAlign w:val="bottom"/>
            <w:tcBorders>
              <w:top w:val="single" w:sz="8" w:color="CCCCD3"/>
              <w:bottom w:val="single" w:sz="8" w:color="F4EFF6"/>
            </w:tcBorders>
            <w:shd w:val="clear" w:color="auto" w:fill="F4EFF6"/>
          </w:tcPr>
          <w:p>
            <w:pPr>
              <w:spacing w:after="0"/>
              <w:rPr>
                <w:sz w:val="20"/>
                <w:szCs w:val="20"/>
                <w:color w:val="auto"/>
              </w:rPr>
            </w:pPr>
          </w:p>
        </w:tc>
        <w:tc>
          <w:tcPr>
            <w:tcW w:w="1560" w:type="dxa"/>
            <w:vAlign w:val="bottom"/>
            <w:tcBorders>
              <w:top w:val="single" w:sz="8" w:color="CCCCD3"/>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CCCCD3"/>
              <w:bottom w:val="single" w:sz="8" w:color="F4EFF6"/>
            </w:tcBorders>
            <w:shd w:val="clear" w:color="auto" w:fill="F4EFF6"/>
          </w:tcPr>
          <w:p>
            <w:pPr>
              <w:spacing w:after="0"/>
              <w:rPr>
                <w:sz w:val="20"/>
                <w:szCs w:val="20"/>
                <w:color w:val="auto"/>
              </w:rPr>
            </w:pPr>
          </w:p>
        </w:tc>
        <w:tc>
          <w:tcPr>
            <w:tcW w:w="140" w:type="dxa"/>
            <w:vAlign w:val="bottom"/>
            <w:tcBorders>
              <w:top w:val="single" w:sz="8" w:color="CCCCD3"/>
              <w:bottom w:val="single" w:sz="8" w:color="F4EFF6"/>
            </w:tcBorders>
            <w:shd w:val="clear" w:color="auto" w:fill="F4EFF6"/>
          </w:tcPr>
          <w:p>
            <w:pPr>
              <w:spacing w:after="0"/>
              <w:rPr>
                <w:sz w:val="20"/>
                <w:szCs w:val="20"/>
                <w:color w:val="auto"/>
              </w:rPr>
            </w:pPr>
          </w:p>
        </w:tc>
        <w:tc>
          <w:tcPr>
            <w:tcW w:w="1580" w:type="dxa"/>
            <w:vAlign w:val="bottom"/>
            <w:tcBorders>
              <w:top w:val="single" w:sz="8" w:color="CCCCD3"/>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428.6</w:t>
            </w:r>
          </w:p>
        </w:tc>
        <w:tc>
          <w:tcPr>
            <w:tcW w:w="40" w:type="dxa"/>
            <w:vAlign w:val="bottom"/>
            <w:tcBorders>
              <w:top w:val="single" w:sz="8" w:color="CCCCD3"/>
              <w:bottom w:val="single" w:sz="8" w:color="F4EFF6"/>
            </w:tcBorders>
            <w:shd w:val="clear" w:color="auto" w:fill="F4EFF6"/>
          </w:tcPr>
          <w:p>
            <w:pPr>
              <w:spacing w:after="0"/>
              <w:rPr>
                <w:sz w:val="20"/>
                <w:szCs w:val="20"/>
                <w:color w:val="auto"/>
              </w:rPr>
            </w:pPr>
          </w:p>
        </w:tc>
        <w:tc>
          <w:tcPr>
            <w:tcW w:w="140" w:type="dxa"/>
            <w:vAlign w:val="bottom"/>
            <w:tcBorders>
              <w:top w:val="single" w:sz="8" w:color="CCCCD3"/>
              <w:bottom w:val="single" w:sz="8" w:color="F4EFF6"/>
            </w:tcBorders>
            <w:shd w:val="clear" w:color="auto" w:fill="F4EFF6"/>
          </w:tcPr>
          <w:p>
            <w:pPr>
              <w:spacing w:after="0"/>
              <w:rPr>
                <w:sz w:val="20"/>
                <w:szCs w:val="20"/>
                <w:color w:val="auto"/>
              </w:rPr>
            </w:pPr>
          </w:p>
        </w:tc>
        <w:tc>
          <w:tcPr>
            <w:tcW w:w="1600" w:type="dxa"/>
            <w:vAlign w:val="bottom"/>
            <w:tcBorders>
              <w:top w:val="single" w:sz="8" w:color="CCCCD3"/>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428.6</w:t>
            </w:r>
          </w:p>
        </w:tc>
        <w:tc>
          <w:tcPr>
            <w:tcW w:w="0" w:type="dxa"/>
            <w:vAlign w:val="bottom"/>
          </w:tcPr>
          <w:p>
            <w:pPr>
              <w:spacing w:after="0"/>
              <w:rPr>
                <w:sz w:val="1"/>
                <w:szCs w:val="1"/>
                <w:color w:val="auto"/>
              </w:rPr>
            </w:pPr>
          </w:p>
        </w:tc>
      </w:tr>
      <w:tr>
        <w:trPr>
          <w:trHeight w:val="237"/>
        </w:trPr>
        <w:tc>
          <w:tcPr>
            <w:tcW w:w="4380" w:type="dxa"/>
            <w:vAlign w:val="bottom"/>
            <w:tcBorders>
              <w:top w:val="single" w:sz="8" w:color="CCCCD3"/>
            </w:tcBorders>
          </w:tcPr>
          <w:p>
            <w:pPr>
              <w:ind w:left="20"/>
              <w:spacing w:after="0"/>
              <w:rPr>
                <w:sz w:val="20"/>
                <w:szCs w:val="20"/>
                <w:color w:val="auto"/>
              </w:rPr>
            </w:pPr>
            <w:r>
              <w:rPr>
                <w:rFonts w:ascii="Arial" w:cs="Arial" w:eastAsia="Arial" w:hAnsi="Arial"/>
                <w:sz w:val="15"/>
                <w:szCs w:val="15"/>
                <w:color w:val="auto"/>
              </w:rPr>
              <w:t>Loans receivable</w:t>
            </w:r>
          </w:p>
        </w:tc>
        <w:tc>
          <w:tcPr>
            <w:tcW w:w="1560" w:type="dxa"/>
            <w:vAlign w:val="bottom"/>
            <w:tcBorders>
              <w:top w:val="single" w:sz="8" w:color="CCCCD3"/>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CCCCD3"/>
              <w:bottom w:val="single" w:sz="8" w:color="F4EFF6"/>
            </w:tcBorders>
            <w:shd w:val="clear" w:color="auto" w:fill="F4EFF6"/>
          </w:tcPr>
          <w:p>
            <w:pPr>
              <w:spacing w:after="0"/>
              <w:rPr>
                <w:sz w:val="20"/>
                <w:szCs w:val="20"/>
                <w:color w:val="auto"/>
              </w:rPr>
            </w:pPr>
          </w:p>
        </w:tc>
        <w:tc>
          <w:tcPr>
            <w:tcW w:w="140" w:type="dxa"/>
            <w:vAlign w:val="bottom"/>
            <w:tcBorders>
              <w:top w:val="single" w:sz="8" w:color="CCCCD3"/>
              <w:bottom w:val="single" w:sz="8" w:color="F4EFF6"/>
            </w:tcBorders>
            <w:shd w:val="clear" w:color="auto" w:fill="F4EFF6"/>
          </w:tcPr>
          <w:p>
            <w:pPr>
              <w:spacing w:after="0"/>
              <w:rPr>
                <w:sz w:val="20"/>
                <w:szCs w:val="20"/>
                <w:color w:val="auto"/>
              </w:rPr>
            </w:pPr>
          </w:p>
        </w:tc>
        <w:tc>
          <w:tcPr>
            <w:tcW w:w="1560" w:type="dxa"/>
            <w:vAlign w:val="bottom"/>
            <w:tcBorders>
              <w:top w:val="single" w:sz="8" w:color="CCCCD3"/>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CCCCD3"/>
              <w:bottom w:val="single" w:sz="8" w:color="F4EFF6"/>
            </w:tcBorders>
            <w:shd w:val="clear" w:color="auto" w:fill="F4EFF6"/>
          </w:tcPr>
          <w:p>
            <w:pPr>
              <w:spacing w:after="0"/>
              <w:rPr>
                <w:sz w:val="20"/>
                <w:szCs w:val="20"/>
                <w:color w:val="auto"/>
              </w:rPr>
            </w:pPr>
          </w:p>
        </w:tc>
        <w:tc>
          <w:tcPr>
            <w:tcW w:w="140" w:type="dxa"/>
            <w:vAlign w:val="bottom"/>
            <w:tcBorders>
              <w:top w:val="single" w:sz="8" w:color="CCCCD3"/>
              <w:bottom w:val="single" w:sz="8" w:color="F4EFF6"/>
            </w:tcBorders>
            <w:shd w:val="clear" w:color="auto" w:fill="F4EFF6"/>
          </w:tcPr>
          <w:p>
            <w:pPr>
              <w:spacing w:after="0"/>
              <w:rPr>
                <w:sz w:val="20"/>
                <w:szCs w:val="20"/>
                <w:color w:val="auto"/>
              </w:rPr>
            </w:pPr>
          </w:p>
        </w:tc>
        <w:tc>
          <w:tcPr>
            <w:tcW w:w="1580" w:type="dxa"/>
            <w:vAlign w:val="bottom"/>
            <w:tcBorders>
              <w:top w:val="single" w:sz="8" w:color="CCCCD3"/>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249.5</w:t>
            </w:r>
          </w:p>
        </w:tc>
        <w:tc>
          <w:tcPr>
            <w:tcW w:w="40" w:type="dxa"/>
            <w:vAlign w:val="bottom"/>
            <w:tcBorders>
              <w:top w:val="single" w:sz="8" w:color="CCCCD3"/>
              <w:bottom w:val="single" w:sz="8" w:color="F4EFF6"/>
            </w:tcBorders>
            <w:shd w:val="clear" w:color="auto" w:fill="F4EFF6"/>
          </w:tcPr>
          <w:p>
            <w:pPr>
              <w:spacing w:after="0"/>
              <w:rPr>
                <w:sz w:val="20"/>
                <w:szCs w:val="20"/>
                <w:color w:val="auto"/>
              </w:rPr>
            </w:pPr>
          </w:p>
        </w:tc>
        <w:tc>
          <w:tcPr>
            <w:tcW w:w="140" w:type="dxa"/>
            <w:vAlign w:val="bottom"/>
            <w:tcBorders>
              <w:top w:val="single" w:sz="8" w:color="CCCCD3"/>
              <w:bottom w:val="single" w:sz="8" w:color="F4EFF6"/>
            </w:tcBorders>
            <w:shd w:val="clear" w:color="auto" w:fill="F4EFF6"/>
          </w:tcPr>
          <w:p>
            <w:pPr>
              <w:spacing w:after="0"/>
              <w:rPr>
                <w:sz w:val="20"/>
                <w:szCs w:val="20"/>
                <w:color w:val="auto"/>
              </w:rPr>
            </w:pPr>
          </w:p>
        </w:tc>
        <w:tc>
          <w:tcPr>
            <w:tcW w:w="1600" w:type="dxa"/>
            <w:vAlign w:val="bottom"/>
            <w:tcBorders>
              <w:top w:val="single" w:sz="8" w:color="CCCCD3"/>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249.5</w:t>
            </w:r>
          </w:p>
        </w:tc>
        <w:tc>
          <w:tcPr>
            <w:tcW w:w="0" w:type="dxa"/>
            <w:vAlign w:val="bottom"/>
          </w:tcPr>
          <w:p>
            <w:pPr>
              <w:spacing w:after="0"/>
              <w:rPr>
                <w:sz w:val="1"/>
                <w:szCs w:val="1"/>
                <w:color w:val="auto"/>
              </w:rPr>
            </w:pPr>
          </w:p>
        </w:tc>
      </w:tr>
      <w:tr>
        <w:trPr>
          <w:trHeight w:val="236"/>
        </w:trPr>
        <w:tc>
          <w:tcPr>
            <w:tcW w:w="4380" w:type="dxa"/>
            <w:vAlign w:val="bottom"/>
            <w:tcBorders>
              <w:top w:val="single" w:sz="8" w:color="CCCCD3"/>
              <w:bottom w:val="single" w:sz="8" w:color="CCCCD3"/>
            </w:tcBorders>
          </w:tcPr>
          <w:p>
            <w:pPr>
              <w:ind w:left="20"/>
              <w:spacing w:after="0"/>
              <w:rPr>
                <w:sz w:val="20"/>
                <w:szCs w:val="20"/>
                <w:color w:val="auto"/>
              </w:rPr>
            </w:pPr>
            <w:r>
              <w:rPr>
                <w:rFonts w:ascii="Arial" w:cs="Arial" w:eastAsia="Arial" w:hAnsi="Arial"/>
                <w:sz w:val="15"/>
                <w:szCs w:val="15"/>
                <w:color w:val="auto"/>
              </w:rPr>
              <w:t>Other debtors</w:t>
            </w:r>
            <w:r>
              <w:rPr>
                <w:rFonts w:ascii="Arial" w:cs="Arial" w:eastAsia="Arial" w:hAnsi="Arial"/>
                <w:sz w:val="19"/>
                <w:szCs w:val="19"/>
                <w:color w:val="auto"/>
                <w:vertAlign w:val="superscript"/>
              </w:rPr>
              <w:t>2</w:t>
            </w:r>
          </w:p>
        </w:tc>
        <w:tc>
          <w:tcPr>
            <w:tcW w:w="1560" w:type="dxa"/>
            <w:vAlign w:val="bottom"/>
            <w:tcBorders>
              <w:top w:val="single" w:sz="8" w:color="CCCCD3"/>
              <w:bottom w:val="single" w:sz="8" w:color="CCCCD3"/>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CCCCD3"/>
              <w:bottom w:val="single" w:sz="8" w:color="CCCCD3"/>
            </w:tcBorders>
            <w:shd w:val="clear" w:color="auto" w:fill="F4EFF6"/>
          </w:tcPr>
          <w:p>
            <w:pPr>
              <w:spacing w:after="0"/>
              <w:rPr>
                <w:sz w:val="20"/>
                <w:szCs w:val="20"/>
                <w:color w:val="auto"/>
              </w:rPr>
            </w:pPr>
          </w:p>
        </w:tc>
        <w:tc>
          <w:tcPr>
            <w:tcW w:w="140" w:type="dxa"/>
            <w:vAlign w:val="bottom"/>
            <w:tcBorders>
              <w:top w:val="single" w:sz="8" w:color="CCCCD3"/>
              <w:bottom w:val="single" w:sz="8" w:color="CCCCD3"/>
            </w:tcBorders>
            <w:shd w:val="clear" w:color="auto" w:fill="F4EFF6"/>
          </w:tcPr>
          <w:p>
            <w:pPr>
              <w:spacing w:after="0"/>
              <w:rPr>
                <w:sz w:val="20"/>
                <w:szCs w:val="20"/>
                <w:color w:val="auto"/>
              </w:rPr>
            </w:pPr>
          </w:p>
        </w:tc>
        <w:tc>
          <w:tcPr>
            <w:tcW w:w="1560" w:type="dxa"/>
            <w:vAlign w:val="bottom"/>
            <w:tcBorders>
              <w:top w:val="single" w:sz="8" w:color="CCCCD3"/>
              <w:bottom w:val="single" w:sz="8" w:color="CCCCD3"/>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CCCCD3"/>
              <w:bottom w:val="single" w:sz="8" w:color="CCCCD3"/>
            </w:tcBorders>
            <w:shd w:val="clear" w:color="auto" w:fill="F4EFF6"/>
          </w:tcPr>
          <w:p>
            <w:pPr>
              <w:spacing w:after="0"/>
              <w:rPr>
                <w:sz w:val="20"/>
                <w:szCs w:val="20"/>
                <w:color w:val="auto"/>
              </w:rPr>
            </w:pPr>
          </w:p>
        </w:tc>
        <w:tc>
          <w:tcPr>
            <w:tcW w:w="140" w:type="dxa"/>
            <w:vAlign w:val="bottom"/>
            <w:tcBorders>
              <w:top w:val="single" w:sz="8" w:color="CCCCD3"/>
              <w:bottom w:val="single" w:sz="8" w:color="CCCCD3"/>
            </w:tcBorders>
            <w:shd w:val="clear" w:color="auto" w:fill="F4EFF6"/>
          </w:tcPr>
          <w:p>
            <w:pPr>
              <w:spacing w:after="0"/>
              <w:rPr>
                <w:sz w:val="20"/>
                <w:szCs w:val="20"/>
                <w:color w:val="auto"/>
              </w:rPr>
            </w:pPr>
          </w:p>
        </w:tc>
        <w:tc>
          <w:tcPr>
            <w:tcW w:w="1580" w:type="dxa"/>
            <w:vAlign w:val="bottom"/>
            <w:tcBorders>
              <w:top w:val="single" w:sz="8" w:color="CCCCD3"/>
              <w:bottom w:val="single" w:sz="8" w:color="CCCCD3"/>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64.8</w:t>
            </w:r>
          </w:p>
        </w:tc>
        <w:tc>
          <w:tcPr>
            <w:tcW w:w="40" w:type="dxa"/>
            <w:vAlign w:val="bottom"/>
            <w:tcBorders>
              <w:top w:val="single" w:sz="8" w:color="CCCCD3"/>
              <w:bottom w:val="single" w:sz="8" w:color="CCCCD3"/>
            </w:tcBorders>
            <w:shd w:val="clear" w:color="auto" w:fill="F4EFF6"/>
          </w:tcPr>
          <w:p>
            <w:pPr>
              <w:spacing w:after="0"/>
              <w:rPr>
                <w:sz w:val="20"/>
                <w:szCs w:val="20"/>
                <w:color w:val="auto"/>
              </w:rPr>
            </w:pPr>
          </w:p>
        </w:tc>
        <w:tc>
          <w:tcPr>
            <w:tcW w:w="140" w:type="dxa"/>
            <w:vAlign w:val="bottom"/>
            <w:tcBorders>
              <w:top w:val="single" w:sz="8" w:color="CCCCD3"/>
              <w:bottom w:val="single" w:sz="8" w:color="CCCCD3"/>
            </w:tcBorders>
            <w:shd w:val="clear" w:color="auto" w:fill="F4EFF6"/>
          </w:tcPr>
          <w:p>
            <w:pPr>
              <w:spacing w:after="0"/>
              <w:rPr>
                <w:sz w:val="20"/>
                <w:szCs w:val="20"/>
                <w:color w:val="auto"/>
              </w:rPr>
            </w:pPr>
          </w:p>
        </w:tc>
        <w:tc>
          <w:tcPr>
            <w:tcW w:w="1600" w:type="dxa"/>
            <w:vAlign w:val="bottom"/>
            <w:tcBorders>
              <w:top w:val="single" w:sz="8" w:color="CCCCD3"/>
              <w:bottom w:val="single" w:sz="8" w:color="CCCCD3"/>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64.8</w:t>
            </w:r>
          </w:p>
        </w:tc>
        <w:tc>
          <w:tcPr>
            <w:tcW w:w="0" w:type="dxa"/>
            <w:vAlign w:val="bottom"/>
          </w:tcPr>
          <w:p>
            <w:pPr>
              <w:spacing w:after="0"/>
              <w:rPr>
                <w:sz w:val="1"/>
                <w:szCs w:val="1"/>
                <w:color w:val="auto"/>
              </w:rPr>
            </w:pPr>
          </w:p>
        </w:tc>
      </w:tr>
      <w:tr>
        <w:trPr>
          <w:trHeight w:val="237"/>
        </w:trPr>
        <w:tc>
          <w:tcPr>
            <w:tcW w:w="4380" w:type="dxa"/>
            <w:vAlign w:val="bottom"/>
          </w:tcPr>
          <w:p>
            <w:pPr>
              <w:ind w:left="20"/>
              <w:spacing w:after="0"/>
              <w:rPr>
                <w:sz w:val="20"/>
                <w:szCs w:val="20"/>
                <w:color w:val="auto"/>
              </w:rPr>
            </w:pPr>
            <w:r>
              <w:rPr>
                <w:rFonts w:ascii="Arial" w:cs="Arial" w:eastAsia="Arial" w:hAnsi="Arial"/>
                <w:sz w:val="15"/>
                <w:szCs w:val="15"/>
                <w:color w:val="auto"/>
              </w:rPr>
              <w:t>Cash and cash equivalents</w:t>
            </w:r>
          </w:p>
        </w:tc>
        <w:tc>
          <w:tcPr>
            <w:tcW w:w="156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bottom w:val="single" w:sz="8" w:color="F4EFF6"/>
            </w:tcBorders>
            <w:shd w:val="clear" w:color="auto" w:fill="F4EFF6"/>
          </w:tcPr>
          <w:p>
            <w:pPr>
              <w:spacing w:after="0"/>
              <w:rPr>
                <w:sz w:val="20"/>
                <w:szCs w:val="20"/>
                <w:color w:val="auto"/>
              </w:rPr>
            </w:pPr>
          </w:p>
        </w:tc>
        <w:tc>
          <w:tcPr>
            <w:tcW w:w="140" w:type="dxa"/>
            <w:vAlign w:val="bottom"/>
            <w:tcBorders>
              <w:bottom w:val="single" w:sz="8" w:color="F4EFF6"/>
            </w:tcBorders>
            <w:shd w:val="clear" w:color="auto" w:fill="F4EFF6"/>
          </w:tcPr>
          <w:p>
            <w:pPr>
              <w:spacing w:after="0"/>
              <w:rPr>
                <w:sz w:val="20"/>
                <w:szCs w:val="20"/>
                <w:color w:val="auto"/>
              </w:rPr>
            </w:pPr>
          </w:p>
        </w:tc>
        <w:tc>
          <w:tcPr>
            <w:tcW w:w="156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bottom w:val="single" w:sz="8" w:color="F4EFF6"/>
            </w:tcBorders>
            <w:shd w:val="clear" w:color="auto" w:fill="F4EFF6"/>
          </w:tcPr>
          <w:p>
            <w:pPr>
              <w:spacing w:after="0"/>
              <w:rPr>
                <w:sz w:val="20"/>
                <w:szCs w:val="20"/>
                <w:color w:val="auto"/>
              </w:rPr>
            </w:pPr>
          </w:p>
        </w:tc>
        <w:tc>
          <w:tcPr>
            <w:tcW w:w="140" w:type="dxa"/>
            <w:vAlign w:val="bottom"/>
            <w:tcBorders>
              <w:bottom w:val="single" w:sz="8" w:color="F4EFF6"/>
            </w:tcBorders>
            <w:shd w:val="clear" w:color="auto" w:fill="F4EFF6"/>
          </w:tcPr>
          <w:p>
            <w:pPr>
              <w:spacing w:after="0"/>
              <w:rPr>
                <w:sz w:val="20"/>
                <w:szCs w:val="20"/>
                <w:color w:val="auto"/>
              </w:rPr>
            </w:pPr>
          </w:p>
        </w:tc>
        <w:tc>
          <w:tcPr>
            <w:tcW w:w="158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3,375.3</w:t>
            </w:r>
          </w:p>
        </w:tc>
        <w:tc>
          <w:tcPr>
            <w:tcW w:w="40" w:type="dxa"/>
            <w:vAlign w:val="bottom"/>
            <w:tcBorders>
              <w:bottom w:val="single" w:sz="8" w:color="F4EFF6"/>
            </w:tcBorders>
            <w:shd w:val="clear" w:color="auto" w:fill="F4EFF6"/>
          </w:tcPr>
          <w:p>
            <w:pPr>
              <w:spacing w:after="0"/>
              <w:rPr>
                <w:sz w:val="20"/>
                <w:szCs w:val="20"/>
                <w:color w:val="auto"/>
              </w:rPr>
            </w:pPr>
          </w:p>
        </w:tc>
        <w:tc>
          <w:tcPr>
            <w:tcW w:w="140" w:type="dxa"/>
            <w:vAlign w:val="bottom"/>
            <w:tcBorders>
              <w:bottom w:val="single" w:sz="8" w:color="F4EFF6"/>
            </w:tcBorders>
            <w:shd w:val="clear" w:color="auto" w:fill="F4EFF6"/>
          </w:tcPr>
          <w:p>
            <w:pPr>
              <w:spacing w:after="0"/>
              <w:rPr>
                <w:sz w:val="20"/>
                <w:szCs w:val="20"/>
                <w:color w:val="auto"/>
              </w:rPr>
            </w:pPr>
          </w:p>
        </w:tc>
        <w:tc>
          <w:tcPr>
            <w:tcW w:w="160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3,375.3</w:t>
            </w:r>
          </w:p>
        </w:tc>
        <w:tc>
          <w:tcPr>
            <w:tcW w:w="0" w:type="dxa"/>
            <w:vAlign w:val="bottom"/>
          </w:tcPr>
          <w:p>
            <w:pPr>
              <w:spacing w:after="0"/>
              <w:rPr>
                <w:sz w:val="1"/>
                <w:szCs w:val="1"/>
                <w:color w:val="auto"/>
              </w:rPr>
            </w:pPr>
          </w:p>
        </w:tc>
      </w:tr>
      <w:tr>
        <w:trPr>
          <w:trHeight w:val="237"/>
        </w:trPr>
        <w:tc>
          <w:tcPr>
            <w:tcW w:w="4380" w:type="dxa"/>
            <w:vAlign w:val="bottom"/>
            <w:tcBorders>
              <w:top w:val="single" w:sz="8" w:color="793690"/>
            </w:tcBorders>
          </w:tcPr>
          <w:p>
            <w:pPr>
              <w:spacing w:after="0"/>
              <w:rPr>
                <w:sz w:val="20"/>
                <w:szCs w:val="20"/>
                <w:color w:val="auto"/>
              </w:rPr>
            </w:pPr>
          </w:p>
        </w:tc>
        <w:tc>
          <w:tcPr>
            <w:tcW w:w="156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12,791.8</w:t>
            </w:r>
          </w:p>
        </w:tc>
        <w:tc>
          <w:tcPr>
            <w:tcW w:w="40" w:type="dxa"/>
            <w:vAlign w:val="bottom"/>
            <w:tcBorders>
              <w:top w:val="single" w:sz="8" w:color="793690"/>
              <w:bottom w:val="single" w:sz="8" w:color="F4EFF6"/>
            </w:tcBorders>
            <w:shd w:val="clear" w:color="auto" w:fill="F4EFF6"/>
          </w:tcPr>
          <w:p>
            <w:pPr>
              <w:spacing w:after="0"/>
              <w:rPr>
                <w:sz w:val="20"/>
                <w:szCs w:val="20"/>
                <w:color w:val="auto"/>
              </w:rPr>
            </w:pPr>
          </w:p>
        </w:tc>
        <w:tc>
          <w:tcPr>
            <w:tcW w:w="140" w:type="dxa"/>
            <w:vAlign w:val="bottom"/>
            <w:tcBorders>
              <w:top w:val="single" w:sz="8" w:color="793690"/>
              <w:bottom w:val="single" w:sz="8" w:color="F4EFF6"/>
            </w:tcBorders>
            <w:shd w:val="clear" w:color="auto" w:fill="F4EFF6"/>
          </w:tcPr>
          <w:p>
            <w:pPr>
              <w:spacing w:after="0"/>
              <w:rPr>
                <w:sz w:val="20"/>
                <w:szCs w:val="20"/>
                <w:color w:val="auto"/>
              </w:rPr>
            </w:pPr>
          </w:p>
        </w:tc>
        <w:tc>
          <w:tcPr>
            <w:tcW w:w="156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46.7</w:t>
            </w:r>
          </w:p>
        </w:tc>
        <w:tc>
          <w:tcPr>
            <w:tcW w:w="40" w:type="dxa"/>
            <w:vAlign w:val="bottom"/>
            <w:tcBorders>
              <w:top w:val="single" w:sz="8" w:color="793690"/>
              <w:bottom w:val="single" w:sz="8" w:color="F4EFF6"/>
            </w:tcBorders>
            <w:shd w:val="clear" w:color="auto" w:fill="F4EFF6"/>
          </w:tcPr>
          <w:p>
            <w:pPr>
              <w:spacing w:after="0"/>
              <w:rPr>
                <w:sz w:val="20"/>
                <w:szCs w:val="20"/>
                <w:color w:val="auto"/>
              </w:rPr>
            </w:pPr>
          </w:p>
        </w:tc>
        <w:tc>
          <w:tcPr>
            <w:tcW w:w="140" w:type="dxa"/>
            <w:vAlign w:val="bottom"/>
            <w:tcBorders>
              <w:top w:val="single" w:sz="8" w:color="793690"/>
              <w:bottom w:val="single" w:sz="8" w:color="F4EFF6"/>
            </w:tcBorders>
            <w:shd w:val="clear" w:color="auto" w:fill="F4EFF6"/>
          </w:tcPr>
          <w:p>
            <w:pPr>
              <w:spacing w:after="0"/>
              <w:rPr>
                <w:sz w:val="20"/>
                <w:szCs w:val="20"/>
                <w:color w:val="auto"/>
              </w:rPr>
            </w:pPr>
          </w:p>
        </w:tc>
        <w:tc>
          <w:tcPr>
            <w:tcW w:w="158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17,464.3</w:t>
            </w:r>
          </w:p>
        </w:tc>
        <w:tc>
          <w:tcPr>
            <w:tcW w:w="40" w:type="dxa"/>
            <w:vAlign w:val="bottom"/>
            <w:tcBorders>
              <w:top w:val="single" w:sz="8" w:color="793690"/>
              <w:bottom w:val="single" w:sz="8" w:color="F4EFF6"/>
            </w:tcBorders>
            <w:shd w:val="clear" w:color="auto" w:fill="F4EFF6"/>
          </w:tcPr>
          <w:p>
            <w:pPr>
              <w:spacing w:after="0"/>
              <w:rPr>
                <w:sz w:val="20"/>
                <w:szCs w:val="20"/>
                <w:color w:val="auto"/>
              </w:rPr>
            </w:pPr>
          </w:p>
        </w:tc>
        <w:tc>
          <w:tcPr>
            <w:tcW w:w="140" w:type="dxa"/>
            <w:vAlign w:val="bottom"/>
            <w:tcBorders>
              <w:top w:val="single" w:sz="8" w:color="793690"/>
              <w:bottom w:val="single" w:sz="8" w:color="F4EFF6"/>
            </w:tcBorders>
            <w:shd w:val="clear" w:color="auto" w:fill="F4EFF6"/>
          </w:tcPr>
          <w:p>
            <w:pPr>
              <w:spacing w:after="0"/>
              <w:rPr>
                <w:sz w:val="20"/>
                <w:szCs w:val="20"/>
                <w:color w:val="auto"/>
              </w:rPr>
            </w:pPr>
          </w:p>
        </w:tc>
        <w:tc>
          <w:tcPr>
            <w:tcW w:w="160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30,302.8</w:t>
            </w:r>
          </w:p>
        </w:tc>
        <w:tc>
          <w:tcPr>
            <w:tcW w:w="0" w:type="dxa"/>
            <w:vAlign w:val="bottom"/>
          </w:tcPr>
          <w:p>
            <w:pPr>
              <w:spacing w:after="0"/>
              <w:rPr>
                <w:sz w:val="1"/>
                <w:szCs w:val="1"/>
                <w:color w:val="auto"/>
              </w:rPr>
            </w:pPr>
          </w:p>
        </w:tc>
      </w:tr>
      <w:tr>
        <w:trPr>
          <w:trHeight w:val="525"/>
        </w:trPr>
        <w:tc>
          <w:tcPr>
            <w:tcW w:w="4380" w:type="dxa"/>
            <w:vAlign w:val="bottom"/>
            <w:tcBorders>
              <w:top w:val="single" w:sz="8" w:color="793690"/>
            </w:tcBorders>
          </w:tcPr>
          <w:p>
            <w:pPr>
              <w:spacing w:after="0"/>
              <w:rPr>
                <w:sz w:val="24"/>
                <w:szCs w:val="24"/>
                <w:color w:val="auto"/>
              </w:rPr>
            </w:pPr>
          </w:p>
        </w:tc>
        <w:tc>
          <w:tcPr>
            <w:tcW w:w="1600" w:type="dxa"/>
            <w:vAlign w:val="bottom"/>
            <w:tcBorders>
              <w:top w:val="single" w:sz="8" w:color="793690"/>
            </w:tcBorders>
            <w:gridSpan w:val="2"/>
          </w:tcPr>
          <w:p>
            <w:pPr>
              <w:jc w:val="right"/>
              <w:ind w:right="20"/>
              <w:spacing w:after="0"/>
              <w:rPr>
                <w:sz w:val="20"/>
                <w:szCs w:val="20"/>
                <w:color w:val="auto"/>
              </w:rPr>
            </w:pPr>
            <w:r>
              <w:rPr>
                <w:rFonts w:ascii="Arial" w:cs="Arial" w:eastAsia="Arial" w:hAnsi="Arial"/>
                <w:sz w:val="13"/>
                <w:szCs w:val="13"/>
                <w:b w:val="1"/>
                <w:bCs w:val="1"/>
                <w:color w:val="auto"/>
              </w:rPr>
              <w:t>FVTPL</w:t>
            </w:r>
          </w:p>
        </w:tc>
        <w:tc>
          <w:tcPr>
            <w:tcW w:w="140" w:type="dxa"/>
            <w:vAlign w:val="bottom"/>
            <w:tcBorders>
              <w:top w:val="single" w:sz="8" w:color="793690"/>
            </w:tcBorders>
          </w:tcPr>
          <w:p>
            <w:pPr>
              <w:spacing w:after="0"/>
              <w:rPr>
                <w:sz w:val="24"/>
                <w:szCs w:val="24"/>
                <w:color w:val="auto"/>
              </w:rPr>
            </w:pPr>
          </w:p>
        </w:tc>
        <w:tc>
          <w:tcPr>
            <w:tcW w:w="1600" w:type="dxa"/>
            <w:vAlign w:val="bottom"/>
            <w:tcBorders>
              <w:top w:val="single" w:sz="8" w:color="793690"/>
            </w:tcBorders>
            <w:gridSpan w:val="2"/>
          </w:tcPr>
          <w:p>
            <w:pPr>
              <w:jc w:val="right"/>
              <w:ind w:right="20"/>
              <w:spacing w:after="0"/>
              <w:rPr>
                <w:sz w:val="20"/>
                <w:szCs w:val="20"/>
                <w:color w:val="auto"/>
              </w:rPr>
            </w:pPr>
            <w:r>
              <w:rPr>
                <w:rFonts w:ascii="Arial" w:cs="Arial" w:eastAsia="Arial" w:hAnsi="Arial"/>
                <w:sz w:val="13"/>
                <w:szCs w:val="13"/>
                <w:b w:val="1"/>
                <w:bCs w:val="1"/>
                <w:color w:val="auto"/>
              </w:rPr>
              <w:t>FVTOCI</w:t>
            </w:r>
          </w:p>
        </w:tc>
        <w:tc>
          <w:tcPr>
            <w:tcW w:w="140" w:type="dxa"/>
            <w:vAlign w:val="bottom"/>
            <w:tcBorders>
              <w:top w:val="single" w:sz="8" w:color="793690"/>
            </w:tcBorders>
          </w:tcPr>
          <w:p>
            <w:pPr>
              <w:spacing w:after="0"/>
              <w:rPr>
                <w:sz w:val="24"/>
                <w:szCs w:val="24"/>
                <w:color w:val="auto"/>
              </w:rPr>
            </w:pPr>
          </w:p>
        </w:tc>
        <w:tc>
          <w:tcPr>
            <w:tcW w:w="1620" w:type="dxa"/>
            <w:vAlign w:val="bottom"/>
            <w:tcBorders>
              <w:top w:val="single" w:sz="8" w:color="793690"/>
            </w:tcBorders>
            <w:gridSpan w:val="2"/>
          </w:tcPr>
          <w:p>
            <w:pPr>
              <w:jc w:val="right"/>
              <w:ind w:right="20"/>
              <w:spacing w:after="0"/>
              <w:rPr>
                <w:sz w:val="20"/>
                <w:szCs w:val="20"/>
                <w:color w:val="auto"/>
              </w:rPr>
            </w:pPr>
            <w:r>
              <w:rPr>
                <w:rFonts w:ascii="Arial" w:cs="Arial" w:eastAsia="Arial" w:hAnsi="Arial"/>
                <w:sz w:val="13"/>
                <w:szCs w:val="13"/>
                <w:b w:val="1"/>
                <w:bCs w:val="1"/>
                <w:color w:val="auto"/>
              </w:rPr>
              <w:t>Amortised cost</w:t>
            </w:r>
          </w:p>
        </w:tc>
        <w:tc>
          <w:tcPr>
            <w:tcW w:w="140" w:type="dxa"/>
            <w:vAlign w:val="bottom"/>
            <w:tcBorders>
              <w:top w:val="single" w:sz="8" w:color="793690"/>
            </w:tcBorders>
          </w:tcPr>
          <w:p>
            <w:pPr>
              <w:spacing w:after="0"/>
              <w:rPr>
                <w:sz w:val="24"/>
                <w:szCs w:val="24"/>
                <w:color w:val="auto"/>
              </w:rPr>
            </w:pPr>
          </w:p>
        </w:tc>
        <w:tc>
          <w:tcPr>
            <w:tcW w:w="1600" w:type="dxa"/>
            <w:vAlign w:val="bottom"/>
            <w:tcBorders>
              <w:top w:val="single" w:sz="8" w:color="793690"/>
            </w:tcBorders>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3"/>
        </w:trPr>
        <w:tc>
          <w:tcPr>
            <w:tcW w:w="4380" w:type="dxa"/>
            <w:vAlign w:val="bottom"/>
          </w:tcPr>
          <w:p>
            <w:pPr>
              <w:ind w:left="20"/>
              <w:spacing w:after="0"/>
              <w:rPr>
                <w:sz w:val="20"/>
                <w:szCs w:val="20"/>
                <w:color w:val="auto"/>
              </w:rPr>
            </w:pPr>
            <w:r>
              <w:rPr>
                <w:rFonts w:ascii="Arial" w:cs="Arial" w:eastAsia="Arial" w:hAnsi="Arial"/>
                <w:sz w:val="13"/>
                <w:szCs w:val="13"/>
                <w:b w:val="1"/>
                <w:bCs w:val="1"/>
                <w:color w:val="auto"/>
              </w:rPr>
              <w:t>Financial assets at 31 December 2024</w:t>
            </w:r>
          </w:p>
        </w:tc>
        <w:tc>
          <w:tcPr>
            <w:tcW w:w="16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$m</w:t>
            </w:r>
          </w:p>
        </w:tc>
        <w:tc>
          <w:tcPr>
            <w:tcW w:w="140" w:type="dxa"/>
            <w:vAlign w:val="bottom"/>
          </w:tcPr>
          <w:p>
            <w:pPr>
              <w:spacing w:after="0"/>
              <w:rPr>
                <w:sz w:val="17"/>
                <w:szCs w:val="17"/>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$m</w:t>
            </w:r>
          </w:p>
        </w:tc>
        <w:tc>
          <w:tcPr>
            <w:tcW w:w="140" w:type="dxa"/>
            <w:vAlign w:val="bottom"/>
          </w:tcPr>
          <w:p>
            <w:pPr>
              <w:spacing w:after="0"/>
              <w:rPr>
                <w:sz w:val="17"/>
                <w:szCs w:val="17"/>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$m</w:t>
            </w: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3"/>
                <w:szCs w:val="13"/>
                <w:b w:val="1"/>
                <w:bCs w:val="1"/>
                <w:color w:val="auto"/>
              </w:rPr>
              <w:t>$m</w:t>
            </w:r>
          </w:p>
        </w:tc>
        <w:tc>
          <w:tcPr>
            <w:tcW w:w="0" w:type="dxa"/>
            <w:vAlign w:val="bottom"/>
          </w:tcPr>
          <w:p>
            <w:pPr>
              <w:spacing w:after="0"/>
              <w:rPr>
                <w:sz w:val="1"/>
                <w:szCs w:val="1"/>
                <w:color w:val="auto"/>
              </w:rPr>
            </w:pPr>
          </w:p>
        </w:tc>
      </w:tr>
      <w:tr>
        <w:trPr>
          <w:trHeight w:val="22"/>
        </w:trPr>
        <w:tc>
          <w:tcPr>
            <w:tcW w:w="4380" w:type="dxa"/>
            <w:vAlign w:val="bottom"/>
            <w:tcBorders>
              <w:bottom w:val="single" w:sz="8" w:color="793690"/>
            </w:tcBorders>
          </w:tcPr>
          <w:p>
            <w:pPr>
              <w:spacing w:after="0" w:line="20" w:lineRule="exact"/>
              <w:rPr>
                <w:sz w:val="1"/>
                <w:szCs w:val="1"/>
                <w:color w:val="auto"/>
              </w:rPr>
            </w:pPr>
          </w:p>
        </w:tc>
        <w:tc>
          <w:tcPr>
            <w:tcW w:w="1600" w:type="dxa"/>
            <w:vAlign w:val="bottom"/>
            <w:tcBorders>
              <w:bottom w:val="single" w:sz="8" w:color="793690"/>
            </w:tcBorders>
            <w:gridSpan w:val="2"/>
          </w:tcPr>
          <w:p>
            <w:pPr>
              <w:spacing w:after="0" w:line="20" w:lineRule="exact"/>
              <w:rPr>
                <w:sz w:val="1"/>
                <w:szCs w:val="1"/>
                <w:color w:val="auto"/>
              </w:rPr>
            </w:pPr>
          </w:p>
        </w:tc>
        <w:tc>
          <w:tcPr>
            <w:tcW w:w="1700" w:type="dxa"/>
            <w:vAlign w:val="bottom"/>
            <w:tcBorders>
              <w:bottom w:val="single" w:sz="8" w:color="793690"/>
            </w:tcBorders>
            <w:gridSpan w:val="2"/>
          </w:tcPr>
          <w:p>
            <w:pPr>
              <w:spacing w:after="0" w:line="20" w:lineRule="exact"/>
              <w:rPr>
                <w:sz w:val="1"/>
                <w:szCs w:val="1"/>
                <w:color w:val="auto"/>
              </w:rPr>
            </w:pPr>
          </w:p>
        </w:tc>
        <w:tc>
          <w:tcPr>
            <w:tcW w:w="40" w:type="dxa"/>
            <w:vAlign w:val="bottom"/>
            <w:tcBorders>
              <w:bottom w:val="single" w:sz="8" w:color="793690"/>
            </w:tcBorders>
          </w:tcPr>
          <w:p>
            <w:pPr>
              <w:spacing w:after="0" w:line="20" w:lineRule="exact"/>
              <w:rPr>
                <w:sz w:val="1"/>
                <w:szCs w:val="1"/>
                <w:color w:val="auto"/>
              </w:rPr>
            </w:pPr>
          </w:p>
        </w:tc>
        <w:tc>
          <w:tcPr>
            <w:tcW w:w="140" w:type="dxa"/>
            <w:vAlign w:val="bottom"/>
            <w:tcBorders>
              <w:bottom w:val="single" w:sz="8" w:color="793690"/>
            </w:tcBorders>
          </w:tcPr>
          <w:p>
            <w:pPr>
              <w:spacing w:after="0" w:line="20" w:lineRule="exact"/>
              <w:rPr>
                <w:sz w:val="1"/>
                <w:szCs w:val="1"/>
                <w:color w:val="auto"/>
              </w:rPr>
            </w:pPr>
          </w:p>
        </w:tc>
        <w:tc>
          <w:tcPr>
            <w:tcW w:w="1620" w:type="dxa"/>
            <w:vAlign w:val="bottom"/>
            <w:tcBorders>
              <w:bottom w:val="single" w:sz="8" w:color="793690"/>
            </w:tcBorders>
            <w:gridSpan w:val="2"/>
          </w:tcPr>
          <w:p>
            <w:pPr>
              <w:spacing w:after="0" w:line="20" w:lineRule="exact"/>
              <w:rPr>
                <w:sz w:val="1"/>
                <w:szCs w:val="1"/>
                <w:color w:val="auto"/>
              </w:rPr>
            </w:pPr>
          </w:p>
        </w:tc>
        <w:tc>
          <w:tcPr>
            <w:tcW w:w="1740" w:type="dxa"/>
            <w:vAlign w:val="bottom"/>
            <w:tcBorders>
              <w:bottom w:val="single" w:sz="8" w:color="793690"/>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20"/>
              <w:spacing w:after="0"/>
              <w:rPr>
                <w:sz w:val="20"/>
                <w:szCs w:val="20"/>
                <w:color w:val="auto"/>
              </w:rPr>
            </w:pPr>
            <w:r>
              <w:rPr>
                <w:rFonts w:ascii="Arial" w:cs="Arial" w:eastAsia="Arial" w:hAnsi="Arial"/>
                <w:sz w:val="15"/>
                <w:szCs w:val="15"/>
                <w:color w:val="auto"/>
              </w:rPr>
              <w:t>Investments</w:t>
            </w: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24.0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24.0</w:t>
            </w:r>
          </w:p>
        </w:tc>
        <w:tc>
          <w:tcPr>
            <w:tcW w:w="0" w:type="dxa"/>
            <w:vAlign w:val="bottom"/>
          </w:tcPr>
          <w:p>
            <w:pPr>
              <w:spacing w:after="0"/>
              <w:rPr>
                <w:sz w:val="1"/>
                <w:szCs w:val="1"/>
                <w:color w:val="auto"/>
              </w:rPr>
            </w:pPr>
          </w:p>
        </w:tc>
      </w:tr>
      <w:tr>
        <w:trPr>
          <w:trHeight w:val="33"/>
        </w:trPr>
        <w:tc>
          <w:tcPr>
            <w:tcW w:w="4380" w:type="dxa"/>
            <w:vAlign w:val="bottom"/>
            <w:tcBorders>
              <w:bottom w:val="single" w:sz="8" w:color="DBDBDB"/>
            </w:tcBorders>
          </w:tcPr>
          <w:p>
            <w:pPr>
              <w:spacing w:after="0"/>
              <w:rPr>
                <w:sz w:val="2"/>
                <w:szCs w:val="2"/>
                <w:color w:val="auto"/>
              </w:rPr>
            </w:pPr>
          </w:p>
        </w:tc>
        <w:tc>
          <w:tcPr>
            <w:tcW w:w="1560" w:type="dxa"/>
            <w:vAlign w:val="bottom"/>
            <w:tcBorders>
              <w:bottom w:val="single" w:sz="8" w:color="CCCCD3"/>
            </w:tcBorders>
          </w:tcPr>
          <w:p>
            <w:pPr>
              <w:spacing w:after="0"/>
              <w:rPr>
                <w:sz w:val="2"/>
                <w:szCs w:val="2"/>
                <w:color w:val="auto"/>
              </w:rPr>
            </w:pPr>
          </w:p>
        </w:tc>
        <w:tc>
          <w:tcPr>
            <w:tcW w:w="40" w:type="dxa"/>
            <w:vAlign w:val="bottom"/>
            <w:tcBorders>
              <w:bottom w:val="single" w:sz="8" w:color="CCCCD3"/>
            </w:tcBorders>
          </w:tcPr>
          <w:p>
            <w:pPr>
              <w:spacing w:after="0"/>
              <w:rPr>
                <w:sz w:val="2"/>
                <w:szCs w:val="2"/>
                <w:color w:val="auto"/>
              </w:rPr>
            </w:pPr>
          </w:p>
        </w:tc>
        <w:tc>
          <w:tcPr>
            <w:tcW w:w="140" w:type="dxa"/>
            <w:vAlign w:val="bottom"/>
            <w:tcBorders>
              <w:bottom w:val="single" w:sz="8" w:color="CCCCD3"/>
            </w:tcBorders>
          </w:tcPr>
          <w:p>
            <w:pPr>
              <w:spacing w:after="0"/>
              <w:rPr>
                <w:sz w:val="2"/>
                <w:szCs w:val="2"/>
                <w:color w:val="auto"/>
              </w:rPr>
            </w:pPr>
          </w:p>
        </w:tc>
        <w:tc>
          <w:tcPr>
            <w:tcW w:w="1600" w:type="dxa"/>
            <w:vAlign w:val="bottom"/>
            <w:tcBorders>
              <w:bottom w:val="single" w:sz="8" w:color="CCCCD3"/>
            </w:tcBorders>
            <w:gridSpan w:val="2"/>
          </w:tcPr>
          <w:p>
            <w:pPr>
              <w:spacing w:after="0"/>
              <w:rPr>
                <w:sz w:val="2"/>
                <w:szCs w:val="2"/>
                <w:color w:val="auto"/>
              </w:rPr>
            </w:pPr>
          </w:p>
        </w:tc>
        <w:tc>
          <w:tcPr>
            <w:tcW w:w="1720" w:type="dxa"/>
            <w:vAlign w:val="bottom"/>
            <w:tcBorders>
              <w:bottom w:val="single" w:sz="8" w:color="CCCCD3"/>
            </w:tcBorders>
            <w:gridSpan w:val="2"/>
          </w:tcPr>
          <w:p>
            <w:pPr>
              <w:spacing w:after="0"/>
              <w:rPr>
                <w:sz w:val="2"/>
                <w:szCs w:val="2"/>
                <w:color w:val="auto"/>
              </w:rPr>
            </w:pPr>
          </w:p>
        </w:tc>
        <w:tc>
          <w:tcPr>
            <w:tcW w:w="40" w:type="dxa"/>
            <w:vAlign w:val="bottom"/>
            <w:tcBorders>
              <w:bottom w:val="single" w:sz="8" w:color="CCCCD3"/>
            </w:tcBorders>
          </w:tcPr>
          <w:p>
            <w:pPr>
              <w:spacing w:after="0"/>
              <w:rPr>
                <w:sz w:val="2"/>
                <w:szCs w:val="2"/>
                <w:color w:val="auto"/>
              </w:rPr>
            </w:pPr>
          </w:p>
        </w:tc>
        <w:tc>
          <w:tcPr>
            <w:tcW w:w="1740" w:type="dxa"/>
            <w:vAlign w:val="bottom"/>
            <w:tcBorders>
              <w:bottom w:val="single" w:sz="8" w:color="DBDBDB"/>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Treasury instruments</w:t>
            </w:r>
            <w:r>
              <w:rPr>
                <w:rFonts w:ascii="Arial" w:cs="Arial" w:eastAsia="Arial" w:hAnsi="Arial"/>
                <w:sz w:val="19"/>
                <w:szCs w:val="19"/>
                <w:color w:val="auto"/>
                <w:vertAlign w:val="superscript"/>
              </w:rPr>
              <w:t>1</w:t>
            </w:r>
          </w:p>
        </w:tc>
        <w:tc>
          <w:tcPr>
            <w:tcW w:w="1560" w:type="dxa"/>
            <w:vAlign w:val="bottom"/>
            <w:tcBorders>
              <w:bottom w:val="single" w:sz="8" w:color="CCCCD3"/>
            </w:tcBorders>
          </w:tcPr>
          <w:p>
            <w:pPr>
              <w:jc w:val="right"/>
              <w:spacing w:after="0"/>
              <w:rPr>
                <w:sz w:val="20"/>
                <w:szCs w:val="20"/>
                <w:color w:val="auto"/>
              </w:rPr>
            </w:pPr>
            <w:r>
              <w:rPr>
                <w:rFonts w:ascii="Arial" w:cs="Arial" w:eastAsia="Arial" w:hAnsi="Arial"/>
                <w:sz w:val="15"/>
                <w:szCs w:val="15"/>
                <w:color w:val="auto"/>
              </w:rPr>
              <w:t>29.7</w:t>
            </w:r>
          </w:p>
        </w:tc>
        <w:tc>
          <w:tcPr>
            <w:tcW w:w="40" w:type="dxa"/>
            <w:vAlign w:val="bottom"/>
            <w:tcBorders>
              <w:bottom w:val="single" w:sz="8" w:color="CCCCD3"/>
            </w:tcBorders>
          </w:tcPr>
          <w:p>
            <w:pPr>
              <w:spacing w:after="0"/>
              <w:rPr>
                <w:sz w:val="20"/>
                <w:szCs w:val="20"/>
                <w:color w:val="auto"/>
              </w:rPr>
            </w:pPr>
          </w:p>
        </w:tc>
        <w:tc>
          <w:tcPr>
            <w:tcW w:w="140" w:type="dxa"/>
            <w:vAlign w:val="bottom"/>
            <w:tcBorders>
              <w:bottom w:val="single" w:sz="8" w:color="CCCCD3"/>
            </w:tcBorders>
          </w:tcPr>
          <w:p>
            <w:pPr>
              <w:spacing w:after="0"/>
              <w:rPr>
                <w:sz w:val="20"/>
                <w:szCs w:val="20"/>
                <w:color w:val="auto"/>
              </w:rPr>
            </w:pPr>
          </w:p>
        </w:tc>
        <w:tc>
          <w:tcPr>
            <w:tcW w:w="1600" w:type="dxa"/>
            <w:vAlign w:val="bottom"/>
            <w:tcBorders>
              <w:bottom w:val="single" w:sz="8" w:color="CCCCD3"/>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CCCCD3"/>
            </w:tcBorders>
            <w:gridSpan w:val="2"/>
          </w:tcPr>
          <w:p>
            <w:pPr>
              <w:jc w:val="right"/>
              <w:spacing w:after="0"/>
              <w:rPr>
                <w:sz w:val="20"/>
                <w:szCs w:val="20"/>
                <w:color w:val="auto"/>
              </w:rPr>
            </w:pPr>
            <w:r>
              <w:rPr>
                <w:rFonts w:ascii="Arial" w:cs="Arial" w:eastAsia="Arial" w:hAnsi="Arial"/>
                <w:sz w:val="15"/>
                <w:szCs w:val="15"/>
                <w:color w:val="auto"/>
              </w:rPr>
              <w:t>3,539.0</w:t>
            </w:r>
          </w:p>
        </w:tc>
        <w:tc>
          <w:tcPr>
            <w:tcW w:w="40" w:type="dxa"/>
            <w:vAlign w:val="bottom"/>
            <w:tcBorders>
              <w:bottom w:val="single" w:sz="8" w:color="CCCCD3"/>
            </w:tcBorders>
          </w:tcPr>
          <w:p>
            <w:pPr>
              <w:spacing w:after="0"/>
              <w:rPr>
                <w:sz w:val="20"/>
                <w:szCs w:val="20"/>
                <w:color w:val="auto"/>
              </w:rPr>
            </w:pPr>
          </w:p>
        </w:tc>
        <w:tc>
          <w:tcPr>
            <w:tcW w:w="1740" w:type="dxa"/>
            <w:vAlign w:val="bottom"/>
            <w:tcBorders>
              <w:bottom w:val="single" w:sz="8" w:color="DBDBDB"/>
            </w:tcBorders>
            <w:gridSpan w:val="2"/>
          </w:tcPr>
          <w:p>
            <w:pPr>
              <w:jc w:val="right"/>
              <w:spacing w:after="0"/>
              <w:rPr>
                <w:sz w:val="20"/>
                <w:szCs w:val="20"/>
                <w:color w:val="auto"/>
              </w:rPr>
            </w:pPr>
            <w:r>
              <w:rPr>
                <w:rFonts w:ascii="Arial" w:cs="Arial" w:eastAsia="Arial" w:hAnsi="Arial"/>
                <w:sz w:val="15"/>
                <w:szCs w:val="15"/>
                <w:color w:val="auto"/>
              </w:rPr>
              <w:t>3,568.7</w:t>
            </w:r>
          </w:p>
        </w:tc>
        <w:tc>
          <w:tcPr>
            <w:tcW w:w="0" w:type="dxa"/>
            <w:vAlign w:val="bottom"/>
          </w:tcPr>
          <w:p>
            <w:pPr>
              <w:spacing w:after="0"/>
              <w:rPr>
                <w:sz w:val="1"/>
                <w:szCs w:val="1"/>
                <w:color w:val="auto"/>
              </w:rPr>
            </w:pPr>
          </w:p>
        </w:tc>
      </w:tr>
      <w:tr>
        <w:trPr>
          <w:trHeight w:val="203"/>
        </w:trPr>
        <w:tc>
          <w:tcPr>
            <w:tcW w:w="4380" w:type="dxa"/>
            <w:vAlign w:val="bottom"/>
          </w:tcPr>
          <w:p>
            <w:pPr>
              <w:ind w:left="20"/>
              <w:spacing w:after="0"/>
              <w:rPr>
                <w:sz w:val="20"/>
                <w:szCs w:val="20"/>
                <w:color w:val="auto"/>
              </w:rPr>
            </w:pPr>
            <w:r>
              <w:rPr>
                <w:rFonts w:ascii="Arial" w:cs="Arial" w:eastAsia="Arial" w:hAnsi="Arial"/>
                <w:sz w:val="15"/>
                <w:szCs w:val="15"/>
                <w:color w:val="auto"/>
              </w:rPr>
              <w:t>Fixed income securities</w:t>
            </w:r>
          </w:p>
        </w:tc>
        <w:tc>
          <w:tcPr>
            <w:tcW w:w="1560" w:type="dxa"/>
            <w:vAlign w:val="bottom"/>
          </w:tcPr>
          <w:p>
            <w:pPr>
              <w:jc w:val="right"/>
              <w:spacing w:after="0"/>
              <w:rPr>
                <w:sz w:val="20"/>
                <w:szCs w:val="20"/>
                <w:color w:val="auto"/>
              </w:rPr>
            </w:pPr>
            <w:r>
              <w:rPr>
                <w:rFonts w:ascii="Arial" w:cs="Arial" w:eastAsia="Arial" w:hAnsi="Arial"/>
                <w:sz w:val="15"/>
                <w:szCs w:val="15"/>
                <w:color w:val="auto"/>
              </w:rPr>
              <w:t>87.7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87.7</w:t>
            </w:r>
          </w:p>
        </w:tc>
        <w:tc>
          <w:tcPr>
            <w:tcW w:w="0" w:type="dxa"/>
            <w:vAlign w:val="bottom"/>
          </w:tcPr>
          <w:p>
            <w:pPr>
              <w:spacing w:after="0"/>
              <w:rPr>
                <w:sz w:val="1"/>
                <w:szCs w:val="1"/>
                <w:color w:val="auto"/>
              </w:rPr>
            </w:pPr>
          </w:p>
        </w:tc>
      </w:tr>
      <w:tr>
        <w:trPr>
          <w:trHeight w:val="33"/>
        </w:trPr>
        <w:tc>
          <w:tcPr>
            <w:tcW w:w="4380" w:type="dxa"/>
            <w:vAlign w:val="bottom"/>
            <w:tcBorders>
              <w:bottom w:val="single" w:sz="8" w:color="DBDBDB"/>
            </w:tcBorders>
          </w:tcPr>
          <w:p>
            <w:pPr>
              <w:spacing w:after="0"/>
              <w:rPr>
                <w:sz w:val="2"/>
                <w:szCs w:val="2"/>
                <w:color w:val="auto"/>
              </w:rPr>
            </w:pPr>
          </w:p>
        </w:tc>
        <w:tc>
          <w:tcPr>
            <w:tcW w:w="1560" w:type="dxa"/>
            <w:vAlign w:val="bottom"/>
            <w:tcBorders>
              <w:bottom w:val="single" w:sz="8" w:color="CCCCD3"/>
            </w:tcBorders>
          </w:tcPr>
          <w:p>
            <w:pPr>
              <w:spacing w:after="0"/>
              <w:rPr>
                <w:sz w:val="2"/>
                <w:szCs w:val="2"/>
                <w:color w:val="auto"/>
              </w:rPr>
            </w:pPr>
          </w:p>
        </w:tc>
        <w:tc>
          <w:tcPr>
            <w:tcW w:w="40" w:type="dxa"/>
            <w:vAlign w:val="bottom"/>
            <w:tcBorders>
              <w:bottom w:val="single" w:sz="8" w:color="CCCCD3"/>
            </w:tcBorders>
          </w:tcPr>
          <w:p>
            <w:pPr>
              <w:spacing w:after="0"/>
              <w:rPr>
                <w:sz w:val="2"/>
                <w:szCs w:val="2"/>
                <w:color w:val="auto"/>
              </w:rPr>
            </w:pPr>
          </w:p>
        </w:tc>
        <w:tc>
          <w:tcPr>
            <w:tcW w:w="140" w:type="dxa"/>
            <w:vAlign w:val="bottom"/>
            <w:tcBorders>
              <w:bottom w:val="single" w:sz="8" w:color="CCCCD3"/>
            </w:tcBorders>
          </w:tcPr>
          <w:p>
            <w:pPr>
              <w:spacing w:after="0"/>
              <w:rPr>
                <w:sz w:val="2"/>
                <w:szCs w:val="2"/>
                <w:color w:val="auto"/>
              </w:rPr>
            </w:pPr>
          </w:p>
        </w:tc>
        <w:tc>
          <w:tcPr>
            <w:tcW w:w="1600" w:type="dxa"/>
            <w:vAlign w:val="bottom"/>
            <w:tcBorders>
              <w:bottom w:val="single" w:sz="8" w:color="CCCCD3"/>
            </w:tcBorders>
            <w:gridSpan w:val="2"/>
          </w:tcPr>
          <w:p>
            <w:pPr>
              <w:spacing w:after="0"/>
              <w:rPr>
                <w:sz w:val="2"/>
                <w:szCs w:val="2"/>
                <w:color w:val="auto"/>
              </w:rPr>
            </w:pPr>
          </w:p>
        </w:tc>
        <w:tc>
          <w:tcPr>
            <w:tcW w:w="140" w:type="dxa"/>
            <w:vAlign w:val="bottom"/>
            <w:tcBorders>
              <w:bottom w:val="single" w:sz="8" w:color="CCCCD3"/>
            </w:tcBorders>
          </w:tcPr>
          <w:p>
            <w:pPr>
              <w:spacing w:after="0"/>
              <w:rPr>
                <w:sz w:val="2"/>
                <w:szCs w:val="2"/>
                <w:color w:val="auto"/>
              </w:rPr>
            </w:pPr>
          </w:p>
        </w:tc>
        <w:tc>
          <w:tcPr>
            <w:tcW w:w="1620" w:type="dxa"/>
            <w:vAlign w:val="bottom"/>
            <w:tcBorders>
              <w:bottom w:val="single" w:sz="8" w:color="CCCCD3"/>
            </w:tcBorders>
            <w:gridSpan w:val="2"/>
          </w:tcPr>
          <w:p>
            <w:pPr>
              <w:spacing w:after="0"/>
              <w:rPr>
                <w:sz w:val="2"/>
                <w:szCs w:val="2"/>
                <w:color w:val="auto"/>
              </w:rPr>
            </w:pPr>
          </w:p>
        </w:tc>
        <w:tc>
          <w:tcPr>
            <w:tcW w:w="1740" w:type="dxa"/>
            <w:vAlign w:val="bottom"/>
            <w:tcBorders>
              <w:bottom w:val="single" w:sz="8" w:color="DBDBDB"/>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20"/>
              <w:spacing w:after="0"/>
              <w:rPr>
                <w:sz w:val="20"/>
                <w:szCs w:val="20"/>
                <w:color w:val="auto"/>
              </w:rPr>
            </w:pPr>
            <w:r>
              <w:rPr>
                <w:rFonts w:ascii="Arial" w:cs="Arial" w:eastAsia="Arial" w:hAnsi="Arial"/>
                <w:sz w:val="15"/>
                <w:szCs w:val="15"/>
                <w:color w:val="auto"/>
              </w:rPr>
              <w:t>Equity instruments</w:t>
            </w:r>
          </w:p>
        </w:tc>
        <w:tc>
          <w:tcPr>
            <w:tcW w:w="1560" w:type="dxa"/>
            <w:vAlign w:val="bottom"/>
          </w:tcPr>
          <w:p>
            <w:pPr>
              <w:jc w:val="right"/>
              <w:spacing w:after="0"/>
              <w:rPr>
                <w:sz w:val="20"/>
                <w:szCs w:val="20"/>
                <w:color w:val="auto"/>
              </w:rPr>
            </w:pPr>
            <w:r>
              <w:rPr>
                <w:rFonts w:ascii="Arial" w:cs="Arial" w:eastAsia="Arial" w:hAnsi="Arial"/>
                <w:sz w:val="15"/>
                <w:szCs w:val="15"/>
                <w:color w:val="auto"/>
              </w:rPr>
              <w:t>4,678.0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4,678.0</w:t>
            </w:r>
          </w:p>
        </w:tc>
        <w:tc>
          <w:tcPr>
            <w:tcW w:w="0" w:type="dxa"/>
            <w:vAlign w:val="bottom"/>
          </w:tcPr>
          <w:p>
            <w:pPr>
              <w:spacing w:after="0"/>
              <w:rPr>
                <w:sz w:val="1"/>
                <w:szCs w:val="1"/>
                <w:color w:val="auto"/>
              </w:rPr>
            </w:pPr>
          </w:p>
        </w:tc>
      </w:tr>
      <w:tr>
        <w:trPr>
          <w:trHeight w:val="33"/>
        </w:trPr>
        <w:tc>
          <w:tcPr>
            <w:tcW w:w="4380" w:type="dxa"/>
            <w:vAlign w:val="bottom"/>
            <w:tcBorders>
              <w:bottom w:val="single" w:sz="8" w:color="DBDBDB"/>
            </w:tcBorders>
          </w:tcPr>
          <w:p>
            <w:pPr>
              <w:spacing w:after="0"/>
              <w:rPr>
                <w:sz w:val="2"/>
                <w:szCs w:val="2"/>
                <w:color w:val="auto"/>
              </w:rPr>
            </w:pPr>
          </w:p>
        </w:tc>
        <w:tc>
          <w:tcPr>
            <w:tcW w:w="1560" w:type="dxa"/>
            <w:vAlign w:val="bottom"/>
            <w:tcBorders>
              <w:bottom w:val="single" w:sz="8" w:color="CCCCD3"/>
            </w:tcBorders>
          </w:tcPr>
          <w:p>
            <w:pPr>
              <w:spacing w:after="0"/>
              <w:rPr>
                <w:sz w:val="2"/>
                <w:szCs w:val="2"/>
                <w:color w:val="auto"/>
              </w:rPr>
            </w:pPr>
          </w:p>
        </w:tc>
        <w:tc>
          <w:tcPr>
            <w:tcW w:w="40" w:type="dxa"/>
            <w:vAlign w:val="bottom"/>
            <w:tcBorders>
              <w:bottom w:val="single" w:sz="8" w:color="CCCCD3"/>
            </w:tcBorders>
          </w:tcPr>
          <w:p>
            <w:pPr>
              <w:spacing w:after="0"/>
              <w:rPr>
                <w:sz w:val="2"/>
                <w:szCs w:val="2"/>
                <w:color w:val="auto"/>
              </w:rPr>
            </w:pPr>
          </w:p>
        </w:tc>
        <w:tc>
          <w:tcPr>
            <w:tcW w:w="1700" w:type="dxa"/>
            <w:vAlign w:val="bottom"/>
            <w:tcBorders>
              <w:bottom w:val="single" w:sz="8" w:color="CCCCD3"/>
            </w:tcBorders>
            <w:gridSpan w:val="2"/>
          </w:tcPr>
          <w:p>
            <w:pPr>
              <w:spacing w:after="0"/>
              <w:rPr>
                <w:sz w:val="2"/>
                <w:szCs w:val="2"/>
                <w:color w:val="auto"/>
              </w:rPr>
            </w:pPr>
          </w:p>
        </w:tc>
        <w:tc>
          <w:tcPr>
            <w:tcW w:w="40" w:type="dxa"/>
            <w:vAlign w:val="bottom"/>
            <w:tcBorders>
              <w:bottom w:val="single" w:sz="8" w:color="CCCCD3"/>
            </w:tcBorders>
          </w:tcPr>
          <w:p>
            <w:pPr>
              <w:spacing w:after="0"/>
              <w:rPr>
                <w:sz w:val="2"/>
                <w:szCs w:val="2"/>
                <w:color w:val="auto"/>
              </w:rPr>
            </w:pPr>
          </w:p>
        </w:tc>
        <w:tc>
          <w:tcPr>
            <w:tcW w:w="140" w:type="dxa"/>
            <w:vAlign w:val="bottom"/>
            <w:tcBorders>
              <w:bottom w:val="single" w:sz="8" w:color="CCCCD3"/>
            </w:tcBorders>
          </w:tcPr>
          <w:p>
            <w:pPr>
              <w:spacing w:after="0"/>
              <w:rPr>
                <w:sz w:val="2"/>
                <w:szCs w:val="2"/>
                <w:color w:val="auto"/>
              </w:rPr>
            </w:pPr>
          </w:p>
        </w:tc>
        <w:tc>
          <w:tcPr>
            <w:tcW w:w="1620" w:type="dxa"/>
            <w:vAlign w:val="bottom"/>
            <w:tcBorders>
              <w:bottom w:val="single" w:sz="8" w:color="CCCCD3"/>
            </w:tcBorders>
            <w:gridSpan w:val="2"/>
          </w:tcPr>
          <w:p>
            <w:pPr>
              <w:spacing w:after="0"/>
              <w:rPr>
                <w:sz w:val="2"/>
                <w:szCs w:val="2"/>
                <w:color w:val="auto"/>
              </w:rPr>
            </w:pPr>
          </w:p>
        </w:tc>
        <w:tc>
          <w:tcPr>
            <w:tcW w:w="1740" w:type="dxa"/>
            <w:vAlign w:val="bottom"/>
            <w:tcBorders>
              <w:bottom w:val="single" w:sz="8" w:color="DBDBDB"/>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20"/>
              <w:spacing w:after="0"/>
              <w:rPr>
                <w:sz w:val="20"/>
                <w:szCs w:val="20"/>
                <w:color w:val="auto"/>
              </w:rPr>
            </w:pPr>
            <w:r>
              <w:rPr>
                <w:rFonts w:ascii="Arial" w:cs="Arial" w:eastAsia="Arial" w:hAnsi="Arial"/>
                <w:sz w:val="15"/>
                <w:szCs w:val="15"/>
                <w:color w:val="auto"/>
              </w:rPr>
              <w:t>Derivative instruments</w:t>
            </w:r>
          </w:p>
        </w:tc>
        <w:tc>
          <w:tcPr>
            <w:tcW w:w="1560" w:type="dxa"/>
            <w:vAlign w:val="bottom"/>
          </w:tcPr>
          <w:p>
            <w:pPr>
              <w:jc w:val="right"/>
              <w:spacing w:after="0"/>
              <w:rPr>
                <w:sz w:val="20"/>
                <w:szCs w:val="20"/>
                <w:color w:val="auto"/>
              </w:rPr>
            </w:pPr>
            <w:r>
              <w:rPr>
                <w:rFonts w:ascii="Arial" w:cs="Arial" w:eastAsia="Arial" w:hAnsi="Arial"/>
                <w:sz w:val="15"/>
                <w:szCs w:val="15"/>
                <w:color w:val="auto"/>
              </w:rPr>
              <w:t>1,162.0</w:t>
            </w:r>
          </w:p>
        </w:tc>
        <w:tc>
          <w:tcPr>
            <w:tcW w:w="4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1.5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1,163.5</w:t>
            </w:r>
          </w:p>
        </w:tc>
        <w:tc>
          <w:tcPr>
            <w:tcW w:w="0" w:type="dxa"/>
            <w:vAlign w:val="bottom"/>
          </w:tcPr>
          <w:p>
            <w:pPr>
              <w:spacing w:after="0"/>
              <w:rPr>
                <w:sz w:val="1"/>
                <w:szCs w:val="1"/>
                <w:color w:val="auto"/>
              </w:rPr>
            </w:pPr>
          </w:p>
        </w:tc>
      </w:tr>
      <w:tr>
        <w:trPr>
          <w:trHeight w:val="33"/>
        </w:trPr>
        <w:tc>
          <w:tcPr>
            <w:tcW w:w="4380" w:type="dxa"/>
            <w:vAlign w:val="bottom"/>
            <w:tcBorders>
              <w:bottom w:val="single" w:sz="8" w:color="DBDBDB"/>
            </w:tcBorders>
          </w:tcPr>
          <w:p>
            <w:pPr>
              <w:spacing w:after="0"/>
              <w:rPr>
                <w:sz w:val="2"/>
                <w:szCs w:val="2"/>
                <w:color w:val="auto"/>
              </w:rPr>
            </w:pPr>
          </w:p>
        </w:tc>
        <w:tc>
          <w:tcPr>
            <w:tcW w:w="1560" w:type="dxa"/>
            <w:vAlign w:val="bottom"/>
            <w:tcBorders>
              <w:bottom w:val="single" w:sz="8" w:color="CCCCD3"/>
            </w:tcBorders>
          </w:tcPr>
          <w:p>
            <w:pPr>
              <w:spacing w:after="0"/>
              <w:rPr>
                <w:sz w:val="2"/>
                <w:szCs w:val="2"/>
                <w:color w:val="auto"/>
              </w:rPr>
            </w:pPr>
          </w:p>
        </w:tc>
        <w:tc>
          <w:tcPr>
            <w:tcW w:w="40" w:type="dxa"/>
            <w:vAlign w:val="bottom"/>
            <w:tcBorders>
              <w:bottom w:val="single" w:sz="8" w:color="CCCCD3"/>
            </w:tcBorders>
          </w:tcPr>
          <w:p>
            <w:pPr>
              <w:spacing w:after="0"/>
              <w:rPr>
                <w:sz w:val="2"/>
                <w:szCs w:val="2"/>
                <w:color w:val="auto"/>
              </w:rPr>
            </w:pPr>
          </w:p>
        </w:tc>
        <w:tc>
          <w:tcPr>
            <w:tcW w:w="140" w:type="dxa"/>
            <w:vAlign w:val="bottom"/>
            <w:tcBorders>
              <w:bottom w:val="single" w:sz="8" w:color="CCCCD3"/>
            </w:tcBorders>
          </w:tcPr>
          <w:p>
            <w:pPr>
              <w:spacing w:after="0"/>
              <w:rPr>
                <w:sz w:val="2"/>
                <w:szCs w:val="2"/>
                <w:color w:val="auto"/>
              </w:rPr>
            </w:pPr>
          </w:p>
        </w:tc>
        <w:tc>
          <w:tcPr>
            <w:tcW w:w="1600" w:type="dxa"/>
            <w:vAlign w:val="bottom"/>
            <w:tcBorders>
              <w:bottom w:val="single" w:sz="8" w:color="CCCCD3"/>
            </w:tcBorders>
            <w:gridSpan w:val="2"/>
          </w:tcPr>
          <w:p>
            <w:pPr>
              <w:spacing w:after="0"/>
              <w:rPr>
                <w:sz w:val="2"/>
                <w:szCs w:val="2"/>
                <w:color w:val="auto"/>
              </w:rPr>
            </w:pPr>
          </w:p>
        </w:tc>
        <w:tc>
          <w:tcPr>
            <w:tcW w:w="140" w:type="dxa"/>
            <w:vAlign w:val="bottom"/>
            <w:tcBorders>
              <w:bottom w:val="single" w:sz="8" w:color="CCCCD3"/>
            </w:tcBorders>
          </w:tcPr>
          <w:p>
            <w:pPr>
              <w:spacing w:after="0"/>
              <w:rPr>
                <w:sz w:val="2"/>
                <w:szCs w:val="2"/>
                <w:color w:val="auto"/>
              </w:rPr>
            </w:pPr>
          </w:p>
        </w:tc>
        <w:tc>
          <w:tcPr>
            <w:tcW w:w="1620" w:type="dxa"/>
            <w:vAlign w:val="bottom"/>
            <w:tcBorders>
              <w:bottom w:val="single" w:sz="8" w:color="CCCCD3"/>
            </w:tcBorders>
            <w:gridSpan w:val="2"/>
          </w:tcPr>
          <w:p>
            <w:pPr>
              <w:spacing w:after="0"/>
              <w:rPr>
                <w:sz w:val="2"/>
                <w:szCs w:val="2"/>
                <w:color w:val="auto"/>
              </w:rPr>
            </w:pPr>
          </w:p>
        </w:tc>
        <w:tc>
          <w:tcPr>
            <w:tcW w:w="1740" w:type="dxa"/>
            <w:vAlign w:val="bottom"/>
            <w:tcBorders>
              <w:bottom w:val="single" w:sz="8" w:color="DBDBDB"/>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380" w:type="dxa"/>
            <w:vAlign w:val="bottom"/>
          </w:tcPr>
          <w:p>
            <w:pPr>
              <w:ind w:left="20"/>
              <w:spacing w:after="0"/>
              <w:rPr>
                <w:sz w:val="20"/>
                <w:szCs w:val="20"/>
                <w:color w:val="auto"/>
              </w:rPr>
            </w:pPr>
            <w:r>
              <w:rPr>
                <w:rFonts w:ascii="Arial" w:cs="Arial" w:eastAsia="Arial" w:hAnsi="Arial"/>
                <w:sz w:val="15"/>
                <w:szCs w:val="15"/>
                <w:color w:val="auto"/>
              </w:rPr>
              <w:t>Stock borrowing</w:t>
            </w:r>
          </w:p>
        </w:tc>
        <w:tc>
          <w:tcPr>
            <w:tcW w:w="1560" w:type="dxa"/>
            <w:vAlign w:val="bottom"/>
          </w:tcPr>
          <w:p>
            <w:pPr>
              <w:jc w:val="right"/>
              <w:spacing w:after="0"/>
              <w:rPr>
                <w:sz w:val="20"/>
                <w:szCs w:val="20"/>
                <w:color w:val="auto"/>
              </w:rPr>
            </w:pPr>
            <w:r>
              <w:rPr>
                <w:rFonts w:ascii="Arial" w:cs="Arial" w:eastAsia="Arial" w:hAnsi="Arial"/>
                <w:sz w:val="15"/>
                <w:szCs w:val="15"/>
                <w:color w:val="auto"/>
              </w:rPr>
              <w:t>1,781.7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1,781.7</w:t>
            </w:r>
          </w:p>
        </w:tc>
        <w:tc>
          <w:tcPr>
            <w:tcW w:w="0" w:type="dxa"/>
            <w:vAlign w:val="bottom"/>
          </w:tcPr>
          <w:p>
            <w:pPr>
              <w:spacing w:after="0"/>
              <w:rPr>
                <w:sz w:val="1"/>
                <w:szCs w:val="1"/>
                <w:color w:val="auto"/>
              </w:rPr>
            </w:pPr>
          </w:p>
        </w:tc>
      </w:tr>
      <w:tr>
        <w:trPr>
          <w:trHeight w:val="33"/>
        </w:trPr>
        <w:tc>
          <w:tcPr>
            <w:tcW w:w="4380" w:type="dxa"/>
            <w:vAlign w:val="bottom"/>
            <w:tcBorders>
              <w:bottom w:val="single" w:sz="8" w:color="DBDBDB"/>
            </w:tcBorders>
          </w:tcPr>
          <w:p>
            <w:pPr>
              <w:spacing w:after="0"/>
              <w:rPr>
                <w:sz w:val="2"/>
                <w:szCs w:val="2"/>
                <w:color w:val="auto"/>
              </w:rPr>
            </w:pPr>
          </w:p>
        </w:tc>
        <w:tc>
          <w:tcPr>
            <w:tcW w:w="1560" w:type="dxa"/>
            <w:vAlign w:val="bottom"/>
            <w:tcBorders>
              <w:bottom w:val="single" w:sz="8" w:color="CCCCD3"/>
            </w:tcBorders>
          </w:tcPr>
          <w:p>
            <w:pPr>
              <w:spacing w:after="0"/>
              <w:rPr>
                <w:sz w:val="2"/>
                <w:szCs w:val="2"/>
                <w:color w:val="auto"/>
              </w:rPr>
            </w:pPr>
          </w:p>
        </w:tc>
        <w:tc>
          <w:tcPr>
            <w:tcW w:w="40" w:type="dxa"/>
            <w:vAlign w:val="bottom"/>
            <w:tcBorders>
              <w:bottom w:val="single" w:sz="8" w:color="CCCCD3"/>
            </w:tcBorders>
          </w:tcPr>
          <w:p>
            <w:pPr>
              <w:spacing w:after="0"/>
              <w:rPr>
                <w:sz w:val="2"/>
                <w:szCs w:val="2"/>
                <w:color w:val="auto"/>
              </w:rPr>
            </w:pPr>
          </w:p>
        </w:tc>
        <w:tc>
          <w:tcPr>
            <w:tcW w:w="140" w:type="dxa"/>
            <w:vAlign w:val="bottom"/>
            <w:tcBorders>
              <w:bottom w:val="single" w:sz="8" w:color="CCCCD3"/>
            </w:tcBorders>
          </w:tcPr>
          <w:p>
            <w:pPr>
              <w:spacing w:after="0"/>
              <w:rPr>
                <w:sz w:val="2"/>
                <w:szCs w:val="2"/>
                <w:color w:val="auto"/>
              </w:rPr>
            </w:pPr>
          </w:p>
        </w:tc>
        <w:tc>
          <w:tcPr>
            <w:tcW w:w="1600" w:type="dxa"/>
            <w:vAlign w:val="bottom"/>
            <w:tcBorders>
              <w:bottom w:val="single" w:sz="8" w:color="CCCCD3"/>
            </w:tcBorders>
            <w:gridSpan w:val="2"/>
          </w:tcPr>
          <w:p>
            <w:pPr>
              <w:spacing w:after="0"/>
              <w:rPr>
                <w:sz w:val="2"/>
                <w:szCs w:val="2"/>
                <w:color w:val="auto"/>
              </w:rPr>
            </w:pPr>
          </w:p>
        </w:tc>
        <w:tc>
          <w:tcPr>
            <w:tcW w:w="140" w:type="dxa"/>
            <w:vAlign w:val="bottom"/>
            <w:tcBorders>
              <w:bottom w:val="single" w:sz="8" w:color="CCCCD3"/>
            </w:tcBorders>
          </w:tcPr>
          <w:p>
            <w:pPr>
              <w:spacing w:after="0"/>
              <w:rPr>
                <w:sz w:val="2"/>
                <w:szCs w:val="2"/>
                <w:color w:val="auto"/>
              </w:rPr>
            </w:pPr>
          </w:p>
        </w:tc>
        <w:tc>
          <w:tcPr>
            <w:tcW w:w="1620" w:type="dxa"/>
            <w:vAlign w:val="bottom"/>
            <w:tcBorders>
              <w:bottom w:val="single" w:sz="8" w:color="CCCCD3"/>
            </w:tcBorders>
            <w:gridSpan w:val="2"/>
          </w:tcPr>
          <w:p>
            <w:pPr>
              <w:spacing w:after="0"/>
              <w:rPr>
                <w:sz w:val="2"/>
                <w:szCs w:val="2"/>
                <w:color w:val="auto"/>
              </w:rPr>
            </w:pPr>
          </w:p>
        </w:tc>
        <w:tc>
          <w:tcPr>
            <w:tcW w:w="1740" w:type="dxa"/>
            <w:vAlign w:val="bottom"/>
            <w:tcBorders>
              <w:bottom w:val="single" w:sz="8" w:color="DBDBDB"/>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20"/>
              <w:spacing w:after="0"/>
              <w:rPr>
                <w:sz w:val="20"/>
                <w:szCs w:val="20"/>
                <w:color w:val="auto"/>
              </w:rPr>
            </w:pPr>
            <w:r>
              <w:rPr>
                <w:rFonts w:ascii="Arial" w:cs="Arial" w:eastAsia="Arial" w:hAnsi="Arial"/>
                <w:sz w:val="15"/>
                <w:szCs w:val="15"/>
                <w:color w:val="auto"/>
              </w:rPr>
              <w:t>Reverse repurchase agreements</w:t>
            </w:r>
          </w:p>
        </w:tc>
        <w:tc>
          <w:tcPr>
            <w:tcW w:w="1560" w:type="dxa"/>
            <w:vAlign w:val="bottom"/>
          </w:tcPr>
          <w:p>
            <w:pPr>
              <w:jc w:val="right"/>
              <w:spacing w:after="0"/>
              <w:rPr>
                <w:sz w:val="20"/>
                <w:szCs w:val="20"/>
                <w:color w:val="auto"/>
              </w:rPr>
            </w:pPr>
            <w:r>
              <w:rPr>
                <w:rFonts w:ascii="Arial" w:cs="Arial" w:eastAsia="Arial" w:hAnsi="Arial"/>
                <w:sz w:val="15"/>
                <w:szCs w:val="15"/>
                <w:color w:val="auto"/>
              </w:rPr>
              <w:t>2,490.4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2,490.4</w:t>
            </w:r>
          </w:p>
        </w:tc>
        <w:tc>
          <w:tcPr>
            <w:tcW w:w="0" w:type="dxa"/>
            <w:vAlign w:val="bottom"/>
          </w:tcPr>
          <w:p>
            <w:pPr>
              <w:spacing w:after="0"/>
              <w:rPr>
                <w:sz w:val="1"/>
                <w:szCs w:val="1"/>
                <w:color w:val="auto"/>
              </w:rPr>
            </w:pPr>
          </w:p>
        </w:tc>
      </w:tr>
      <w:tr>
        <w:trPr>
          <w:trHeight w:val="33"/>
        </w:trPr>
        <w:tc>
          <w:tcPr>
            <w:tcW w:w="4380" w:type="dxa"/>
            <w:vAlign w:val="bottom"/>
            <w:tcBorders>
              <w:bottom w:val="single" w:sz="8" w:color="DBDBDB"/>
            </w:tcBorders>
          </w:tcPr>
          <w:p>
            <w:pPr>
              <w:spacing w:after="0"/>
              <w:rPr>
                <w:sz w:val="2"/>
                <w:szCs w:val="2"/>
                <w:color w:val="auto"/>
              </w:rPr>
            </w:pPr>
          </w:p>
        </w:tc>
        <w:tc>
          <w:tcPr>
            <w:tcW w:w="1560" w:type="dxa"/>
            <w:vAlign w:val="bottom"/>
            <w:tcBorders>
              <w:bottom w:val="single" w:sz="8" w:color="CCCCD3"/>
            </w:tcBorders>
          </w:tcPr>
          <w:p>
            <w:pPr>
              <w:spacing w:after="0"/>
              <w:rPr>
                <w:sz w:val="2"/>
                <w:szCs w:val="2"/>
                <w:color w:val="auto"/>
              </w:rPr>
            </w:pPr>
          </w:p>
        </w:tc>
        <w:tc>
          <w:tcPr>
            <w:tcW w:w="40" w:type="dxa"/>
            <w:vAlign w:val="bottom"/>
            <w:tcBorders>
              <w:bottom w:val="single" w:sz="8" w:color="CCCCD3"/>
            </w:tcBorders>
          </w:tcPr>
          <w:p>
            <w:pPr>
              <w:spacing w:after="0"/>
              <w:rPr>
                <w:sz w:val="2"/>
                <w:szCs w:val="2"/>
                <w:color w:val="auto"/>
              </w:rPr>
            </w:pPr>
          </w:p>
        </w:tc>
        <w:tc>
          <w:tcPr>
            <w:tcW w:w="140" w:type="dxa"/>
            <w:vAlign w:val="bottom"/>
            <w:tcBorders>
              <w:bottom w:val="single" w:sz="8" w:color="CCCCD3"/>
            </w:tcBorders>
          </w:tcPr>
          <w:p>
            <w:pPr>
              <w:spacing w:after="0"/>
              <w:rPr>
                <w:sz w:val="2"/>
                <w:szCs w:val="2"/>
                <w:color w:val="auto"/>
              </w:rPr>
            </w:pPr>
          </w:p>
        </w:tc>
        <w:tc>
          <w:tcPr>
            <w:tcW w:w="1560" w:type="dxa"/>
            <w:vAlign w:val="bottom"/>
            <w:tcBorders>
              <w:bottom w:val="single" w:sz="8" w:color="CCCCD3"/>
            </w:tcBorders>
          </w:tcPr>
          <w:p>
            <w:pPr>
              <w:spacing w:after="0"/>
              <w:rPr>
                <w:sz w:val="2"/>
                <w:szCs w:val="2"/>
                <w:color w:val="auto"/>
              </w:rPr>
            </w:pPr>
          </w:p>
        </w:tc>
        <w:tc>
          <w:tcPr>
            <w:tcW w:w="40" w:type="dxa"/>
            <w:vAlign w:val="bottom"/>
            <w:tcBorders>
              <w:bottom w:val="single" w:sz="8" w:color="CCCCD3"/>
            </w:tcBorders>
          </w:tcPr>
          <w:p>
            <w:pPr>
              <w:spacing w:after="0"/>
              <w:rPr>
                <w:sz w:val="2"/>
                <w:szCs w:val="2"/>
                <w:color w:val="auto"/>
              </w:rPr>
            </w:pPr>
          </w:p>
        </w:tc>
        <w:tc>
          <w:tcPr>
            <w:tcW w:w="140" w:type="dxa"/>
            <w:vAlign w:val="bottom"/>
            <w:tcBorders>
              <w:bottom w:val="single" w:sz="8" w:color="CCCCD3"/>
            </w:tcBorders>
          </w:tcPr>
          <w:p>
            <w:pPr>
              <w:spacing w:after="0"/>
              <w:rPr>
                <w:sz w:val="2"/>
                <w:szCs w:val="2"/>
                <w:color w:val="auto"/>
              </w:rPr>
            </w:pPr>
          </w:p>
        </w:tc>
        <w:tc>
          <w:tcPr>
            <w:tcW w:w="1580" w:type="dxa"/>
            <w:vAlign w:val="bottom"/>
            <w:tcBorders>
              <w:bottom w:val="single" w:sz="8" w:color="CCCCD3"/>
            </w:tcBorders>
          </w:tcPr>
          <w:p>
            <w:pPr>
              <w:spacing w:after="0"/>
              <w:rPr>
                <w:sz w:val="2"/>
                <w:szCs w:val="2"/>
                <w:color w:val="auto"/>
              </w:rPr>
            </w:pPr>
          </w:p>
        </w:tc>
        <w:tc>
          <w:tcPr>
            <w:tcW w:w="40" w:type="dxa"/>
            <w:vAlign w:val="bottom"/>
            <w:tcBorders>
              <w:bottom w:val="single" w:sz="8" w:color="CCCCD3"/>
            </w:tcBorders>
          </w:tcPr>
          <w:p>
            <w:pPr>
              <w:spacing w:after="0"/>
              <w:rPr>
                <w:sz w:val="2"/>
                <w:szCs w:val="2"/>
                <w:color w:val="auto"/>
              </w:rPr>
            </w:pPr>
          </w:p>
        </w:tc>
        <w:tc>
          <w:tcPr>
            <w:tcW w:w="140" w:type="dxa"/>
            <w:vAlign w:val="bottom"/>
            <w:tcBorders>
              <w:bottom w:val="single" w:sz="8" w:color="DBDBDB"/>
            </w:tcBorders>
          </w:tcPr>
          <w:p>
            <w:pPr>
              <w:spacing w:after="0"/>
              <w:rPr>
                <w:sz w:val="2"/>
                <w:szCs w:val="2"/>
                <w:color w:val="auto"/>
              </w:rPr>
            </w:pPr>
          </w:p>
        </w:tc>
        <w:tc>
          <w:tcPr>
            <w:tcW w:w="160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4380" w:type="dxa"/>
            <w:vAlign w:val="bottom"/>
          </w:tcPr>
          <w:p>
            <w:pPr>
              <w:ind w:left="20"/>
              <w:spacing w:after="0"/>
              <w:rPr>
                <w:sz w:val="20"/>
                <w:szCs w:val="20"/>
                <w:color w:val="auto"/>
              </w:rPr>
            </w:pPr>
            <w:r>
              <w:rPr>
                <w:rFonts w:ascii="Arial" w:cs="Arial" w:eastAsia="Arial" w:hAnsi="Arial"/>
                <w:sz w:val="15"/>
                <w:szCs w:val="15"/>
                <w:color w:val="auto"/>
              </w:rPr>
              <w:t>Amounts due from exchanges, clearing houses and other</w:t>
            </w:r>
          </w:p>
        </w:tc>
        <w:tc>
          <w:tcPr>
            <w:tcW w:w="160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60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720" w:type="dxa"/>
            <w:vAlign w:val="bottom"/>
            <w:gridSpan w:val="2"/>
            <w:vMerge w:val="restart"/>
          </w:tcPr>
          <w:p>
            <w:pPr>
              <w:jc w:val="right"/>
              <w:spacing w:after="0"/>
              <w:rPr>
                <w:sz w:val="20"/>
                <w:szCs w:val="20"/>
                <w:color w:val="auto"/>
              </w:rPr>
            </w:pPr>
            <w:r>
              <w:rPr>
                <w:rFonts w:ascii="Arial" w:cs="Arial" w:eastAsia="Arial" w:hAnsi="Arial"/>
                <w:sz w:val="15"/>
                <w:szCs w:val="15"/>
                <w:color w:val="auto"/>
              </w:rPr>
              <w:t>3,215.5</w:t>
            </w:r>
          </w:p>
        </w:tc>
        <w:tc>
          <w:tcPr>
            <w:tcW w:w="40" w:type="dxa"/>
            <w:vAlign w:val="bottom"/>
          </w:tcPr>
          <w:p>
            <w:pPr>
              <w:spacing w:after="0"/>
              <w:rPr>
                <w:sz w:val="16"/>
                <w:szCs w:val="16"/>
                <w:color w:val="auto"/>
              </w:rPr>
            </w:pPr>
          </w:p>
        </w:tc>
        <w:tc>
          <w:tcPr>
            <w:tcW w:w="1740" w:type="dxa"/>
            <w:vAlign w:val="bottom"/>
            <w:gridSpan w:val="2"/>
            <w:vMerge w:val="restart"/>
          </w:tcPr>
          <w:p>
            <w:pPr>
              <w:jc w:val="right"/>
              <w:spacing w:after="0"/>
              <w:rPr>
                <w:sz w:val="20"/>
                <w:szCs w:val="20"/>
                <w:color w:val="auto"/>
              </w:rPr>
            </w:pPr>
            <w:r>
              <w:rPr>
                <w:rFonts w:ascii="Arial" w:cs="Arial" w:eastAsia="Arial" w:hAnsi="Arial"/>
                <w:sz w:val="15"/>
                <w:szCs w:val="15"/>
                <w:color w:val="auto"/>
              </w:rPr>
              <w:t>3,215.5</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counterparties</w:t>
            </w:r>
          </w:p>
        </w:tc>
        <w:tc>
          <w:tcPr>
            <w:tcW w:w="1600" w:type="dxa"/>
            <w:vAlign w:val="bottom"/>
            <w:tcBorders>
              <w:bottom w:val="single" w:sz="8" w:color="CCCCD3"/>
            </w:tcBorders>
            <w:gridSpan w:val="2"/>
            <w:vMerge w:val="continue"/>
          </w:tcPr>
          <w:p>
            <w:pPr>
              <w:spacing w:after="0"/>
              <w:rPr>
                <w:sz w:val="18"/>
                <w:szCs w:val="18"/>
                <w:color w:val="auto"/>
              </w:rPr>
            </w:pPr>
          </w:p>
        </w:tc>
        <w:tc>
          <w:tcPr>
            <w:tcW w:w="140" w:type="dxa"/>
            <w:vAlign w:val="bottom"/>
            <w:tcBorders>
              <w:bottom w:val="single" w:sz="8" w:color="CCCCD3"/>
            </w:tcBorders>
          </w:tcPr>
          <w:p>
            <w:pPr>
              <w:spacing w:after="0"/>
              <w:rPr>
                <w:sz w:val="18"/>
                <w:szCs w:val="18"/>
                <w:color w:val="auto"/>
              </w:rPr>
            </w:pPr>
          </w:p>
        </w:tc>
        <w:tc>
          <w:tcPr>
            <w:tcW w:w="1600" w:type="dxa"/>
            <w:vAlign w:val="bottom"/>
            <w:tcBorders>
              <w:bottom w:val="single" w:sz="8" w:color="CCCCD3"/>
            </w:tcBorders>
            <w:gridSpan w:val="2"/>
            <w:vMerge w:val="continue"/>
          </w:tcPr>
          <w:p>
            <w:pPr>
              <w:spacing w:after="0"/>
              <w:rPr>
                <w:sz w:val="18"/>
                <w:szCs w:val="18"/>
                <w:color w:val="auto"/>
              </w:rPr>
            </w:pPr>
          </w:p>
        </w:tc>
        <w:tc>
          <w:tcPr>
            <w:tcW w:w="1720" w:type="dxa"/>
            <w:vAlign w:val="bottom"/>
            <w:tcBorders>
              <w:bottom w:val="single" w:sz="8" w:color="CCCCD3"/>
            </w:tcBorders>
            <w:gridSpan w:val="2"/>
            <w:vMerge w:val="continue"/>
          </w:tcPr>
          <w:p>
            <w:pPr>
              <w:spacing w:after="0"/>
              <w:rPr>
                <w:sz w:val="18"/>
                <w:szCs w:val="18"/>
                <w:color w:val="auto"/>
              </w:rPr>
            </w:pPr>
          </w:p>
        </w:tc>
        <w:tc>
          <w:tcPr>
            <w:tcW w:w="40" w:type="dxa"/>
            <w:vAlign w:val="bottom"/>
            <w:tcBorders>
              <w:bottom w:val="single" w:sz="8" w:color="CCCCD3"/>
            </w:tcBorders>
          </w:tcPr>
          <w:p>
            <w:pPr>
              <w:spacing w:after="0"/>
              <w:rPr>
                <w:sz w:val="18"/>
                <w:szCs w:val="18"/>
                <w:color w:val="auto"/>
              </w:rPr>
            </w:pPr>
          </w:p>
        </w:tc>
        <w:tc>
          <w:tcPr>
            <w:tcW w:w="1740" w:type="dxa"/>
            <w:vAlign w:val="bottom"/>
            <w:tcBorders>
              <w:bottom w:val="single" w:sz="8" w:color="DBDBDB"/>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5"/>
                <w:szCs w:val="15"/>
                <w:color w:val="auto"/>
              </w:rPr>
              <w:t>Amounts due from Prime Brokers</w:t>
            </w: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101.5</w:t>
            </w:r>
          </w:p>
        </w:tc>
        <w:tc>
          <w:tcPr>
            <w:tcW w:w="4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101.5</w:t>
            </w:r>
          </w:p>
        </w:tc>
        <w:tc>
          <w:tcPr>
            <w:tcW w:w="0" w:type="dxa"/>
            <w:vAlign w:val="bottom"/>
          </w:tcPr>
          <w:p>
            <w:pPr>
              <w:spacing w:after="0"/>
              <w:rPr>
                <w:sz w:val="1"/>
                <w:szCs w:val="1"/>
                <w:color w:val="auto"/>
              </w:rPr>
            </w:pPr>
          </w:p>
        </w:tc>
      </w:tr>
      <w:tr>
        <w:trPr>
          <w:trHeight w:val="33"/>
        </w:trPr>
        <w:tc>
          <w:tcPr>
            <w:tcW w:w="4380" w:type="dxa"/>
            <w:vAlign w:val="bottom"/>
            <w:tcBorders>
              <w:bottom w:val="single" w:sz="8" w:color="DADAE7"/>
            </w:tcBorders>
          </w:tcPr>
          <w:p>
            <w:pPr>
              <w:spacing w:after="0"/>
              <w:rPr>
                <w:sz w:val="2"/>
                <w:szCs w:val="2"/>
                <w:color w:val="auto"/>
              </w:rPr>
            </w:pPr>
          </w:p>
        </w:tc>
        <w:tc>
          <w:tcPr>
            <w:tcW w:w="1560" w:type="dxa"/>
            <w:vAlign w:val="bottom"/>
            <w:tcBorders>
              <w:bottom w:val="single" w:sz="8" w:color="CCCCD3"/>
            </w:tcBorders>
          </w:tcPr>
          <w:p>
            <w:pPr>
              <w:spacing w:after="0"/>
              <w:rPr>
                <w:sz w:val="2"/>
                <w:szCs w:val="2"/>
                <w:color w:val="auto"/>
              </w:rPr>
            </w:pPr>
          </w:p>
        </w:tc>
        <w:tc>
          <w:tcPr>
            <w:tcW w:w="40" w:type="dxa"/>
            <w:vAlign w:val="bottom"/>
            <w:tcBorders>
              <w:bottom w:val="single" w:sz="8" w:color="CCCCD3"/>
            </w:tcBorders>
          </w:tcPr>
          <w:p>
            <w:pPr>
              <w:spacing w:after="0"/>
              <w:rPr>
                <w:sz w:val="2"/>
                <w:szCs w:val="2"/>
                <w:color w:val="auto"/>
              </w:rPr>
            </w:pPr>
          </w:p>
        </w:tc>
        <w:tc>
          <w:tcPr>
            <w:tcW w:w="140" w:type="dxa"/>
            <w:vAlign w:val="bottom"/>
            <w:tcBorders>
              <w:bottom w:val="single" w:sz="8" w:color="CCCCD3"/>
            </w:tcBorders>
          </w:tcPr>
          <w:p>
            <w:pPr>
              <w:spacing w:after="0"/>
              <w:rPr>
                <w:sz w:val="2"/>
                <w:szCs w:val="2"/>
                <w:color w:val="auto"/>
              </w:rPr>
            </w:pPr>
          </w:p>
        </w:tc>
        <w:tc>
          <w:tcPr>
            <w:tcW w:w="1600" w:type="dxa"/>
            <w:vAlign w:val="bottom"/>
            <w:tcBorders>
              <w:bottom w:val="single" w:sz="8" w:color="CCCCD3"/>
            </w:tcBorders>
            <w:gridSpan w:val="2"/>
          </w:tcPr>
          <w:p>
            <w:pPr>
              <w:spacing w:after="0"/>
              <w:rPr>
                <w:sz w:val="2"/>
                <w:szCs w:val="2"/>
                <w:color w:val="auto"/>
              </w:rPr>
            </w:pPr>
          </w:p>
        </w:tc>
        <w:tc>
          <w:tcPr>
            <w:tcW w:w="1720" w:type="dxa"/>
            <w:vAlign w:val="bottom"/>
            <w:tcBorders>
              <w:bottom w:val="single" w:sz="8" w:color="CCCCD3"/>
            </w:tcBorders>
            <w:gridSpan w:val="2"/>
          </w:tcPr>
          <w:p>
            <w:pPr>
              <w:spacing w:after="0"/>
              <w:rPr>
                <w:sz w:val="2"/>
                <w:szCs w:val="2"/>
                <w:color w:val="auto"/>
              </w:rPr>
            </w:pPr>
          </w:p>
        </w:tc>
        <w:tc>
          <w:tcPr>
            <w:tcW w:w="40" w:type="dxa"/>
            <w:vAlign w:val="bottom"/>
            <w:tcBorders>
              <w:bottom w:val="single" w:sz="8" w:color="CCCCD3"/>
            </w:tcBorders>
          </w:tcPr>
          <w:p>
            <w:pPr>
              <w:spacing w:after="0"/>
              <w:rPr>
                <w:sz w:val="2"/>
                <w:szCs w:val="2"/>
                <w:color w:val="auto"/>
              </w:rPr>
            </w:pPr>
          </w:p>
        </w:tc>
        <w:tc>
          <w:tcPr>
            <w:tcW w:w="1740" w:type="dxa"/>
            <w:vAlign w:val="bottom"/>
            <w:tcBorders>
              <w:bottom w:val="single" w:sz="8" w:color="DBDBDB"/>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20"/>
              <w:spacing w:after="0"/>
              <w:rPr>
                <w:sz w:val="20"/>
                <w:szCs w:val="20"/>
                <w:color w:val="auto"/>
              </w:rPr>
            </w:pPr>
            <w:r>
              <w:rPr>
                <w:rFonts w:ascii="Arial" w:cs="Arial" w:eastAsia="Arial" w:hAnsi="Arial"/>
                <w:sz w:val="15"/>
                <w:szCs w:val="15"/>
                <w:color w:val="auto"/>
              </w:rPr>
              <w:t>Amounts receivable from clients</w:t>
            </w:r>
          </w:p>
        </w:tc>
        <w:tc>
          <w:tcPr>
            <w:tcW w:w="1560" w:type="dxa"/>
            <w:vAlign w:val="bottom"/>
          </w:tcPr>
          <w:p>
            <w:pPr>
              <w:jc w:val="right"/>
              <w:spacing w:after="0"/>
              <w:rPr>
                <w:sz w:val="20"/>
                <w:szCs w:val="20"/>
                <w:color w:val="auto"/>
              </w:rPr>
            </w:pPr>
            <w:r>
              <w:rPr>
                <w:rFonts w:ascii="Arial" w:cs="Arial" w:eastAsia="Arial" w:hAnsi="Arial"/>
                <w:sz w:val="15"/>
                <w:szCs w:val="15"/>
                <w:color w:val="auto"/>
              </w:rPr>
              <w:t>51.9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2,685.2</w:t>
            </w:r>
          </w:p>
        </w:tc>
        <w:tc>
          <w:tcPr>
            <w:tcW w:w="4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2,737.1</w:t>
            </w:r>
          </w:p>
        </w:tc>
        <w:tc>
          <w:tcPr>
            <w:tcW w:w="0" w:type="dxa"/>
            <w:vAlign w:val="bottom"/>
          </w:tcPr>
          <w:p>
            <w:pPr>
              <w:spacing w:after="0"/>
              <w:rPr>
                <w:sz w:val="1"/>
                <w:szCs w:val="1"/>
                <w:color w:val="auto"/>
              </w:rPr>
            </w:pPr>
          </w:p>
        </w:tc>
      </w:tr>
      <w:tr>
        <w:trPr>
          <w:trHeight w:val="33"/>
        </w:trPr>
        <w:tc>
          <w:tcPr>
            <w:tcW w:w="4380" w:type="dxa"/>
            <w:vAlign w:val="bottom"/>
            <w:tcBorders>
              <w:bottom w:val="single" w:sz="8" w:color="DBDBDB"/>
            </w:tcBorders>
          </w:tcPr>
          <w:p>
            <w:pPr>
              <w:spacing w:after="0"/>
              <w:rPr>
                <w:sz w:val="2"/>
                <w:szCs w:val="2"/>
                <w:color w:val="auto"/>
              </w:rPr>
            </w:pPr>
          </w:p>
        </w:tc>
        <w:tc>
          <w:tcPr>
            <w:tcW w:w="1560" w:type="dxa"/>
            <w:vAlign w:val="bottom"/>
            <w:tcBorders>
              <w:bottom w:val="single" w:sz="8" w:color="CCCCD3"/>
            </w:tcBorders>
          </w:tcPr>
          <w:p>
            <w:pPr>
              <w:spacing w:after="0"/>
              <w:rPr>
                <w:sz w:val="2"/>
                <w:szCs w:val="2"/>
                <w:color w:val="auto"/>
              </w:rPr>
            </w:pPr>
          </w:p>
        </w:tc>
        <w:tc>
          <w:tcPr>
            <w:tcW w:w="40" w:type="dxa"/>
            <w:vAlign w:val="bottom"/>
            <w:tcBorders>
              <w:bottom w:val="single" w:sz="8" w:color="CCCCD3"/>
            </w:tcBorders>
          </w:tcPr>
          <w:p>
            <w:pPr>
              <w:spacing w:after="0"/>
              <w:rPr>
                <w:sz w:val="2"/>
                <w:szCs w:val="2"/>
                <w:color w:val="auto"/>
              </w:rPr>
            </w:pPr>
          </w:p>
        </w:tc>
        <w:tc>
          <w:tcPr>
            <w:tcW w:w="140" w:type="dxa"/>
            <w:vAlign w:val="bottom"/>
            <w:tcBorders>
              <w:bottom w:val="single" w:sz="8" w:color="CCCCD3"/>
            </w:tcBorders>
          </w:tcPr>
          <w:p>
            <w:pPr>
              <w:spacing w:after="0"/>
              <w:rPr>
                <w:sz w:val="2"/>
                <w:szCs w:val="2"/>
                <w:color w:val="auto"/>
              </w:rPr>
            </w:pPr>
          </w:p>
        </w:tc>
        <w:tc>
          <w:tcPr>
            <w:tcW w:w="1600" w:type="dxa"/>
            <w:vAlign w:val="bottom"/>
            <w:tcBorders>
              <w:bottom w:val="single" w:sz="8" w:color="CCCCD3"/>
            </w:tcBorders>
            <w:gridSpan w:val="2"/>
          </w:tcPr>
          <w:p>
            <w:pPr>
              <w:spacing w:after="0"/>
              <w:rPr>
                <w:sz w:val="2"/>
                <w:szCs w:val="2"/>
                <w:color w:val="auto"/>
              </w:rPr>
            </w:pPr>
          </w:p>
        </w:tc>
        <w:tc>
          <w:tcPr>
            <w:tcW w:w="1720" w:type="dxa"/>
            <w:vAlign w:val="bottom"/>
            <w:tcBorders>
              <w:bottom w:val="single" w:sz="8" w:color="CCCCD3"/>
            </w:tcBorders>
            <w:gridSpan w:val="2"/>
          </w:tcPr>
          <w:p>
            <w:pPr>
              <w:spacing w:after="0"/>
              <w:rPr>
                <w:sz w:val="2"/>
                <w:szCs w:val="2"/>
                <w:color w:val="auto"/>
              </w:rPr>
            </w:pPr>
          </w:p>
        </w:tc>
        <w:tc>
          <w:tcPr>
            <w:tcW w:w="40" w:type="dxa"/>
            <w:vAlign w:val="bottom"/>
            <w:tcBorders>
              <w:bottom w:val="single" w:sz="8" w:color="CCCCD3"/>
            </w:tcBorders>
          </w:tcPr>
          <w:p>
            <w:pPr>
              <w:spacing w:after="0"/>
              <w:rPr>
                <w:sz w:val="2"/>
                <w:szCs w:val="2"/>
                <w:color w:val="auto"/>
              </w:rPr>
            </w:pPr>
          </w:p>
        </w:tc>
        <w:tc>
          <w:tcPr>
            <w:tcW w:w="1740" w:type="dxa"/>
            <w:vAlign w:val="bottom"/>
            <w:tcBorders>
              <w:bottom w:val="single" w:sz="8" w:color="DBDBDB"/>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20"/>
              <w:spacing w:after="0"/>
              <w:rPr>
                <w:sz w:val="20"/>
                <w:szCs w:val="20"/>
                <w:color w:val="auto"/>
              </w:rPr>
            </w:pPr>
            <w:r>
              <w:rPr>
                <w:rFonts w:ascii="Arial" w:cs="Arial" w:eastAsia="Arial" w:hAnsi="Arial"/>
                <w:sz w:val="15"/>
                <w:szCs w:val="15"/>
                <w:color w:val="auto"/>
              </w:rPr>
              <w:t>Trade debtors</w:t>
            </w:r>
          </w:p>
        </w:tc>
        <w:tc>
          <w:tcPr>
            <w:tcW w:w="1560" w:type="dxa"/>
            <w:vAlign w:val="bottom"/>
          </w:tcPr>
          <w:p>
            <w:pPr>
              <w:jc w:val="right"/>
              <w:spacing w:after="0"/>
              <w:rPr>
                <w:sz w:val="20"/>
                <w:szCs w:val="20"/>
                <w:color w:val="auto"/>
              </w:rPr>
            </w:pPr>
            <w:r>
              <w:rPr>
                <w:rFonts w:ascii="Arial" w:cs="Arial" w:eastAsia="Arial" w:hAnsi="Arial"/>
                <w:sz w:val="15"/>
                <w:szCs w:val="15"/>
                <w:color w:val="auto"/>
              </w:rPr>
              <w:t>108.7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677.1</w:t>
            </w:r>
          </w:p>
        </w:tc>
        <w:tc>
          <w:tcPr>
            <w:tcW w:w="4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785.8</w:t>
            </w:r>
          </w:p>
        </w:tc>
        <w:tc>
          <w:tcPr>
            <w:tcW w:w="0" w:type="dxa"/>
            <w:vAlign w:val="bottom"/>
          </w:tcPr>
          <w:p>
            <w:pPr>
              <w:spacing w:after="0"/>
              <w:rPr>
                <w:sz w:val="1"/>
                <w:szCs w:val="1"/>
                <w:color w:val="auto"/>
              </w:rPr>
            </w:pPr>
          </w:p>
        </w:tc>
      </w:tr>
      <w:tr>
        <w:trPr>
          <w:trHeight w:val="33"/>
        </w:trPr>
        <w:tc>
          <w:tcPr>
            <w:tcW w:w="4380" w:type="dxa"/>
            <w:vAlign w:val="bottom"/>
            <w:tcBorders>
              <w:bottom w:val="single" w:sz="8" w:color="DBDBDB"/>
            </w:tcBorders>
          </w:tcPr>
          <w:p>
            <w:pPr>
              <w:spacing w:after="0"/>
              <w:rPr>
                <w:sz w:val="2"/>
                <w:szCs w:val="2"/>
                <w:color w:val="auto"/>
              </w:rPr>
            </w:pPr>
          </w:p>
        </w:tc>
        <w:tc>
          <w:tcPr>
            <w:tcW w:w="1600" w:type="dxa"/>
            <w:vAlign w:val="bottom"/>
            <w:tcBorders>
              <w:bottom w:val="single" w:sz="8" w:color="CCCCD3"/>
            </w:tcBorders>
            <w:gridSpan w:val="2"/>
          </w:tcPr>
          <w:p>
            <w:pPr>
              <w:spacing w:after="0"/>
              <w:rPr>
                <w:sz w:val="2"/>
                <w:szCs w:val="2"/>
                <w:color w:val="auto"/>
              </w:rPr>
            </w:pPr>
          </w:p>
        </w:tc>
        <w:tc>
          <w:tcPr>
            <w:tcW w:w="140" w:type="dxa"/>
            <w:vAlign w:val="bottom"/>
            <w:tcBorders>
              <w:bottom w:val="single" w:sz="8" w:color="CCCCD3"/>
            </w:tcBorders>
          </w:tcPr>
          <w:p>
            <w:pPr>
              <w:spacing w:after="0"/>
              <w:rPr>
                <w:sz w:val="2"/>
                <w:szCs w:val="2"/>
                <w:color w:val="auto"/>
              </w:rPr>
            </w:pPr>
          </w:p>
        </w:tc>
        <w:tc>
          <w:tcPr>
            <w:tcW w:w="1600" w:type="dxa"/>
            <w:vAlign w:val="bottom"/>
            <w:tcBorders>
              <w:bottom w:val="single" w:sz="8" w:color="CCCCD3"/>
            </w:tcBorders>
            <w:gridSpan w:val="2"/>
          </w:tcPr>
          <w:p>
            <w:pPr>
              <w:spacing w:after="0"/>
              <w:rPr>
                <w:sz w:val="2"/>
                <w:szCs w:val="2"/>
                <w:color w:val="auto"/>
              </w:rPr>
            </w:pPr>
          </w:p>
        </w:tc>
        <w:tc>
          <w:tcPr>
            <w:tcW w:w="1720" w:type="dxa"/>
            <w:vAlign w:val="bottom"/>
            <w:tcBorders>
              <w:bottom w:val="single" w:sz="8" w:color="CCCCD3"/>
            </w:tcBorders>
            <w:gridSpan w:val="2"/>
          </w:tcPr>
          <w:p>
            <w:pPr>
              <w:spacing w:after="0"/>
              <w:rPr>
                <w:sz w:val="2"/>
                <w:szCs w:val="2"/>
                <w:color w:val="auto"/>
              </w:rPr>
            </w:pPr>
          </w:p>
        </w:tc>
        <w:tc>
          <w:tcPr>
            <w:tcW w:w="40" w:type="dxa"/>
            <w:vAlign w:val="bottom"/>
            <w:tcBorders>
              <w:bottom w:val="single" w:sz="8" w:color="CCCCD3"/>
            </w:tcBorders>
          </w:tcPr>
          <w:p>
            <w:pPr>
              <w:spacing w:after="0"/>
              <w:rPr>
                <w:sz w:val="2"/>
                <w:szCs w:val="2"/>
                <w:color w:val="auto"/>
              </w:rPr>
            </w:pPr>
          </w:p>
        </w:tc>
        <w:tc>
          <w:tcPr>
            <w:tcW w:w="1740" w:type="dxa"/>
            <w:vAlign w:val="bottom"/>
            <w:tcBorders>
              <w:bottom w:val="single" w:sz="8" w:color="DBDBDB"/>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20"/>
              <w:spacing w:after="0"/>
              <w:rPr>
                <w:sz w:val="20"/>
                <w:szCs w:val="20"/>
                <w:color w:val="auto"/>
              </w:rPr>
            </w:pPr>
            <w:r>
              <w:rPr>
                <w:rFonts w:ascii="Arial" w:cs="Arial" w:eastAsia="Arial" w:hAnsi="Arial"/>
                <w:sz w:val="15"/>
                <w:szCs w:val="15"/>
                <w:color w:val="auto"/>
              </w:rPr>
              <w:t>Default funds and deposits</w:t>
            </w: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474.1</w:t>
            </w:r>
          </w:p>
        </w:tc>
        <w:tc>
          <w:tcPr>
            <w:tcW w:w="4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474.1</w:t>
            </w:r>
          </w:p>
        </w:tc>
        <w:tc>
          <w:tcPr>
            <w:tcW w:w="0" w:type="dxa"/>
            <w:vAlign w:val="bottom"/>
          </w:tcPr>
          <w:p>
            <w:pPr>
              <w:spacing w:after="0"/>
              <w:rPr>
                <w:sz w:val="1"/>
                <w:szCs w:val="1"/>
                <w:color w:val="auto"/>
              </w:rPr>
            </w:pPr>
          </w:p>
        </w:tc>
      </w:tr>
      <w:tr>
        <w:trPr>
          <w:trHeight w:val="33"/>
        </w:trPr>
        <w:tc>
          <w:tcPr>
            <w:tcW w:w="4380" w:type="dxa"/>
            <w:vAlign w:val="bottom"/>
            <w:tcBorders>
              <w:bottom w:val="single" w:sz="8" w:color="DBDBDB"/>
            </w:tcBorders>
          </w:tcPr>
          <w:p>
            <w:pPr>
              <w:spacing w:after="0"/>
              <w:rPr>
                <w:sz w:val="2"/>
                <w:szCs w:val="2"/>
                <w:color w:val="auto"/>
              </w:rPr>
            </w:pPr>
          </w:p>
        </w:tc>
        <w:tc>
          <w:tcPr>
            <w:tcW w:w="1600" w:type="dxa"/>
            <w:vAlign w:val="bottom"/>
            <w:tcBorders>
              <w:bottom w:val="single" w:sz="8" w:color="CCCCD3"/>
            </w:tcBorders>
            <w:gridSpan w:val="2"/>
          </w:tcPr>
          <w:p>
            <w:pPr>
              <w:spacing w:after="0"/>
              <w:rPr>
                <w:sz w:val="2"/>
                <w:szCs w:val="2"/>
                <w:color w:val="auto"/>
              </w:rPr>
            </w:pPr>
          </w:p>
        </w:tc>
        <w:tc>
          <w:tcPr>
            <w:tcW w:w="140" w:type="dxa"/>
            <w:vAlign w:val="bottom"/>
            <w:tcBorders>
              <w:bottom w:val="single" w:sz="8" w:color="CCCCD3"/>
            </w:tcBorders>
          </w:tcPr>
          <w:p>
            <w:pPr>
              <w:spacing w:after="0"/>
              <w:rPr>
                <w:sz w:val="2"/>
                <w:szCs w:val="2"/>
                <w:color w:val="auto"/>
              </w:rPr>
            </w:pPr>
          </w:p>
        </w:tc>
        <w:tc>
          <w:tcPr>
            <w:tcW w:w="1600" w:type="dxa"/>
            <w:vAlign w:val="bottom"/>
            <w:tcBorders>
              <w:bottom w:val="single" w:sz="8" w:color="CCCCD3"/>
            </w:tcBorders>
            <w:gridSpan w:val="2"/>
          </w:tcPr>
          <w:p>
            <w:pPr>
              <w:spacing w:after="0"/>
              <w:rPr>
                <w:sz w:val="2"/>
                <w:szCs w:val="2"/>
                <w:color w:val="auto"/>
              </w:rPr>
            </w:pPr>
          </w:p>
        </w:tc>
        <w:tc>
          <w:tcPr>
            <w:tcW w:w="1720" w:type="dxa"/>
            <w:vAlign w:val="bottom"/>
            <w:tcBorders>
              <w:bottom w:val="single" w:sz="8" w:color="CCCCD3"/>
            </w:tcBorders>
            <w:gridSpan w:val="2"/>
          </w:tcPr>
          <w:p>
            <w:pPr>
              <w:spacing w:after="0"/>
              <w:rPr>
                <w:sz w:val="2"/>
                <w:szCs w:val="2"/>
                <w:color w:val="auto"/>
              </w:rPr>
            </w:pPr>
          </w:p>
        </w:tc>
        <w:tc>
          <w:tcPr>
            <w:tcW w:w="40" w:type="dxa"/>
            <w:vAlign w:val="bottom"/>
            <w:tcBorders>
              <w:bottom w:val="single" w:sz="8" w:color="CCCCD3"/>
            </w:tcBorders>
          </w:tcPr>
          <w:p>
            <w:pPr>
              <w:spacing w:after="0"/>
              <w:rPr>
                <w:sz w:val="2"/>
                <w:szCs w:val="2"/>
                <w:color w:val="auto"/>
              </w:rPr>
            </w:pPr>
          </w:p>
        </w:tc>
        <w:tc>
          <w:tcPr>
            <w:tcW w:w="1740" w:type="dxa"/>
            <w:vAlign w:val="bottom"/>
            <w:tcBorders>
              <w:bottom w:val="single" w:sz="8" w:color="DBDBDB"/>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380" w:type="dxa"/>
            <w:vAlign w:val="bottom"/>
          </w:tcPr>
          <w:p>
            <w:pPr>
              <w:ind w:left="20"/>
              <w:spacing w:after="0"/>
              <w:rPr>
                <w:sz w:val="20"/>
                <w:szCs w:val="20"/>
                <w:color w:val="auto"/>
              </w:rPr>
            </w:pPr>
            <w:r>
              <w:rPr>
                <w:rFonts w:ascii="Arial" w:cs="Arial" w:eastAsia="Arial" w:hAnsi="Arial"/>
                <w:sz w:val="15"/>
                <w:szCs w:val="15"/>
                <w:color w:val="auto"/>
              </w:rPr>
              <w:t>Loans receivable</w:t>
            </w: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89.8</w:t>
            </w:r>
          </w:p>
        </w:tc>
        <w:tc>
          <w:tcPr>
            <w:tcW w:w="4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89.8</w:t>
            </w:r>
          </w:p>
        </w:tc>
        <w:tc>
          <w:tcPr>
            <w:tcW w:w="0" w:type="dxa"/>
            <w:vAlign w:val="bottom"/>
          </w:tcPr>
          <w:p>
            <w:pPr>
              <w:spacing w:after="0"/>
              <w:rPr>
                <w:sz w:val="1"/>
                <w:szCs w:val="1"/>
                <w:color w:val="auto"/>
              </w:rPr>
            </w:pPr>
          </w:p>
        </w:tc>
      </w:tr>
      <w:tr>
        <w:trPr>
          <w:trHeight w:val="33"/>
        </w:trPr>
        <w:tc>
          <w:tcPr>
            <w:tcW w:w="4380" w:type="dxa"/>
            <w:vAlign w:val="bottom"/>
            <w:tcBorders>
              <w:bottom w:val="single" w:sz="8" w:color="DBDBDB"/>
            </w:tcBorders>
          </w:tcPr>
          <w:p>
            <w:pPr>
              <w:spacing w:after="0"/>
              <w:rPr>
                <w:sz w:val="2"/>
                <w:szCs w:val="2"/>
                <w:color w:val="auto"/>
              </w:rPr>
            </w:pPr>
          </w:p>
        </w:tc>
        <w:tc>
          <w:tcPr>
            <w:tcW w:w="1600" w:type="dxa"/>
            <w:vAlign w:val="bottom"/>
            <w:tcBorders>
              <w:bottom w:val="single" w:sz="8" w:color="CCCCD3"/>
            </w:tcBorders>
            <w:gridSpan w:val="2"/>
          </w:tcPr>
          <w:p>
            <w:pPr>
              <w:spacing w:after="0"/>
              <w:rPr>
                <w:sz w:val="2"/>
                <w:szCs w:val="2"/>
                <w:color w:val="auto"/>
              </w:rPr>
            </w:pPr>
          </w:p>
        </w:tc>
        <w:tc>
          <w:tcPr>
            <w:tcW w:w="140" w:type="dxa"/>
            <w:vAlign w:val="bottom"/>
            <w:tcBorders>
              <w:bottom w:val="single" w:sz="8" w:color="CCCCD3"/>
            </w:tcBorders>
          </w:tcPr>
          <w:p>
            <w:pPr>
              <w:spacing w:after="0"/>
              <w:rPr>
                <w:sz w:val="2"/>
                <w:szCs w:val="2"/>
                <w:color w:val="auto"/>
              </w:rPr>
            </w:pPr>
          </w:p>
        </w:tc>
        <w:tc>
          <w:tcPr>
            <w:tcW w:w="1600" w:type="dxa"/>
            <w:vAlign w:val="bottom"/>
            <w:tcBorders>
              <w:bottom w:val="single" w:sz="8" w:color="CCCCD3"/>
            </w:tcBorders>
            <w:gridSpan w:val="2"/>
          </w:tcPr>
          <w:p>
            <w:pPr>
              <w:spacing w:after="0"/>
              <w:rPr>
                <w:sz w:val="2"/>
                <w:szCs w:val="2"/>
                <w:color w:val="auto"/>
              </w:rPr>
            </w:pPr>
          </w:p>
        </w:tc>
        <w:tc>
          <w:tcPr>
            <w:tcW w:w="1720" w:type="dxa"/>
            <w:vAlign w:val="bottom"/>
            <w:tcBorders>
              <w:bottom w:val="single" w:sz="8" w:color="CCCCD3"/>
            </w:tcBorders>
            <w:gridSpan w:val="2"/>
          </w:tcPr>
          <w:p>
            <w:pPr>
              <w:spacing w:after="0"/>
              <w:rPr>
                <w:sz w:val="2"/>
                <w:szCs w:val="2"/>
                <w:color w:val="auto"/>
              </w:rPr>
            </w:pPr>
          </w:p>
        </w:tc>
        <w:tc>
          <w:tcPr>
            <w:tcW w:w="40" w:type="dxa"/>
            <w:vAlign w:val="bottom"/>
            <w:tcBorders>
              <w:bottom w:val="single" w:sz="8" w:color="CCCCD3"/>
            </w:tcBorders>
          </w:tcPr>
          <w:p>
            <w:pPr>
              <w:spacing w:after="0"/>
              <w:rPr>
                <w:sz w:val="2"/>
                <w:szCs w:val="2"/>
                <w:color w:val="auto"/>
              </w:rPr>
            </w:pPr>
          </w:p>
        </w:tc>
        <w:tc>
          <w:tcPr>
            <w:tcW w:w="1740" w:type="dxa"/>
            <w:vAlign w:val="bottom"/>
            <w:tcBorders>
              <w:bottom w:val="single" w:sz="8" w:color="DBDBDB"/>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Other debtors</w:t>
            </w:r>
            <w:r>
              <w:rPr>
                <w:rFonts w:ascii="Arial" w:cs="Arial" w:eastAsia="Arial" w:hAnsi="Arial"/>
                <w:sz w:val="19"/>
                <w:szCs w:val="19"/>
                <w:color w:val="auto"/>
                <w:vertAlign w:val="superscript"/>
              </w:rPr>
              <w:t>2</w:t>
            </w:r>
          </w:p>
        </w:tc>
        <w:tc>
          <w:tcPr>
            <w:tcW w:w="1600" w:type="dxa"/>
            <w:vAlign w:val="bottom"/>
            <w:tcBorders>
              <w:bottom w:val="single" w:sz="8" w:color="CCCCD3"/>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CCD3"/>
            </w:tcBorders>
          </w:tcPr>
          <w:p>
            <w:pPr>
              <w:spacing w:after="0"/>
              <w:rPr>
                <w:sz w:val="20"/>
                <w:szCs w:val="20"/>
                <w:color w:val="auto"/>
              </w:rPr>
            </w:pPr>
          </w:p>
        </w:tc>
        <w:tc>
          <w:tcPr>
            <w:tcW w:w="1600" w:type="dxa"/>
            <w:vAlign w:val="bottom"/>
            <w:tcBorders>
              <w:bottom w:val="single" w:sz="8" w:color="CCCCD3"/>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CCCCD3"/>
            </w:tcBorders>
            <w:gridSpan w:val="2"/>
          </w:tcPr>
          <w:p>
            <w:pPr>
              <w:jc w:val="right"/>
              <w:spacing w:after="0"/>
              <w:rPr>
                <w:sz w:val="20"/>
                <w:szCs w:val="20"/>
                <w:color w:val="auto"/>
              </w:rPr>
            </w:pPr>
            <w:r>
              <w:rPr>
                <w:rFonts w:ascii="Arial" w:cs="Arial" w:eastAsia="Arial" w:hAnsi="Arial"/>
                <w:sz w:val="15"/>
                <w:szCs w:val="15"/>
                <w:color w:val="auto"/>
              </w:rPr>
              <w:t>63.0</w:t>
            </w:r>
          </w:p>
        </w:tc>
        <w:tc>
          <w:tcPr>
            <w:tcW w:w="40" w:type="dxa"/>
            <w:vAlign w:val="bottom"/>
            <w:tcBorders>
              <w:bottom w:val="single" w:sz="8" w:color="CCCCD3"/>
            </w:tcBorders>
          </w:tcPr>
          <w:p>
            <w:pPr>
              <w:spacing w:after="0"/>
              <w:rPr>
                <w:sz w:val="20"/>
                <w:szCs w:val="20"/>
                <w:color w:val="auto"/>
              </w:rPr>
            </w:pPr>
          </w:p>
        </w:tc>
        <w:tc>
          <w:tcPr>
            <w:tcW w:w="1740" w:type="dxa"/>
            <w:vAlign w:val="bottom"/>
            <w:tcBorders>
              <w:bottom w:val="single" w:sz="8" w:color="DBDBDB"/>
            </w:tcBorders>
            <w:gridSpan w:val="2"/>
          </w:tcPr>
          <w:p>
            <w:pPr>
              <w:jc w:val="right"/>
              <w:spacing w:after="0"/>
              <w:rPr>
                <w:sz w:val="20"/>
                <w:szCs w:val="20"/>
                <w:color w:val="auto"/>
              </w:rPr>
            </w:pPr>
            <w:r>
              <w:rPr>
                <w:rFonts w:ascii="Arial" w:cs="Arial" w:eastAsia="Arial" w:hAnsi="Arial"/>
                <w:sz w:val="15"/>
                <w:szCs w:val="15"/>
                <w:color w:val="auto"/>
              </w:rPr>
              <w:t>63.0</w:t>
            </w:r>
          </w:p>
        </w:tc>
        <w:tc>
          <w:tcPr>
            <w:tcW w:w="0" w:type="dxa"/>
            <w:vAlign w:val="bottom"/>
          </w:tcPr>
          <w:p>
            <w:pPr>
              <w:spacing w:after="0"/>
              <w:rPr>
                <w:sz w:val="1"/>
                <w:szCs w:val="1"/>
                <w:color w:val="auto"/>
              </w:rPr>
            </w:pPr>
          </w:p>
        </w:tc>
      </w:tr>
      <w:tr>
        <w:trPr>
          <w:trHeight w:val="203"/>
        </w:trPr>
        <w:tc>
          <w:tcPr>
            <w:tcW w:w="4380" w:type="dxa"/>
            <w:vAlign w:val="bottom"/>
          </w:tcPr>
          <w:p>
            <w:pPr>
              <w:ind w:left="20"/>
              <w:spacing w:after="0"/>
              <w:rPr>
                <w:sz w:val="20"/>
                <w:szCs w:val="20"/>
                <w:color w:val="auto"/>
              </w:rPr>
            </w:pPr>
            <w:r>
              <w:rPr>
                <w:rFonts w:ascii="Arial" w:cs="Arial" w:eastAsia="Arial" w:hAnsi="Arial"/>
                <w:sz w:val="15"/>
                <w:szCs w:val="15"/>
                <w:color w:val="auto"/>
              </w:rPr>
              <w:t>Cash and cash equivalents</w:t>
            </w: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2,556.6</w:t>
            </w:r>
          </w:p>
        </w:tc>
        <w:tc>
          <w:tcPr>
            <w:tcW w:w="4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2,556.6</w:t>
            </w:r>
          </w:p>
        </w:tc>
        <w:tc>
          <w:tcPr>
            <w:tcW w:w="0" w:type="dxa"/>
            <w:vAlign w:val="bottom"/>
          </w:tcPr>
          <w:p>
            <w:pPr>
              <w:spacing w:after="0"/>
              <w:rPr>
                <w:sz w:val="1"/>
                <w:szCs w:val="1"/>
                <w:color w:val="auto"/>
              </w:rPr>
            </w:pPr>
          </w:p>
        </w:tc>
      </w:tr>
      <w:tr>
        <w:trPr>
          <w:trHeight w:val="33"/>
        </w:trPr>
        <w:tc>
          <w:tcPr>
            <w:tcW w:w="4380" w:type="dxa"/>
            <w:vAlign w:val="bottom"/>
            <w:tcBorders>
              <w:bottom w:val="single" w:sz="8" w:color="793690"/>
            </w:tcBorders>
          </w:tcPr>
          <w:p>
            <w:pPr>
              <w:spacing w:after="0"/>
              <w:rPr>
                <w:sz w:val="2"/>
                <w:szCs w:val="2"/>
                <w:color w:val="auto"/>
              </w:rPr>
            </w:pPr>
          </w:p>
        </w:tc>
        <w:tc>
          <w:tcPr>
            <w:tcW w:w="1560" w:type="dxa"/>
            <w:vAlign w:val="bottom"/>
            <w:tcBorders>
              <w:bottom w:val="single" w:sz="8" w:color="793690"/>
            </w:tcBorders>
          </w:tcPr>
          <w:p>
            <w:pPr>
              <w:spacing w:after="0"/>
              <w:rPr>
                <w:sz w:val="2"/>
                <w:szCs w:val="2"/>
                <w:color w:val="auto"/>
              </w:rPr>
            </w:pPr>
          </w:p>
        </w:tc>
        <w:tc>
          <w:tcPr>
            <w:tcW w:w="40" w:type="dxa"/>
            <w:vAlign w:val="bottom"/>
            <w:tcBorders>
              <w:bottom w:val="single" w:sz="8" w:color="793690"/>
            </w:tcBorders>
          </w:tcPr>
          <w:p>
            <w:pPr>
              <w:spacing w:after="0"/>
              <w:rPr>
                <w:sz w:val="2"/>
                <w:szCs w:val="2"/>
                <w:color w:val="auto"/>
              </w:rPr>
            </w:pPr>
          </w:p>
        </w:tc>
        <w:tc>
          <w:tcPr>
            <w:tcW w:w="1700" w:type="dxa"/>
            <w:vAlign w:val="bottom"/>
            <w:tcBorders>
              <w:bottom w:val="single" w:sz="8" w:color="793690"/>
            </w:tcBorders>
            <w:gridSpan w:val="2"/>
          </w:tcPr>
          <w:p>
            <w:pPr>
              <w:spacing w:after="0"/>
              <w:rPr>
                <w:sz w:val="2"/>
                <w:szCs w:val="2"/>
                <w:color w:val="auto"/>
              </w:rPr>
            </w:pPr>
          </w:p>
        </w:tc>
        <w:tc>
          <w:tcPr>
            <w:tcW w:w="40" w:type="dxa"/>
            <w:vAlign w:val="bottom"/>
            <w:tcBorders>
              <w:bottom w:val="single" w:sz="8" w:color="793690"/>
            </w:tcBorders>
          </w:tcPr>
          <w:p>
            <w:pPr>
              <w:spacing w:after="0"/>
              <w:rPr>
                <w:sz w:val="2"/>
                <w:szCs w:val="2"/>
                <w:color w:val="auto"/>
              </w:rPr>
            </w:pPr>
          </w:p>
        </w:tc>
        <w:tc>
          <w:tcPr>
            <w:tcW w:w="1720" w:type="dxa"/>
            <w:vAlign w:val="bottom"/>
            <w:tcBorders>
              <w:bottom w:val="single" w:sz="8" w:color="793690"/>
            </w:tcBorders>
            <w:gridSpan w:val="2"/>
          </w:tcPr>
          <w:p>
            <w:pPr>
              <w:spacing w:after="0"/>
              <w:rPr>
                <w:sz w:val="2"/>
                <w:szCs w:val="2"/>
                <w:color w:val="auto"/>
              </w:rPr>
            </w:pPr>
          </w:p>
        </w:tc>
        <w:tc>
          <w:tcPr>
            <w:tcW w:w="40" w:type="dxa"/>
            <w:vAlign w:val="bottom"/>
            <w:tcBorders>
              <w:bottom w:val="single" w:sz="8" w:color="793690"/>
            </w:tcBorders>
          </w:tcPr>
          <w:p>
            <w:pPr>
              <w:spacing w:after="0"/>
              <w:rPr>
                <w:sz w:val="2"/>
                <w:szCs w:val="2"/>
                <w:color w:val="auto"/>
              </w:rPr>
            </w:pPr>
          </w:p>
        </w:tc>
        <w:tc>
          <w:tcPr>
            <w:tcW w:w="1740" w:type="dxa"/>
            <w:vAlign w:val="bottom"/>
            <w:tcBorders>
              <w:bottom w:val="single" w:sz="8" w:color="793690"/>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10,390.1</w:t>
            </w:r>
          </w:p>
        </w:tc>
        <w:tc>
          <w:tcPr>
            <w:tcW w:w="4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25.5</w:t>
            </w:r>
          </w:p>
        </w:tc>
        <w:tc>
          <w:tcPr>
            <w:tcW w:w="40" w:type="dxa"/>
            <w:vAlign w:val="bottom"/>
          </w:tcPr>
          <w:p>
            <w:pPr>
              <w:spacing w:after="0"/>
              <w:rPr>
                <w:sz w:val="17"/>
                <w:szCs w:val="17"/>
                <w:color w:val="auto"/>
              </w:rPr>
            </w:pP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13,401.8</w:t>
            </w:r>
          </w:p>
        </w:tc>
        <w:tc>
          <w:tcPr>
            <w:tcW w:w="4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23,817.4</w:t>
            </w:r>
          </w:p>
        </w:tc>
        <w:tc>
          <w:tcPr>
            <w:tcW w:w="0" w:type="dxa"/>
            <w:vAlign w:val="bottom"/>
          </w:tcPr>
          <w:p>
            <w:pPr>
              <w:spacing w:after="0"/>
              <w:rPr>
                <w:sz w:val="1"/>
                <w:szCs w:val="1"/>
                <w:color w:val="auto"/>
              </w:rPr>
            </w:pPr>
          </w:p>
        </w:tc>
      </w:tr>
      <w:tr>
        <w:trPr>
          <w:trHeight w:val="33"/>
        </w:trPr>
        <w:tc>
          <w:tcPr>
            <w:tcW w:w="4380" w:type="dxa"/>
            <w:vAlign w:val="bottom"/>
            <w:tcBorders>
              <w:bottom w:val="single" w:sz="8" w:color="793690"/>
            </w:tcBorders>
          </w:tcPr>
          <w:p>
            <w:pPr>
              <w:spacing w:after="0"/>
              <w:rPr>
                <w:sz w:val="2"/>
                <w:szCs w:val="2"/>
                <w:color w:val="auto"/>
              </w:rPr>
            </w:pPr>
          </w:p>
        </w:tc>
        <w:tc>
          <w:tcPr>
            <w:tcW w:w="1560" w:type="dxa"/>
            <w:vAlign w:val="bottom"/>
            <w:tcBorders>
              <w:bottom w:val="single" w:sz="8" w:color="793690"/>
            </w:tcBorders>
          </w:tcPr>
          <w:p>
            <w:pPr>
              <w:spacing w:after="0"/>
              <w:rPr>
                <w:sz w:val="2"/>
                <w:szCs w:val="2"/>
                <w:color w:val="auto"/>
              </w:rPr>
            </w:pPr>
          </w:p>
        </w:tc>
        <w:tc>
          <w:tcPr>
            <w:tcW w:w="40" w:type="dxa"/>
            <w:vAlign w:val="bottom"/>
            <w:tcBorders>
              <w:bottom w:val="single" w:sz="8" w:color="793690"/>
            </w:tcBorders>
          </w:tcPr>
          <w:p>
            <w:pPr>
              <w:spacing w:after="0"/>
              <w:rPr>
                <w:sz w:val="2"/>
                <w:szCs w:val="2"/>
                <w:color w:val="auto"/>
              </w:rPr>
            </w:pPr>
          </w:p>
        </w:tc>
        <w:tc>
          <w:tcPr>
            <w:tcW w:w="140" w:type="dxa"/>
            <w:vAlign w:val="bottom"/>
            <w:tcBorders>
              <w:bottom w:val="single" w:sz="8" w:color="793690"/>
            </w:tcBorders>
          </w:tcPr>
          <w:p>
            <w:pPr>
              <w:spacing w:after="0"/>
              <w:rPr>
                <w:sz w:val="2"/>
                <w:szCs w:val="2"/>
                <w:color w:val="auto"/>
              </w:rPr>
            </w:pPr>
          </w:p>
        </w:tc>
        <w:tc>
          <w:tcPr>
            <w:tcW w:w="1560" w:type="dxa"/>
            <w:vAlign w:val="bottom"/>
            <w:tcBorders>
              <w:bottom w:val="single" w:sz="8" w:color="793690"/>
            </w:tcBorders>
          </w:tcPr>
          <w:p>
            <w:pPr>
              <w:spacing w:after="0"/>
              <w:rPr>
                <w:sz w:val="2"/>
                <w:szCs w:val="2"/>
                <w:color w:val="auto"/>
              </w:rPr>
            </w:pPr>
          </w:p>
        </w:tc>
        <w:tc>
          <w:tcPr>
            <w:tcW w:w="40" w:type="dxa"/>
            <w:vAlign w:val="bottom"/>
            <w:tcBorders>
              <w:bottom w:val="single" w:sz="8" w:color="793690"/>
            </w:tcBorders>
          </w:tcPr>
          <w:p>
            <w:pPr>
              <w:spacing w:after="0"/>
              <w:rPr>
                <w:sz w:val="2"/>
                <w:szCs w:val="2"/>
                <w:color w:val="auto"/>
              </w:rPr>
            </w:pPr>
          </w:p>
        </w:tc>
        <w:tc>
          <w:tcPr>
            <w:tcW w:w="140" w:type="dxa"/>
            <w:vAlign w:val="bottom"/>
            <w:tcBorders>
              <w:bottom w:val="single" w:sz="8" w:color="793690"/>
            </w:tcBorders>
          </w:tcPr>
          <w:p>
            <w:pPr>
              <w:spacing w:after="0"/>
              <w:rPr>
                <w:sz w:val="2"/>
                <w:szCs w:val="2"/>
                <w:color w:val="auto"/>
              </w:rPr>
            </w:pPr>
          </w:p>
        </w:tc>
        <w:tc>
          <w:tcPr>
            <w:tcW w:w="1580" w:type="dxa"/>
            <w:vAlign w:val="bottom"/>
            <w:tcBorders>
              <w:bottom w:val="single" w:sz="8" w:color="793690"/>
            </w:tcBorders>
          </w:tcPr>
          <w:p>
            <w:pPr>
              <w:spacing w:after="0"/>
              <w:rPr>
                <w:sz w:val="2"/>
                <w:szCs w:val="2"/>
                <w:color w:val="auto"/>
              </w:rPr>
            </w:pPr>
          </w:p>
        </w:tc>
        <w:tc>
          <w:tcPr>
            <w:tcW w:w="40" w:type="dxa"/>
            <w:vAlign w:val="bottom"/>
            <w:tcBorders>
              <w:bottom w:val="single" w:sz="8" w:color="793690"/>
            </w:tcBorders>
          </w:tcPr>
          <w:p>
            <w:pPr>
              <w:spacing w:after="0"/>
              <w:rPr>
                <w:sz w:val="2"/>
                <w:szCs w:val="2"/>
                <w:color w:val="auto"/>
              </w:rPr>
            </w:pPr>
          </w:p>
        </w:tc>
        <w:tc>
          <w:tcPr>
            <w:tcW w:w="140" w:type="dxa"/>
            <w:vAlign w:val="bottom"/>
            <w:tcBorders>
              <w:bottom w:val="single" w:sz="8" w:color="793690"/>
            </w:tcBorders>
          </w:tcPr>
          <w:p>
            <w:pPr>
              <w:spacing w:after="0"/>
              <w:rPr>
                <w:sz w:val="2"/>
                <w:szCs w:val="2"/>
                <w:color w:val="auto"/>
              </w:rPr>
            </w:pPr>
          </w:p>
        </w:tc>
        <w:tc>
          <w:tcPr>
            <w:tcW w:w="1600" w:type="dxa"/>
            <w:vAlign w:val="bottom"/>
            <w:tcBorders>
              <w:bottom w:val="single" w:sz="8" w:color="79369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160" w:right="80" w:hanging="152"/>
        <w:spacing w:after="0" w:line="259" w:lineRule="auto"/>
        <w:tabs>
          <w:tab w:leader="none" w:pos="226" w:val="left"/>
        </w:tabs>
        <w:numPr>
          <w:ilvl w:val="0"/>
          <w:numId w:val="32"/>
        </w:numPr>
        <w:rPr>
          <w:rFonts w:ascii="Arial" w:cs="Arial" w:eastAsia="Arial" w:hAnsi="Arial"/>
          <w:sz w:val="11"/>
          <w:szCs w:val="11"/>
          <w:color w:val="auto"/>
        </w:rPr>
      </w:pPr>
      <w:r>
        <w:rPr>
          <w:rFonts w:ascii="Arial" w:cs="Arial" w:eastAsia="Arial" w:hAnsi="Arial"/>
          <w:sz w:val="11"/>
          <w:szCs w:val="11"/>
          <w:color w:val="auto"/>
        </w:rPr>
        <w:t>The fair value of the Treasury Instruments, which are Level 1 instruments as they are all quoted instruments, held at amortised cost at 30 June 2025 was $3,418.3m (31 December 2024: $3,541.7m). The fair values of other assets and liabilities at amortised cost are consistent with the carrying amount.</w:t>
      </w:r>
    </w:p>
    <w:p>
      <w:pPr>
        <w:spacing w:after="0" w:line="37" w:lineRule="exact"/>
        <w:rPr>
          <w:rFonts w:ascii="Arial" w:cs="Arial" w:eastAsia="Arial" w:hAnsi="Arial"/>
          <w:sz w:val="11"/>
          <w:szCs w:val="11"/>
          <w:color w:val="auto"/>
        </w:rPr>
      </w:pPr>
    </w:p>
    <w:p>
      <w:pPr>
        <w:ind w:left="220" w:hanging="212"/>
        <w:spacing w:after="0"/>
        <w:tabs>
          <w:tab w:leader="none" w:pos="220" w:val="left"/>
        </w:tabs>
        <w:numPr>
          <w:ilvl w:val="0"/>
          <w:numId w:val="32"/>
        </w:numPr>
        <w:rPr>
          <w:rFonts w:ascii="Arial" w:cs="Arial" w:eastAsia="Arial" w:hAnsi="Arial"/>
          <w:sz w:val="11"/>
          <w:szCs w:val="11"/>
          <w:color w:val="auto"/>
        </w:rPr>
      </w:pPr>
      <w:r>
        <w:rPr>
          <w:rFonts w:ascii="Arial" w:cs="Arial" w:eastAsia="Arial" w:hAnsi="Arial"/>
          <w:sz w:val="11"/>
          <w:szCs w:val="11"/>
          <w:color w:val="auto"/>
        </w:rPr>
        <w:t>$71.7m (31 December 2024: $41.5m) of the other debtors balance relates to sign-on bonuses and forgivable employee loans and are not included in the table above as they are not a financial asset.</w:t>
      </w:r>
    </w:p>
    <w:p>
      <w:pPr>
        <w:sectPr>
          <w:pgSz w:w="11900" w:h="16838" w:orient="portrait"/>
          <w:cols w:equalWidth="0" w:num="1">
            <w:col w:w="11220"/>
          </w:cols>
          <w:pgMar w:left="320" w:top="135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20</w:t>
      </w:r>
    </w:p>
    <w:p>
      <w:pPr>
        <w:sectPr>
          <w:pgSz w:w="11900" w:h="16838" w:orient="portrait"/>
          <w:cols w:equalWidth="0" w:num="1">
            <w:col w:w="11220"/>
          </w:cols>
          <w:pgMar w:left="320" w:top="1353" w:right="35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22"/>
          <w:szCs w:val="22"/>
          <w:b w:val="1"/>
          <w:bCs w:val="1"/>
          <w:color w:val="793690"/>
        </w:rPr>
        <w:t xml:space="preserve">Notes to the Unaudited Condensed Consolidated Financial Statements </w:t>
      </w:r>
      <w:r>
        <w:rPr>
          <w:rFonts w:ascii="Arial" w:cs="Arial" w:eastAsia="Arial" w:hAnsi="Arial"/>
          <w:sz w:val="22"/>
          <w:szCs w:val="22"/>
          <w:color w:val="793690"/>
        </w:rPr>
        <w:t>(continued)</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793690"/>
        </w:rPr>
        <w:t xml:space="preserve">13 Financial Instruments </w:t>
      </w:r>
      <w:r>
        <w:rPr>
          <w:rFonts w:ascii="Arial" w:cs="Arial" w:eastAsia="Arial" w:hAnsi="Arial"/>
          <w:sz w:val="18"/>
          <w:szCs w:val="18"/>
          <w:color w:val="793690"/>
        </w:rPr>
        <w:t>(continued)</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 Categories of financial instruments </w:t>
      </w:r>
      <w:r>
        <w:rPr>
          <w:rFonts w:ascii="Arial" w:cs="Arial" w:eastAsia="Arial" w:hAnsi="Arial"/>
          <w:sz w:val="15"/>
          <w:szCs w:val="15"/>
          <w:color w:val="auto"/>
        </w:rPr>
        <w:t>(continued)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1600" w:type="dxa"/>
            <w:vAlign w:val="bottom"/>
            <w:gridSpan w:val="2"/>
            <w:shd w:val="clear" w:color="auto" w:fill="F4EFF6"/>
          </w:tcPr>
          <w:p>
            <w:pPr>
              <w:jc w:val="right"/>
              <w:ind w:right="20"/>
              <w:spacing w:after="0"/>
              <w:rPr>
                <w:sz w:val="20"/>
                <w:szCs w:val="20"/>
                <w:color w:val="auto"/>
              </w:rPr>
            </w:pPr>
            <w:r>
              <w:rPr>
                <w:rFonts w:ascii="Arial" w:cs="Arial" w:eastAsia="Arial" w:hAnsi="Arial"/>
                <w:sz w:val="13"/>
                <w:szCs w:val="13"/>
                <w:b w:val="1"/>
                <w:bCs w:val="1"/>
                <w:color w:val="auto"/>
              </w:rPr>
              <w:t>FVTPL</w:t>
            </w:r>
          </w:p>
        </w:tc>
        <w:tc>
          <w:tcPr>
            <w:tcW w:w="140" w:type="dxa"/>
            <w:vAlign w:val="bottom"/>
            <w:shd w:val="clear" w:color="auto" w:fill="F4EFF6"/>
          </w:tcPr>
          <w:p>
            <w:pPr>
              <w:spacing w:after="0"/>
              <w:rPr>
                <w:sz w:val="16"/>
                <w:szCs w:val="16"/>
                <w:color w:val="auto"/>
              </w:rPr>
            </w:pPr>
          </w:p>
        </w:tc>
        <w:tc>
          <w:tcPr>
            <w:tcW w:w="1600" w:type="dxa"/>
            <w:vAlign w:val="bottom"/>
            <w:gridSpan w:val="2"/>
            <w:shd w:val="clear" w:color="auto" w:fill="F4EFF6"/>
          </w:tcPr>
          <w:p>
            <w:pPr>
              <w:jc w:val="right"/>
              <w:ind w:right="20"/>
              <w:spacing w:after="0"/>
              <w:rPr>
                <w:sz w:val="20"/>
                <w:szCs w:val="20"/>
                <w:color w:val="auto"/>
              </w:rPr>
            </w:pPr>
            <w:r>
              <w:rPr>
                <w:rFonts w:ascii="Arial" w:cs="Arial" w:eastAsia="Arial" w:hAnsi="Arial"/>
                <w:sz w:val="13"/>
                <w:szCs w:val="13"/>
                <w:b w:val="1"/>
                <w:bCs w:val="1"/>
                <w:color w:val="auto"/>
              </w:rPr>
              <w:t>FVTOCI</w:t>
            </w:r>
          </w:p>
        </w:tc>
        <w:tc>
          <w:tcPr>
            <w:tcW w:w="140" w:type="dxa"/>
            <w:vAlign w:val="bottom"/>
            <w:shd w:val="clear" w:color="auto" w:fill="F4EFF6"/>
          </w:tcPr>
          <w:p>
            <w:pPr>
              <w:spacing w:after="0"/>
              <w:rPr>
                <w:sz w:val="16"/>
                <w:szCs w:val="16"/>
                <w:color w:val="auto"/>
              </w:rPr>
            </w:pPr>
          </w:p>
        </w:tc>
        <w:tc>
          <w:tcPr>
            <w:tcW w:w="1620" w:type="dxa"/>
            <w:vAlign w:val="bottom"/>
            <w:gridSpan w:val="2"/>
            <w:shd w:val="clear" w:color="auto" w:fill="F4EFF6"/>
          </w:tcPr>
          <w:p>
            <w:pPr>
              <w:jc w:val="right"/>
              <w:ind w:right="20"/>
              <w:spacing w:after="0"/>
              <w:rPr>
                <w:sz w:val="20"/>
                <w:szCs w:val="20"/>
                <w:color w:val="auto"/>
              </w:rPr>
            </w:pPr>
            <w:r>
              <w:rPr>
                <w:rFonts w:ascii="Arial" w:cs="Arial" w:eastAsia="Arial" w:hAnsi="Arial"/>
                <w:sz w:val="13"/>
                <w:szCs w:val="13"/>
                <w:b w:val="1"/>
                <w:bCs w:val="1"/>
                <w:color w:val="auto"/>
              </w:rPr>
              <w:t>Amortised cost</w:t>
            </w:r>
          </w:p>
        </w:tc>
        <w:tc>
          <w:tcPr>
            <w:tcW w:w="17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5"/>
        </w:trPr>
        <w:tc>
          <w:tcPr>
            <w:tcW w:w="4380" w:type="dxa"/>
            <w:vAlign w:val="bottom"/>
          </w:tcPr>
          <w:p>
            <w:pPr>
              <w:ind w:left="20"/>
              <w:spacing w:after="0"/>
              <w:rPr>
                <w:sz w:val="20"/>
                <w:szCs w:val="20"/>
                <w:color w:val="auto"/>
              </w:rPr>
            </w:pPr>
            <w:r>
              <w:rPr>
                <w:rFonts w:ascii="Arial" w:cs="Arial" w:eastAsia="Arial" w:hAnsi="Arial"/>
                <w:sz w:val="13"/>
                <w:szCs w:val="13"/>
                <w:b w:val="1"/>
                <w:bCs w:val="1"/>
                <w:color w:val="auto"/>
              </w:rPr>
              <w:t>Financial liabilities at 30 June 2025</w:t>
            </w:r>
          </w:p>
        </w:tc>
        <w:tc>
          <w:tcPr>
            <w:tcW w:w="1600" w:type="dxa"/>
            <w:vAlign w:val="bottom"/>
            <w:tcBorders>
              <w:bottom w:val="single" w:sz="8" w:color="F4EFF6"/>
            </w:tcBorders>
            <w:gridSpan w:val="2"/>
            <w:shd w:val="clear" w:color="auto" w:fill="F4EFF6"/>
          </w:tcPr>
          <w:p>
            <w:pPr>
              <w:jc w:val="right"/>
              <w:ind w:right="20"/>
              <w:spacing w:after="0"/>
              <w:rPr>
                <w:sz w:val="20"/>
                <w:szCs w:val="20"/>
                <w:color w:val="auto"/>
              </w:rPr>
            </w:pPr>
            <w:r>
              <w:rPr>
                <w:rFonts w:ascii="Arial" w:cs="Arial" w:eastAsia="Arial" w:hAnsi="Arial"/>
                <w:sz w:val="13"/>
                <w:szCs w:val="13"/>
                <w:b w:val="1"/>
                <w:bCs w:val="1"/>
                <w:color w:val="auto"/>
              </w:rPr>
              <w:t>$m</w:t>
            </w:r>
          </w:p>
        </w:tc>
        <w:tc>
          <w:tcPr>
            <w:tcW w:w="140" w:type="dxa"/>
            <w:vAlign w:val="bottom"/>
            <w:tcBorders>
              <w:bottom w:val="single" w:sz="8" w:color="F4EFF6"/>
            </w:tcBorders>
            <w:shd w:val="clear" w:color="auto" w:fill="F4EFF6"/>
          </w:tcPr>
          <w:p>
            <w:pPr>
              <w:spacing w:after="0"/>
              <w:rPr>
                <w:sz w:val="17"/>
                <w:szCs w:val="17"/>
                <w:color w:val="auto"/>
              </w:rPr>
            </w:pPr>
          </w:p>
        </w:tc>
        <w:tc>
          <w:tcPr>
            <w:tcW w:w="1600" w:type="dxa"/>
            <w:vAlign w:val="bottom"/>
            <w:tcBorders>
              <w:bottom w:val="single" w:sz="8" w:color="F4EFF6"/>
            </w:tcBorders>
            <w:gridSpan w:val="2"/>
            <w:shd w:val="clear" w:color="auto" w:fill="F4EFF6"/>
          </w:tcPr>
          <w:p>
            <w:pPr>
              <w:jc w:val="right"/>
              <w:ind w:right="20"/>
              <w:spacing w:after="0"/>
              <w:rPr>
                <w:sz w:val="20"/>
                <w:szCs w:val="20"/>
                <w:color w:val="auto"/>
              </w:rPr>
            </w:pPr>
            <w:r>
              <w:rPr>
                <w:rFonts w:ascii="Arial" w:cs="Arial" w:eastAsia="Arial" w:hAnsi="Arial"/>
                <w:sz w:val="13"/>
                <w:szCs w:val="13"/>
                <w:b w:val="1"/>
                <w:bCs w:val="1"/>
                <w:color w:val="auto"/>
              </w:rPr>
              <w:t>$m</w:t>
            </w:r>
          </w:p>
        </w:tc>
        <w:tc>
          <w:tcPr>
            <w:tcW w:w="140" w:type="dxa"/>
            <w:vAlign w:val="bottom"/>
            <w:tcBorders>
              <w:bottom w:val="single" w:sz="8" w:color="F4EFF6"/>
            </w:tcBorders>
            <w:shd w:val="clear" w:color="auto" w:fill="F4EFF6"/>
          </w:tcPr>
          <w:p>
            <w:pPr>
              <w:spacing w:after="0"/>
              <w:rPr>
                <w:sz w:val="17"/>
                <w:szCs w:val="17"/>
                <w:color w:val="auto"/>
              </w:rPr>
            </w:pPr>
          </w:p>
        </w:tc>
        <w:tc>
          <w:tcPr>
            <w:tcW w:w="1620" w:type="dxa"/>
            <w:vAlign w:val="bottom"/>
            <w:tcBorders>
              <w:bottom w:val="single" w:sz="8" w:color="F4EFF6"/>
            </w:tcBorders>
            <w:gridSpan w:val="2"/>
            <w:shd w:val="clear" w:color="auto" w:fill="F4EFF6"/>
          </w:tcPr>
          <w:p>
            <w:pPr>
              <w:jc w:val="right"/>
              <w:ind w:right="20"/>
              <w:spacing w:after="0"/>
              <w:rPr>
                <w:sz w:val="20"/>
                <w:szCs w:val="20"/>
                <w:color w:val="auto"/>
              </w:rPr>
            </w:pPr>
            <w:r>
              <w:rPr>
                <w:rFonts w:ascii="Arial" w:cs="Arial" w:eastAsia="Arial" w:hAnsi="Arial"/>
                <w:sz w:val="13"/>
                <w:szCs w:val="13"/>
                <w:b w:val="1"/>
                <w:bCs w:val="1"/>
                <w:color w:val="auto"/>
              </w:rPr>
              <w:t>$m</w:t>
            </w:r>
          </w:p>
        </w:tc>
        <w:tc>
          <w:tcPr>
            <w:tcW w:w="174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0" w:type="dxa"/>
            <w:vAlign w:val="bottom"/>
          </w:tcPr>
          <w:p>
            <w:pPr>
              <w:spacing w:after="0"/>
              <w:rPr>
                <w:sz w:val="1"/>
                <w:szCs w:val="1"/>
                <w:color w:val="auto"/>
              </w:rPr>
            </w:pPr>
          </w:p>
        </w:tc>
      </w:tr>
      <w:tr>
        <w:trPr>
          <w:trHeight w:val="237"/>
        </w:trPr>
        <w:tc>
          <w:tcPr>
            <w:tcW w:w="438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Repurchase agreements</w:t>
            </w:r>
          </w:p>
        </w:tc>
        <w:tc>
          <w:tcPr>
            <w:tcW w:w="156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3,290.7</w:t>
            </w:r>
          </w:p>
        </w:tc>
        <w:tc>
          <w:tcPr>
            <w:tcW w:w="40" w:type="dxa"/>
            <w:vAlign w:val="bottom"/>
            <w:tcBorders>
              <w:top w:val="single" w:sz="8" w:color="793690"/>
              <w:bottom w:val="single" w:sz="8" w:color="F4EFF6"/>
            </w:tcBorders>
            <w:shd w:val="clear" w:color="auto" w:fill="F4EFF6"/>
          </w:tcPr>
          <w:p>
            <w:pPr>
              <w:spacing w:after="0"/>
              <w:rPr>
                <w:sz w:val="20"/>
                <w:szCs w:val="20"/>
                <w:color w:val="auto"/>
              </w:rPr>
            </w:pPr>
          </w:p>
        </w:tc>
        <w:tc>
          <w:tcPr>
            <w:tcW w:w="140" w:type="dxa"/>
            <w:vAlign w:val="bottom"/>
            <w:tcBorders>
              <w:top w:val="single" w:sz="8" w:color="793690"/>
              <w:bottom w:val="single" w:sz="8" w:color="F4EFF6"/>
            </w:tcBorders>
            <w:shd w:val="clear" w:color="auto" w:fill="F4EFF6"/>
          </w:tcPr>
          <w:p>
            <w:pPr>
              <w:spacing w:after="0"/>
              <w:rPr>
                <w:sz w:val="20"/>
                <w:szCs w:val="20"/>
                <w:color w:val="auto"/>
              </w:rPr>
            </w:pPr>
          </w:p>
        </w:tc>
        <w:tc>
          <w:tcPr>
            <w:tcW w:w="156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793690"/>
              <w:bottom w:val="single" w:sz="8" w:color="F4EFF6"/>
            </w:tcBorders>
            <w:shd w:val="clear" w:color="auto" w:fill="F4EFF6"/>
          </w:tcPr>
          <w:p>
            <w:pPr>
              <w:spacing w:after="0"/>
              <w:rPr>
                <w:sz w:val="20"/>
                <w:szCs w:val="20"/>
                <w:color w:val="auto"/>
              </w:rPr>
            </w:pPr>
          </w:p>
        </w:tc>
        <w:tc>
          <w:tcPr>
            <w:tcW w:w="140" w:type="dxa"/>
            <w:vAlign w:val="bottom"/>
            <w:tcBorders>
              <w:top w:val="single" w:sz="8" w:color="793690"/>
              <w:bottom w:val="single" w:sz="8" w:color="F4EFF6"/>
            </w:tcBorders>
            <w:shd w:val="clear" w:color="auto" w:fill="F4EFF6"/>
          </w:tcPr>
          <w:p>
            <w:pPr>
              <w:spacing w:after="0"/>
              <w:rPr>
                <w:sz w:val="20"/>
                <w:szCs w:val="20"/>
                <w:color w:val="auto"/>
              </w:rPr>
            </w:pPr>
          </w:p>
        </w:tc>
        <w:tc>
          <w:tcPr>
            <w:tcW w:w="1620" w:type="dxa"/>
            <w:vAlign w:val="bottom"/>
            <w:tcBorders>
              <w:top w:val="single" w:sz="8" w:color="793690"/>
              <w:bottom w:val="single" w:sz="8" w:color="F4EFF6"/>
            </w:tcBorders>
            <w:gridSpan w:val="2"/>
            <w:shd w:val="clear" w:color="auto" w:fill="F4EFF6"/>
          </w:tcPr>
          <w:p>
            <w:pPr>
              <w:jc w:val="right"/>
              <w:ind w:right="80"/>
              <w:spacing w:after="0"/>
              <w:rPr>
                <w:sz w:val="20"/>
                <w:szCs w:val="20"/>
                <w:color w:val="auto"/>
              </w:rPr>
            </w:pPr>
            <w:r>
              <w:rPr>
                <w:rFonts w:ascii="Arial" w:cs="Arial" w:eastAsia="Arial" w:hAnsi="Arial"/>
                <w:sz w:val="15"/>
                <w:szCs w:val="15"/>
                <w:b w:val="1"/>
                <w:bCs w:val="1"/>
                <w:color w:val="auto"/>
              </w:rPr>
              <w:t>—</w:t>
            </w:r>
          </w:p>
        </w:tc>
        <w:tc>
          <w:tcPr>
            <w:tcW w:w="17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3,290.7</w:t>
            </w:r>
          </w:p>
        </w:tc>
        <w:tc>
          <w:tcPr>
            <w:tcW w:w="0" w:type="dxa"/>
            <w:vAlign w:val="bottom"/>
          </w:tcPr>
          <w:p>
            <w:pPr>
              <w:spacing w:after="0"/>
              <w:rPr>
                <w:sz w:val="1"/>
                <w:szCs w:val="1"/>
                <w:color w:val="auto"/>
              </w:rPr>
            </w:pPr>
          </w:p>
        </w:tc>
      </w:tr>
      <w:tr>
        <w:trPr>
          <w:trHeight w:val="237"/>
        </w:trPr>
        <w:tc>
          <w:tcPr>
            <w:tcW w:w="43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Derivative instruments</w:t>
            </w:r>
          </w:p>
        </w:tc>
        <w:tc>
          <w:tcPr>
            <w:tcW w:w="15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1,093.6</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5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2.9</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620" w:type="dxa"/>
            <w:vAlign w:val="bottom"/>
            <w:tcBorders>
              <w:top w:val="single" w:sz="8" w:color="DADAE7"/>
              <w:bottom w:val="single" w:sz="8" w:color="F4EFF6"/>
            </w:tcBorders>
            <w:gridSpan w:val="2"/>
            <w:shd w:val="clear" w:color="auto" w:fill="F4EFF6"/>
          </w:tcPr>
          <w:p>
            <w:pPr>
              <w:jc w:val="right"/>
              <w:ind w:right="80"/>
              <w:spacing w:after="0"/>
              <w:rPr>
                <w:sz w:val="20"/>
                <w:szCs w:val="20"/>
                <w:color w:val="auto"/>
              </w:rPr>
            </w:pPr>
            <w:r>
              <w:rPr>
                <w:rFonts w:ascii="Arial" w:cs="Arial" w:eastAsia="Arial" w:hAnsi="Arial"/>
                <w:sz w:val="15"/>
                <w:szCs w:val="15"/>
                <w:b w:val="1"/>
                <w:bCs w:val="1"/>
                <w:color w:val="auto"/>
              </w:rPr>
              <w:t>—</w:t>
            </w:r>
          </w:p>
        </w:tc>
        <w:tc>
          <w:tcPr>
            <w:tcW w:w="17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1,096.5</w:t>
            </w:r>
          </w:p>
        </w:tc>
        <w:tc>
          <w:tcPr>
            <w:tcW w:w="0" w:type="dxa"/>
            <w:vAlign w:val="bottom"/>
          </w:tcPr>
          <w:p>
            <w:pPr>
              <w:spacing w:after="0"/>
              <w:rPr>
                <w:sz w:val="1"/>
                <w:szCs w:val="1"/>
                <w:color w:val="auto"/>
              </w:rPr>
            </w:pPr>
          </w:p>
        </w:tc>
      </w:tr>
      <w:tr>
        <w:trPr>
          <w:trHeight w:val="236"/>
        </w:trPr>
        <w:tc>
          <w:tcPr>
            <w:tcW w:w="43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Short securities</w:t>
            </w:r>
          </w:p>
        </w:tc>
        <w:tc>
          <w:tcPr>
            <w:tcW w:w="15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2,176.5</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5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620" w:type="dxa"/>
            <w:vAlign w:val="bottom"/>
            <w:tcBorders>
              <w:top w:val="single" w:sz="8" w:color="DADAE7"/>
              <w:bottom w:val="single" w:sz="8" w:color="F4EFF6"/>
            </w:tcBorders>
            <w:gridSpan w:val="2"/>
            <w:shd w:val="clear" w:color="auto" w:fill="F4EFF6"/>
          </w:tcPr>
          <w:p>
            <w:pPr>
              <w:jc w:val="right"/>
              <w:ind w:right="80"/>
              <w:spacing w:after="0"/>
              <w:rPr>
                <w:sz w:val="20"/>
                <w:szCs w:val="20"/>
                <w:color w:val="auto"/>
              </w:rPr>
            </w:pPr>
            <w:r>
              <w:rPr>
                <w:rFonts w:ascii="Arial" w:cs="Arial" w:eastAsia="Arial" w:hAnsi="Arial"/>
                <w:sz w:val="15"/>
                <w:szCs w:val="15"/>
                <w:b w:val="1"/>
                <w:bCs w:val="1"/>
                <w:color w:val="auto"/>
              </w:rPr>
              <w:t>—</w:t>
            </w:r>
          </w:p>
        </w:tc>
        <w:tc>
          <w:tcPr>
            <w:tcW w:w="17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2,176.5</w:t>
            </w:r>
          </w:p>
        </w:tc>
        <w:tc>
          <w:tcPr>
            <w:tcW w:w="0" w:type="dxa"/>
            <w:vAlign w:val="bottom"/>
          </w:tcPr>
          <w:p>
            <w:pPr>
              <w:spacing w:after="0"/>
              <w:rPr>
                <w:sz w:val="1"/>
                <w:szCs w:val="1"/>
                <w:color w:val="auto"/>
              </w:rPr>
            </w:pPr>
          </w:p>
        </w:tc>
      </w:tr>
      <w:tr>
        <w:trPr>
          <w:trHeight w:val="192"/>
        </w:trPr>
        <w:tc>
          <w:tcPr>
            <w:tcW w:w="43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Amounts due to exchanges, clearing houses and other</w:t>
            </w:r>
          </w:p>
        </w:tc>
        <w:tc>
          <w:tcPr>
            <w:tcW w:w="1560" w:type="dxa"/>
            <w:vAlign w:val="bottom"/>
            <w:tcBorders>
              <w:top w:val="single" w:sz="8" w:color="DADAE7"/>
            </w:tcBorders>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DADAE7"/>
            </w:tcBorders>
            <w:shd w:val="clear" w:color="auto" w:fill="F4EFF6"/>
          </w:tcPr>
          <w:p>
            <w:pPr>
              <w:spacing w:after="0"/>
              <w:rPr>
                <w:sz w:val="16"/>
                <w:szCs w:val="16"/>
                <w:color w:val="auto"/>
              </w:rPr>
            </w:pPr>
          </w:p>
        </w:tc>
        <w:tc>
          <w:tcPr>
            <w:tcW w:w="140" w:type="dxa"/>
            <w:vAlign w:val="bottom"/>
            <w:tcBorders>
              <w:top w:val="single" w:sz="8" w:color="DADAE7"/>
            </w:tcBorders>
            <w:shd w:val="clear" w:color="auto" w:fill="F4EFF6"/>
          </w:tcPr>
          <w:p>
            <w:pPr>
              <w:spacing w:after="0"/>
              <w:rPr>
                <w:sz w:val="16"/>
                <w:szCs w:val="16"/>
                <w:color w:val="auto"/>
              </w:rPr>
            </w:pPr>
          </w:p>
        </w:tc>
        <w:tc>
          <w:tcPr>
            <w:tcW w:w="1560" w:type="dxa"/>
            <w:vAlign w:val="bottom"/>
            <w:tcBorders>
              <w:top w:val="single" w:sz="8" w:color="DADAE7"/>
            </w:tcBorders>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DADAE7"/>
            </w:tcBorders>
            <w:shd w:val="clear" w:color="auto" w:fill="F4EFF6"/>
          </w:tcPr>
          <w:p>
            <w:pPr>
              <w:spacing w:after="0"/>
              <w:rPr>
                <w:sz w:val="16"/>
                <w:szCs w:val="16"/>
                <w:color w:val="auto"/>
              </w:rPr>
            </w:pPr>
          </w:p>
        </w:tc>
        <w:tc>
          <w:tcPr>
            <w:tcW w:w="140" w:type="dxa"/>
            <w:vAlign w:val="bottom"/>
            <w:tcBorders>
              <w:top w:val="single" w:sz="8" w:color="DADAE7"/>
            </w:tcBorders>
            <w:shd w:val="clear" w:color="auto" w:fill="F4EFF6"/>
          </w:tcPr>
          <w:p>
            <w:pPr>
              <w:spacing w:after="0"/>
              <w:rPr>
                <w:sz w:val="16"/>
                <w:szCs w:val="16"/>
                <w:color w:val="auto"/>
              </w:rPr>
            </w:pPr>
          </w:p>
        </w:tc>
        <w:tc>
          <w:tcPr>
            <w:tcW w:w="1580" w:type="dxa"/>
            <w:vAlign w:val="bottom"/>
            <w:tcBorders>
              <w:top w:val="single" w:sz="8" w:color="DADAE7"/>
            </w:tcBorders>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1,020.2</w:t>
            </w:r>
          </w:p>
        </w:tc>
        <w:tc>
          <w:tcPr>
            <w:tcW w:w="40" w:type="dxa"/>
            <w:vAlign w:val="bottom"/>
            <w:tcBorders>
              <w:top w:val="single" w:sz="8" w:color="DADAE7"/>
            </w:tcBorders>
            <w:shd w:val="clear" w:color="auto" w:fill="F4EFF6"/>
          </w:tcPr>
          <w:p>
            <w:pPr>
              <w:spacing w:after="0"/>
              <w:rPr>
                <w:sz w:val="16"/>
                <w:szCs w:val="16"/>
                <w:color w:val="auto"/>
              </w:rPr>
            </w:pPr>
          </w:p>
        </w:tc>
        <w:tc>
          <w:tcPr>
            <w:tcW w:w="1740" w:type="dxa"/>
            <w:vAlign w:val="bottom"/>
            <w:tcBorders>
              <w:top w:val="single" w:sz="8" w:color="DADAE7"/>
            </w:tcBorders>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1,020.2</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counterparties</w:t>
            </w:r>
          </w:p>
        </w:tc>
        <w:tc>
          <w:tcPr>
            <w:tcW w:w="1560" w:type="dxa"/>
            <w:vAlign w:val="bottom"/>
            <w:tcBorders>
              <w:bottom w:val="single" w:sz="8" w:color="DADAE7"/>
            </w:tcBorders>
            <w:vMerge w:val="continue"/>
            <w:shd w:val="clear" w:color="auto" w:fill="F4EFF6"/>
          </w:tcPr>
          <w:p>
            <w:pPr>
              <w:spacing w:after="0"/>
              <w:rPr>
                <w:sz w:val="18"/>
                <w:szCs w:val="18"/>
                <w:color w:val="auto"/>
              </w:rPr>
            </w:pPr>
          </w:p>
        </w:tc>
        <w:tc>
          <w:tcPr>
            <w:tcW w:w="40" w:type="dxa"/>
            <w:vAlign w:val="bottom"/>
            <w:tcBorders>
              <w:bottom w:val="single" w:sz="8" w:color="DADAE7"/>
            </w:tcBorders>
            <w:shd w:val="clear" w:color="auto" w:fill="F4EFF6"/>
          </w:tcPr>
          <w:p>
            <w:pPr>
              <w:spacing w:after="0"/>
              <w:rPr>
                <w:sz w:val="18"/>
                <w:szCs w:val="18"/>
                <w:color w:val="auto"/>
              </w:rPr>
            </w:pPr>
          </w:p>
        </w:tc>
        <w:tc>
          <w:tcPr>
            <w:tcW w:w="140" w:type="dxa"/>
            <w:vAlign w:val="bottom"/>
            <w:tcBorders>
              <w:bottom w:val="single" w:sz="8" w:color="DADAE7"/>
            </w:tcBorders>
            <w:shd w:val="clear" w:color="auto" w:fill="F4EFF6"/>
          </w:tcPr>
          <w:p>
            <w:pPr>
              <w:spacing w:after="0"/>
              <w:rPr>
                <w:sz w:val="18"/>
                <w:szCs w:val="18"/>
                <w:color w:val="auto"/>
              </w:rPr>
            </w:pPr>
          </w:p>
        </w:tc>
        <w:tc>
          <w:tcPr>
            <w:tcW w:w="1560" w:type="dxa"/>
            <w:vAlign w:val="bottom"/>
            <w:tcBorders>
              <w:bottom w:val="single" w:sz="8" w:color="DADAE7"/>
            </w:tcBorders>
            <w:vMerge w:val="continue"/>
            <w:shd w:val="clear" w:color="auto" w:fill="F4EFF6"/>
          </w:tcPr>
          <w:p>
            <w:pPr>
              <w:spacing w:after="0"/>
              <w:rPr>
                <w:sz w:val="18"/>
                <w:szCs w:val="18"/>
                <w:color w:val="auto"/>
              </w:rPr>
            </w:pPr>
          </w:p>
        </w:tc>
        <w:tc>
          <w:tcPr>
            <w:tcW w:w="40" w:type="dxa"/>
            <w:vAlign w:val="bottom"/>
            <w:tcBorders>
              <w:bottom w:val="single" w:sz="8" w:color="DADAE7"/>
            </w:tcBorders>
            <w:shd w:val="clear" w:color="auto" w:fill="F4EFF6"/>
          </w:tcPr>
          <w:p>
            <w:pPr>
              <w:spacing w:after="0"/>
              <w:rPr>
                <w:sz w:val="18"/>
                <w:szCs w:val="18"/>
                <w:color w:val="auto"/>
              </w:rPr>
            </w:pPr>
          </w:p>
        </w:tc>
        <w:tc>
          <w:tcPr>
            <w:tcW w:w="140" w:type="dxa"/>
            <w:vAlign w:val="bottom"/>
            <w:tcBorders>
              <w:bottom w:val="single" w:sz="8" w:color="DADAE7"/>
            </w:tcBorders>
            <w:shd w:val="clear" w:color="auto" w:fill="F4EFF6"/>
          </w:tcPr>
          <w:p>
            <w:pPr>
              <w:spacing w:after="0"/>
              <w:rPr>
                <w:sz w:val="18"/>
                <w:szCs w:val="18"/>
                <w:color w:val="auto"/>
              </w:rPr>
            </w:pPr>
          </w:p>
        </w:tc>
        <w:tc>
          <w:tcPr>
            <w:tcW w:w="1580" w:type="dxa"/>
            <w:vAlign w:val="bottom"/>
            <w:tcBorders>
              <w:bottom w:val="single" w:sz="8" w:color="DADAE7"/>
            </w:tcBorders>
            <w:vMerge w:val="continue"/>
            <w:shd w:val="clear" w:color="auto" w:fill="F4EFF6"/>
          </w:tcPr>
          <w:p>
            <w:pPr>
              <w:spacing w:after="0"/>
              <w:rPr>
                <w:sz w:val="18"/>
                <w:szCs w:val="18"/>
                <w:color w:val="auto"/>
              </w:rPr>
            </w:pPr>
          </w:p>
        </w:tc>
        <w:tc>
          <w:tcPr>
            <w:tcW w:w="40" w:type="dxa"/>
            <w:vAlign w:val="bottom"/>
            <w:tcBorders>
              <w:bottom w:val="single" w:sz="8" w:color="DADAE7"/>
            </w:tcBorders>
            <w:shd w:val="clear" w:color="auto" w:fill="F4EFF6"/>
          </w:tcPr>
          <w:p>
            <w:pPr>
              <w:spacing w:after="0"/>
              <w:rPr>
                <w:sz w:val="18"/>
                <w:szCs w:val="18"/>
                <w:color w:val="auto"/>
              </w:rPr>
            </w:pPr>
          </w:p>
        </w:tc>
        <w:tc>
          <w:tcPr>
            <w:tcW w:w="1740" w:type="dxa"/>
            <w:vAlign w:val="bottom"/>
            <w:tcBorders>
              <w:bottom w:val="single" w:sz="8" w:color="DADAE7"/>
            </w:tcBorders>
            <w:vMerge w:val="continue"/>
            <w:shd w:val="clear" w:color="auto" w:fill="F4EFF6"/>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5"/>
                <w:szCs w:val="15"/>
                <w:color w:val="auto"/>
              </w:rPr>
              <w:t>Amounts due to Prime Brokers</w:t>
            </w:r>
          </w:p>
        </w:tc>
        <w:tc>
          <w:tcPr>
            <w:tcW w:w="156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bottom w:val="single" w:sz="8" w:color="F4EFF6"/>
            </w:tcBorders>
            <w:shd w:val="clear" w:color="auto" w:fill="F4EFF6"/>
          </w:tcPr>
          <w:p>
            <w:pPr>
              <w:spacing w:after="0"/>
              <w:rPr>
                <w:sz w:val="21"/>
                <w:szCs w:val="21"/>
                <w:color w:val="auto"/>
              </w:rPr>
            </w:pPr>
          </w:p>
        </w:tc>
        <w:tc>
          <w:tcPr>
            <w:tcW w:w="140" w:type="dxa"/>
            <w:vAlign w:val="bottom"/>
            <w:tcBorders>
              <w:bottom w:val="single" w:sz="8" w:color="F4EFF6"/>
            </w:tcBorders>
            <w:shd w:val="clear" w:color="auto" w:fill="F4EFF6"/>
          </w:tcPr>
          <w:p>
            <w:pPr>
              <w:spacing w:after="0"/>
              <w:rPr>
                <w:sz w:val="21"/>
                <w:szCs w:val="21"/>
                <w:color w:val="auto"/>
              </w:rPr>
            </w:pPr>
          </w:p>
        </w:tc>
        <w:tc>
          <w:tcPr>
            <w:tcW w:w="156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bottom w:val="single" w:sz="8" w:color="F4EFF6"/>
            </w:tcBorders>
            <w:shd w:val="clear" w:color="auto" w:fill="F4EFF6"/>
          </w:tcPr>
          <w:p>
            <w:pPr>
              <w:spacing w:after="0"/>
              <w:rPr>
                <w:sz w:val="21"/>
                <w:szCs w:val="21"/>
                <w:color w:val="auto"/>
              </w:rPr>
            </w:pPr>
          </w:p>
        </w:tc>
        <w:tc>
          <w:tcPr>
            <w:tcW w:w="140" w:type="dxa"/>
            <w:vAlign w:val="bottom"/>
            <w:tcBorders>
              <w:bottom w:val="single" w:sz="8" w:color="F4EFF6"/>
            </w:tcBorders>
            <w:shd w:val="clear" w:color="auto" w:fill="F4EFF6"/>
          </w:tcPr>
          <w:p>
            <w:pPr>
              <w:spacing w:after="0"/>
              <w:rPr>
                <w:sz w:val="21"/>
                <w:szCs w:val="21"/>
                <w:color w:val="auto"/>
              </w:rPr>
            </w:pPr>
          </w:p>
        </w:tc>
        <w:tc>
          <w:tcPr>
            <w:tcW w:w="158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1,304.8</w:t>
            </w:r>
          </w:p>
        </w:tc>
        <w:tc>
          <w:tcPr>
            <w:tcW w:w="40" w:type="dxa"/>
            <w:vAlign w:val="bottom"/>
            <w:tcBorders>
              <w:bottom w:val="single" w:sz="8" w:color="F4EFF6"/>
            </w:tcBorders>
            <w:shd w:val="clear" w:color="auto" w:fill="F4EFF6"/>
          </w:tcPr>
          <w:p>
            <w:pPr>
              <w:spacing w:after="0"/>
              <w:rPr>
                <w:sz w:val="21"/>
                <w:szCs w:val="21"/>
                <w:color w:val="auto"/>
              </w:rPr>
            </w:pPr>
          </w:p>
        </w:tc>
        <w:tc>
          <w:tcPr>
            <w:tcW w:w="174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1,304.8</w:t>
            </w:r>
          </w:p>
        </w:tc>
        <w:tc>
          <w:tcPr>
            <w:tcW w:w="0" w:type="dxa"/>
            <w:vAlign w:val="bottom"/>
          </w:tcPr>
          <w:p>
            <w:pPr>
              <w:spacing w:after="0"/>
              <w:rPr>
                <w:sz w:val="1"/>
                <w:szCs w:val="1"/>
                <w:color w:val="auto"/>
              </w:rPr>
            </w:pPr>
          </w:p>
        </w:tc>
      </w:tr>
      <w:tr>
        <w:trPr>
          <w:trHeight w:val="237"/>
        </w:trPr>
        <w:tc>
          <w:tcPr>
            <w:tcW w:w="43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Amounts payable to clients</w:t>
            </w:r>
          </w:p>
        </w:tc>
        <w:tc>
          <w:tcPr>
            <w:tcW w:w="15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46.2</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5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5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8,392.0</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7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8,438.2</w:t>
            </w:r>
          </w:p>
        </w:tc>
        <w:tc>
          <w:tcPr>
            <w:tcW w:w="0" w:type="dxa"/>
            <w:vAlign w:val="bottom"/>
          </w:tcPr>
          <w:p>
            <w:pPr>
              <w:spacing w:after="0"/>
              <w:rPr>
                <w:sz w:val="1"/>
                <w:szCs w:val="1"/>
                <w:color w:val="auto"/>
              </w:rPr>
            </w:pPr>
          </w:p>
        </w:tc>
      </w:tr>
      <w:tr>
        <w:trPr>
          <w:trHeight w:val="237"/>
        </w:trPr>
        <w:tc>
          <w:tcPr>
            <w:tcW w:w="43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Trade payables</w:t>
            </w:r>
          </w:p>
        </w:tc>
        <w:tc>
          <w:tcPr>
            <w:tcW w:w="15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7.6</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5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5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2,074.1</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7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2,081.7</w:t>
            </w:r>
          </w:p>
        </w:tc>
        <w:tc>
          <w:tcPr>
            <w:tcW w:w="0" w:type="dxa"/>
            <w:vAlign w:val="bottom"/>
          </w:tcPr>
          <w:p>
            <w:pPr>
              <w:spacing w:after="0"/>
              <w:rPr>
                <w:sz w:val="1"/>
                <w:szCs w:val="1"/>
                <w:color w:val="auto"/>
              </w:rPr>
            </w:pPr>
          </w:p>
        </w:tc>
      </w:tr>
      <w:tr>
        <w:trPr>
          <w:trHeight w:val="237"/>
        </w:trPr>
        <w:tc>
          <w:tcPr>
            <w:tcW w:w="43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Other creditors</w:t>
            </w:r>
          </w:p>
        </w:tc>
        <w:tc>
          <w:tcPr>
            <w:tcW w:w="15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5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5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28.5</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7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28.5</w:t>
            </w:r>
          </w:p>
        </w:tc>
        <w:tc>
          <w:tcPr>
            <w:tcW w:w="0" w:type="dxa"/>
            <w:vAlign w:val="bottom"/>
          </w:tcPr>
          <w:p>
            <w:pPr>
              <w:spacing w:after="0"/>
              <w:rPr>
                <w:sz w:val="1"/>
                <w:szCs w:val="1"/>
                <w:color w:val="auto"/>
              </w:rPr>
            </w:pPr>
          </w:p>
        </w:tc>
      </w:tr>
      <w:tr>
        <w:trPr>
          <w:trHeight w:val="237"/>
        </w:trPr>
        <w:tc>
          <w:tcPr>
            <w:tcW w:w="43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Stock lending</w:t>
            </w:r>
          </w:p>
        </w:tc>
        <w:tc>
          <w:tcPr>
            <w:tcW w:w="15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3,757.4</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5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5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892.5</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7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4,649.9</w:t>
            </w:r>
          </w:p>
        </w:tc>
        <w:tc>
          <w:tcPr>
            <w:tcW w:w="0" w:type="dxa"/>
            <w:vAlign w:val="bottom"/>
          </w:tcPr>
          <w:p>
            <w:pPr>
              <w:spacing w:after="0"/>
              <w:rPr>
                <w:sz w:val="1"/>
                <w:szCs w:val="1"/>
                <w:color w:val="auto"/>
              </w:rPr>
            </w:pPr>
          </w:p>
        </w:tc>
      </w:tr>
      <w:tr>
        <w:trPr>
          <w:trHeight w:val="236"/>
        </w:trPr>
        <w:tc>
          <w:tcPr>
            <w:tcW w:w="43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Short-term borrowings</w:t>
            </w:r>
          </w:p>
        </w:tc>
        <w:tc>
          <w:tcPr>
            <w:tcW w:w="15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56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5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133.0</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7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133.0</w:t>
            </w:r>
          </w:p>
        </w:tc>
        <w:tc>
          <w:tcPr>
            <w:tcW w:w="0" w:type="dxa"/>
            <w:vAlign w:val="bottom"/>
          </w:tcPr>
          <w:p>
            <w:pPr>
              <w:spacing w:after="0"/>
              <w:rPr>
                <w:sz w:val="1"/>
                <w:szCs w:val="1"/>
                <w:color w:val="auto"/>
              </w:rPr>
            </w:pPr>
          </w:p>
        </w:tc>
      </w:tr>
      <w:tr>
        <w:trPr>
          <w:trHeight w:val="237"/>
        </w:trPr>
        <w:tc>
          <w:tcPr>
            <w:tcW w:w="4380" w:type="dxa"/>
            <w:vAlign w:val="bottom"/>
            <w:tcBorders>
              <w:top w:val="single" w:sz="8" w:color="DADAE7"/>
              <w:bottom w:val="single" w:sz="8" w:color="DADAE7"/>
            </w:tcBorders>
          </w:tcPr>
          <w:p>
            <w:pPr>
              <w:ind w:left="20"/>
              <w:spacing w:after="0"/>
              <w:rPr>
                <w:sz w:val="20"/>
                <w:szCs w:val="20"/>
                <w:color w:val="auto"/>
              </w:rPr>
            </w:pPr>
            <w:r>
              <w:rPr>
                <w:rFonts w:ascii="Arial" w:cs="Arial" w:eastAsia="Arial" w:hAnsi="Arial"/>
                <w:sz w:val="15"/>
                <w:szCs w:val="15"/>
                <w:color w:val="auto"/>
              </w:rPr>
              <w:t>Debt securities</w:t>
            </w:r>
            <w:r>
              <w:rPr>
                <w:rFonts w:ascii="Arial" w:cs="Arial" w:eastAsia="Arial" w:hAnsi="Arial"/>
                <w:sz w:val="19"/>
                <w:szCs w:val="19"/>
                <w:color w:val="auto"/>
                <w:vertAlign w:val="superscript"/>
              </w:rPr>
              <w:t>1</w:t>
            </w:r>
          </w:p>
        </w:tc>
        <w:tc>
          <w:tcPr>
            <w:tcW w:w="1560" w:type="dxa"/>
            <w:vAlign w:val="bottom"/>
            <w:tcBorders>
              <w:top w:val="single" w:sz="8" w:color="DADAE7"/>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3,772.1</w:t>
            </w:r>
          </w:p>
        </w:tc>
        <w:tc>
          <w:tcPr>
            <w:tcW w:w="40" w:type="dxa"/>
            <w:vAlign w:val="bottom"/>
            <w:tcBorders>
              <w:top w:val="single" w:sz="8" w:color="DADAE7"/>
              <w:bottom w:val="single" w:sz="8" w:color="DADAE7"/>
            </w:tcBorders>
            <w:shd w:val="clear" w:color="auto" w:fill="F4EFF6"/>
          </w:tcPr>
          <w:p>
            <w:pPr>
              <w:spacing w:after="0"/>
              <w:rPr>
                <w:sz w:val="20"/>
                <w:szCs w:val="20"/>
                <w:color w:val="auto"/>
              </w:rPr>
            </w:pPr>
          </w:p>
        </w:tc>
        <w:tc>
          <w:tcPr>
            <w:tcW w:w="140" w:type="dxa"/>
            <w:vAlign w:val="bottom"/>
            <w:tcBorders>
              <w:top w:val="single" w:sz="8" w:color="DADAE7"/>
              <w:bottom w:val="single" w:sz="8" w:color="DADAE7"/>
            </w:tcBorders>
            <w:shd w:val="clear" w:color="auto" w:fill="F4EFF6"/>
          </w:tcPr>
          <w:p>
            <w:pPr>
              <w:spacing w:after="0"/>
              <w:rPr>
                <w:sz w:val="20"/>
                <w:szCs w:val="20"/>
                <w:color w:val="auto"/>
              </w:rPr>
            </w:pPr>
          </w:p>
        </w:tc>
        <w:tc>
          <w:tcPr>
            <w:tcW w:w="1560" w:type="dxa"/>
            <w:vAlign w:val="bottom"/>
            <w:tcBorders>
              <w:top w:val="single" w:sz="8" w:color="DADAE7"/>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DADAE7"/>
              <w:bottom w:val="single" w:sz="8" w:color="DADAE7"/>
            </w:tcBorders>
            <w:shd w:val="clear" w:color="auto" w:fill="F4EFF6"/>
          </w:tcPr>
          <w:p>
            <w:pPr>
              <w:spacing w:after="0"/>
              <w:rPr>
                <w:sz w:val="20"/>
                <w:szCs w:val="20"/>
                <w:color w:val="auto"/>
              </w:rPr>
            </w:pPr>
          </w:p>
        </w:tc>
        <w:tc>
          <w:tcPr>
            <w:tcW w:w="140" w:type="dxa"/>
            <w:vAlign w:val="bottom"/>
            <w:tcBorders>
              <w:top w:val="single" w:sz="8" w:color="DADAE7"/>
              <w:bottom w:val="single" w:sz="8" w:color="DADAE7"/>
            </w:tcBorders>
            <w:shd w:val="clear" w:color="auto" w:fill="F4EFF6"/>
          </w:tcPr>
          <w:p>
            <w:pPr>
              <w:spacing w:after="0"/>
              <w:rPr>
                <w:sz w:val="20"/>
                <w:szCs w:val="20"/>
                <w:color w:val="auto"/>
              </w:rPr>
            </w:pPr>
          </w:p>
        </w:tc>
        <w:tc>
          <w:tcPr>
            <w:tcW w:w="1580" w:type="dxa"/>
            <w:vAlign w:val="bottom"/>
            <w:tcBorders>
              <w:top w:val="single" w:sz="8" w:color="DADAE7"/>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1,485.7</w:t>
            </w:r>
          </w:p>
        </w:tc>
        <w:tc>
          <w:tcPr>
            <w:tcW w:w="40" w:type="dxa"/>
            <w:vAlign w:val="bottom"/>
            <w:tcBorders>
              <w:top w:val="single" w:sz="8" w:color="DADAE7"/>
              <w:bottom w:val="single" w:sz="8" w:color="DADAE7"/>
            </w:tcBorders>
            <w:shd w:val="clear" w:color="auto" w:fill="F4EFF6"/>
          </w:tcPr>
          <w:p>
            <w:pPr>
              <w:spacing w:after="0"/>
              <w:rPr>
                <w:sz w:val="20"/>
                <w:szCs w:val="20"/>
                <w:color w:val="auto"/>
              </w:rPr>
            </w:pPr>
          </w:p>
        </w:tc>
        <w:tc>
          <w:tcPr>
            <w:tcW w:w="1740" w:type="dxa"/>
            <w:vAlign w:val="bottom"/>
            <w:tcBorders>
              <w:top w:val="single" w:sz="8" w:color="DADAE7"/>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5,257.8</w:t>
            </w:r>
          </w:p>
        </w:tc>
        <w:tc>
          <w:tcPr>
            <w:tcW w:w="0" w:type="dxa"/>
            <w:vAlign w:val="bottom"/>
          </w:tcPr>
          <w:p>
            <w:pPr>
              <w:spacing w:after="0"/>
              <w:rPr>
                <w:sz w:val="1"/>
                <w:szCs w:val="1"/>
                <w:color w:val="auto"/>
              </w:rPr>
            </w:pPr>
          </w:p>
        </w:tc>
      </w:tr>
      <w:tr>
        <w:trPr>
          <w:trHeight w:val="237"/>
        </w:trPr>
        <w:tc>
          <w:tcPr>
            <w:tcW w:w="4380" w:type="dxa"/>
            <w:vAlign w:val="bottom"/>
          </w:tcPr>
          <w:p>
            <w:pPr>
              <w:ind w:left="20"/>
              <w:spacing w:after="0"/>
              <w:rPr>
                <w:sz w:val="20"/>
                <w:szCs w:val="20"/>
                <w:color w:val="auto"/>
              </w:rPr>
            </w:pPr>
            <w:r>
              <w:rPr>
                <w:rFonts w:ascii="Arial" w:cs="Arial" w:eastAsia="Arial" w:hAnsi="Arial"/>
                <w:sz w:val="15"/>
                <w:szCs w:val="15"/>
                <w:color w:val="auto"/>
              </w:rPr>
              <w:t>Lease liability</w:t>
            </w:r>
          </w:p>
        </w:tc>
        <w:tc>
          <w:tcPr>
            <w:tcW w:w="156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bottom w:val="single" w:sz="8" w:color="F4EFF6"/>
            </w:tcBorders>
            <w:shd w:val="clear" w:color="auto" w:fill="F4EFF6"/>
          </w:tcPr>
          <w:p>
            <w:pPr>
              <w:spacing w:after="0"/>
              <w:rPr>
                <w:sz w:val="20"/>
                <w:szCs w:val="20"/>
                <w:color w:val="auto"/>
              </w:rPr>
            </w:pPr>
          </w:p>
        </w:tc>
        <w:tc>
          <w:tcPr>
            <w:tcW w:w="140" w:type="dxa"/>
            <w:vAlign w:val="bottom"/>
            <w:tcBorders>
              <w:bottom w:val="single" w:sz="8" w:color="F4EFF6"/>
            </w:tcBorders>
            <w:shd w:val="clear" w:color="auto" w:fill="F4EFF6"/>
          </w:tcPr>
          <w:p>
            <w:pPr>
              <w:spacing w:after="0"/>
              <w:rPr>
                <w:sz w:val="20"/>
                <w:szCs w:val="20"/>
                <w:color w:val="auto"/>
              </w:rPr>
            </w:pPr>
          </w:p>
        </w:tc>
        <w:tc>
          <w:tcPr>
            <w:tcW w:w="156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bottom w:val="single" w:sz="8" w:color="F4EFF6"/>
            </w:tcBorders>
            <w:shd w:val="clear" w:color="auto" w:fill="F4EFF6"/>
          </w:tcPr>
          <w:p>
            <w:pPr>
              <w:spacing w:after="0"/>
              <w:rPr>
                <w:sz w:val="20"/>
                <w:szCs w:val="20"/>
                <w:color w:val="auto"/>
              </w:rPr>
            </w:pPr>
          </w:p>
        </w:tc>
        <w:tc>
          <w:tcPr>
            <w:tcW w:w="140" w:type="dxa"/>
            <w:vAlign w:val="bottom"/>
            <w:tcBorders>
              <w:bottom w:val="single" w:sz="8" w:color="F4EFF6"/>
            </w:tcBorders>
            <w:shd w:val="clear" w:color="auto" w:fill="F4EFF6"/>
          </w:tcPr>
          <w:p>
            <w:pPr>
              <w:spacing w:after="0"/>
              <w:rPr>
                <w:sz w:val="20"/>
                <w:szCs w:val="20"/>
                <w:color w:val="auto"/>
              </w:rPr>
            </w:pPr>
          </w:p>
        </w:tc>
        <w:tc>
          <w:tcPr>
            <w:tcW w:w="158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84.3</w:t>
            </w:r>
          </w:p>
        </w:tc>
        <w:tc>
          <w:tcPr>
            <w:tcW w:w="40" w:type="dxa"/>
            <w:vAlign w:val="bottom"/>
            <w:tcBorders>
              <w:bottom w:val="single" w:sz="8" w:color="F4EFF6"/>
            </w:tcBorders>
            <w:shd w:val="clear" w:color="auto" w:fill="F4EFF6"/>
          </w:tcPr>
          <w:p>
            <w:pPr>
              <w:spacing w:after="0"/>
              <w:rPr>
                <w:sz w:val="20"/>
                <w:szCs w:val="20"/>
                <w:color w:val="auto"/>
              </w:rPr>
            </w:pPr>
          </w:p>
        </w:tc>
        <w:tc>
          <w:tcPr>
            <w:tcW w:w="174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84.3</w:t>
            </w:r>
          </w:p>
        </w:tc>
        <w:tc>
          <w:tcPr>
            <w:tcW w:w="0" w:type="dxa"/>
            <w:vAlign w:val="bottom"/>
          </w:tcPr>
          <w:p>
            <w:pPr>
              <w:spacing w:after="0"/>
              <w:rPr>
                <w:sz w:val="1"/>
                <w:szCs w:val="1"/>
                <w:color w:val="auto"/>
              </w:rPr>
            </w:pPr>
          </w:p>
        </w:tc>
      </w:tr>
      <w:tr>
        <w:trPr>
          <w:trHeight w:val="237"/>
        </w:trPr>
        <w:tc>
          <w:tcPr>
            <w:tcW w:w="4380" w:type="dxa"/>
            <w:vAlign w:val="bottom"/>
            <w:tcBorders>
              <w:top w:val="single" w:sz="8" w:color="793690"/>
            </w:tcBorders>
          </w:tcPr>
          <w:p>
            <w:pPr>
              <w:spacing w:after="0"/>
              <w:rPr>
                <w:sz w:val="20"/>
                <w:szCs w:val="20"/>
                <w:color w:val="auto"/>
              </w:rPr>
            </w:pPr>
          </w:p>
        </w:tc>
        <w:tc>
          <w:tcPr>
            <w:tcW w:w="156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14,144.1</w:t>
            </w:r>
          </w:p>
        </w:tc>
        <w:tc>
          <w:tcPr>
            <w:tcW w:w="40" w:type="dxa"/>
            <w:vAlign w:val="bottom"/>
            <w:tcBorders>
              <w:top w:val="single" w:sz="8" w:color="793690"/>
              <w:bottom w:val="single" w:sz="8" w:color="F4EFF6"/>
            </w:tcBorders>
            <w:shd w:val="clear" w:color="auto" w:fill="F4EFF6"/>
          </w:tcPr>
          <w:p>
            <w:pPr>
              <w:spacing w:after="0"/>
              <w:rPr>
                <w:sz w:val="20"/>
                <w:szCs w:val="20"/>
                <w:color w:val="auto"/>
              </w:rPr>
            </w:pPr>
          </w:p>
        </w:tc>
        <w:tc>
          <w:tcPr>
            <w:tcW w:w="140" w:type="dxa"/>
            <w:vAlign w:val="bottom"/>
            <w:tcBorders>
              <w:top w:val="single" w:sz="8" w:color="793690"/>
              <w:bottom w:val="single" w:sz="8" w:color="F4EFF6"/>
            </w:tcBorders>
            <w:shd w:val="clear" w:color="auto" w:fill="F4EFF6"/>
          </w:tcPr>
          <w:p>
            <w:pPr>
              <w:spacing w:after="0"/>
              <w:rPr>
                <w:sz w:val="20"/>
                <w:szCs w:val="20"/>
                <w:color w:val="auto"/>
              </w:rPr>
            </w:pPr>
          </w:p>
        </w:tc>
        <w:tc>
          <w:tcPr>
            <w:tcW w:w="156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2.9</w:t>
            </w:r>
          </w:p>
        </w:tc>
        <w:tc>
          <w:tcPr>
            <w:tcW w:w="40" w:type="dxa"/>
            <w:vAlign w:val="bottom"/>
            <w:tcBorders>
              <w:top w:val="single" w:sz="8" w:color="793690"/>
              <w:bottom w:val="single" w:sz="8" w:color="F4EFF6"/>
            </w:tcBorders>
            <w:shd w:val="clear" w:color="auto" w:fill="F4EFF6"/>
          </w:tcPr>
          <w:p>
            <w:pPr>
              <w:spacing w:after="0"/>
              <w:rPr>
                <w:sz w:val="20"/>
                <w:szCs w:val="20"/>
                <w:color w:val="auto"/>
              </w:rPr>
            </w:pPr>
          </w:p>
        </w:tc>
        <w:tc>
          <w:tcPr>
            <w:tcW w:w="140" w:type="dxa"/>
            <w:vAlign w:val="bottom"/>
            <w:tcBorders>
              <w:top w:val="single" w:sz="8" w:color="793690"/>
              <w:bottom w:val="single" w:sz="8" w:color="F4EFF6"/>
            </w:tcBorders>
            <w:shd w:val="clear" w:color="auto" w:fill="F4EFF6"/>
          </w:tcPr>
          <w:p>
            <w:pPr>
              <w:spacing w:after="0"/>
              <w:rPr>
                <w:sz w:val="20"/>
                <w:szCs w:val="20"/>
                <w:color w:val="auto"/>
              </w:rPr>
            </w:pPr>
          </w:p>
        </w:tc>
        <w:tc>
          <w:tcPr>
            <w:tcW w:w="158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15,415.1</w:t>
            </w:r>
          </w:p>
        </w:tc>
        <w:tc>
          <w:tcPr>
            <w:tcW w:w="40" w:type="dxa"/>
            <w:vAlign w:val="bottom"/>
            <w:tcBorders>
              <w:top w:val="single" w:sz="8" w:color="793690"/>
              <w:bottom w:val="single" w:sz="8" w:color="F4EFF6"/>
            </w:tcBorders>
            <w:shd w:val="clear" w:color="auto" w:fill="F4EFF6"/>
          </w:tcPr>
          <w:p>
            <w:pPr>
              <w:spacing w:after="0"/>
              <w:rPr>
                <w:sz w:val="20"/>
                <w:szCs w:val="20"/>
                <w:color w:val="auto"/>
              </w:rPr>
            </w:pPr>
          </w:p>
        </w:tc>
        <w:tc>
          <w:tcPr>
            <w:tcW w:w="17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29,562.1</w:t>
            </w:r>
          </w:p>
        </w:tc>
        <w:tc>
          <w:tcPr>
            <w:tcW w:w="0" w:type="dxa"/>
            <w:vAlign w:val="bottom"/>
          </w:tcPr>
          <w:p>
            <w:pPr>
              <w:spacing w:after="0"/>
              <w:rPr>
                <w:sz w:val="1"/>
                <w:szCs w:val="1"/>
                <w:color w:val="auto"/>
              </w:rPr>
            </w:pPr>
          </w:p>
        </w:tc>
      </w:tr>
      <w:tr>
        <w:trPr>
          <w:trHeight w:val="336"/>
        </w:trPr>
        <w:tc>
          <w:tcPr>
            <w:tcW w:w="4380" w:type="dxa"/>
            <w:vAlign w:val="bottom"/>
            <w:tcBorders>
              <w:top w:val="single" w:sz="8" w:color="793690"/>
            </w:tcBorders>
          </w:tcPr>
          <w:p>
            <w:pPr>
              <w:spacing w:after="0"/>
              <w:rPr>
                <w:sz w:val="24"/>
                <w:szCs w:val="24"/>
                <w:color w:val="auto"/>
              </w:rPr>
            </w:pPr>
          </w:p>
        </w:tc>
        <w:tc>
          <w:tcPr>
            <w:tcW w:w="1600" w:type="dxa"/>
            <w:vAlign w:val="bottom"/>
            <w:tcBorders>
              <w:top w:val="single" w:sz="8" w:color="793690"/>
            </w:tcBorders>
            <w:gridSpan w:val="2"/>
          </w:tcPr>
          <w:p>
            <w:pPr>
              <w:jc w:val="right"/>
              <w:ind w:right="20"/>
              <w:spacing w:after="0"/>
              <w:rPr>
                <w:sz w:val="20"/>
                <w:szCs w:val="20"/>
                <w:color w:val="auto"/>
              </w:rPr>
            </w:pPr>
            <w:r>
              <w:rPr>
                <w:rFonts w:ascii="Arial" w:cs="Arial" w:eastAsia="Arial" w:hAnsi="Arial"/>
                <w:sz w:val="13"/>
                <w:szCs w:val="13"/>
                <w:b w:val="1"/>
                <w:bCs w:val="1"/>
                <w:color w:val="auto"/>
              </w:rPr>
              <w:t>FVTPL</w:t>
            </w:r>
          </w:p>
        </w:tc>
        <w:tc>
          <w:tcPr>
            <w:tcW w:w="140" w:type="dxa"/>
            <w:vAlign w:val="bottom"/>
            <w:tcBorders>
              <w:top w:val="single" w:sz="8" w:color="793690"/>
            </w:tcBorders>
          </w:tcPr>
          <w:p>
            <w:pPr>
              <w:spacing w:after="0"/>
              <w:rPr>
                <w:sz w:val="24"/>
                <w:szCs w:val="24"/>
                <w:color w:val="auto"/>
              </w:rPr>
            </w:pPr>
          </w:p>
        </w:tc>
        <w:tc>
          <w:tcPr>
            <w:tcW w:w="1600" w:type="dxa"/>
            <w:vAlign w:val="bottom"/>
            <w:tcBorders>
              <w:top w:val="single" w:sz="8" w:color="793690"/>
            </w:tcBorders>
            <w:gridSpan w:val="2"/>
          </w:tcPr>
          <w:p>
            <w:pPr>
              <w:jc w:val="right"/>
              <w:ind w:right="20"/>
              <w:spacing w:after="0"/>
              <w:rPr>
                <w:sz w:val="20"/>
                <w:szCs w:val="20"/>
                <w:color w:val="auto"/>
              </w:rPr>
            </w:pPr>
            <w:r>
              <w:rPr>
                <w:rFonts w:ascii="Arial" w:cs="Arial" w:eastAsia="Arial" w:hAnsi="Arial"/>
                <w:sz w:val="13"/>
                <w:szCs w:val="13"/>
                <w:b w:val="1"/>
                <w:bCs w:val="1"/>
                <w:color w:val="auto"/>
              </w:rPr>
              <w:t>FVTOCI</w:t>
            </w:r>
          </w:p>
        </w:tc>
        <w:tc>
          <w:tcPr>
            <w:tcW w:w="140" w:type="dxa"/>
            <w:vAlign w:val="bottom"/>
            <w:tcBorders>
              <w:top w:val="single" w:sz="8" w:color="793690"/>
            </w:tcBorders>
          </w:tcPr>
          <w:p>
            <w:pPr>
              <w:spacing w:after="0"/>
              <w:rPr>
                <w:sz w:val="24"/>
                <w:szCs w:val="24"/>
                <w:color w:val="auto"/>
              </w:rPr>
            </w:pPr>
          </w:p>
        </w:tc>
        <w:tc>
          <w:tcPr>
            <w:tcW w:w="1620" w:type="dxa"/>
            <w:vAlign w:val="bottom"/>
            <w:tcBorders>
              <w:top w:val="single" w:sz="8" w:color="793690"/>
            </w:tcBorders>
            <w:gridSpan w:val="2"/>
          </w:tcPr>
          <w:p>
            <w:pPr>
              <w:jc w:val="right"/>
              <w:ind w:right="20"/>
              <w:spacing w:after="0"/>
              <w:rPr>
                <w:sz w:val="20"/>
                <w:szCs w:val="20"/>
                <w:color w:val="auto"/>
              </w:rPr>
            </w:pPr>
            <w:r>
              <w:rPr>
                <w:rFonts w:ascii="Arial" w:cs="Arial" w:eastAsia="Arial" w:hAnsi="Arial"/>
                <w:sz w:val="13"/>
                <w:szCs w:val="13"/>
                <w:b w:val="1"/>
                <w:bCs w:val="1"/>
                <w:color w:val="auto"/>
              </w:rPr>
              <w:t>Amortised cost</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3"/>
        </w:trPr>
        <w:tc>
          <w:tcPr>
            <w:tcW w:w="4380" w:type="dxa"/>
            <w:vAlign w:val="bottom"/>
          </w:tcPr>
          <w:p>
            <w:pPr>
              <w:ind w:left="20"/>
              <w:spacing w:after="0"/>
              <w:rPr>
                <w:sz w:val="20"/>
                <w:szCs w:val="20"/>
                <w:color w:val="auto"/>
              </w:rPr>
            </w:pPr>
            <w:r>
              <w:rPr>
                <w:rFonts w:ascii="Arial" w:cs="Arial" w:eastAsia="Arial" w:hAnsi="Arial"/>
                <w:sz w:val="13"/>
                <w:szCs w:val="13"/>
                <w:b w:val="1"/>
                <w:bCs w:val="1"/>
                <w:color w:val="auto"/>
              </w:rPr>
              <w:t>Financial liabilities at 31 December 2024</w:t>
            </w:r>
          </w:p>
        </w:tc>
        <w:tc>
          <w:tcPr>
            <w:tcW w:w="16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$m</w:t>
            </w:r>
          </w:p>
        </w:tc>
        <w:tc>
          <w:tcPr>
            <w:tcW w:w="140" w:type="dxa"/>
            <w:vAlign w:val="bottom"/>
          </w:tcPr>
          <w:p>
            <w:pPr>
              <w:spacing w:after="0"/>
              <w:rPr>
                <w:sz w:val="17"/>
                <w:szCs w:val="17"/>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$m</w:t>
            </w:r>
          </w:p>
        </w:tc>
        <w:tc>
          <w:tcPr>
            <w:tcW w:w="140" w:type="dxa"/>
            <w:vAlign w:val="bottom"/>
          </w:tcPr>
          <w:p>
            <w:pPr>
              <w:spacing w:after="0"/>
              <w:rPr>
                <w:sz w:val="17"/>
                <w:szCs w:val="17"/>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$m</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$m</w:t>
            </w:r>
          </w:p>
        </w:tc>
        <w:tc>
          <w:tcPr>
            <w:tcW w:w="0" w:type="dxa"/>
            <w:vAlign w:val="bottom"/>
          </w:tcPr>
          <w:p>
            <w:pPr>
              <w:spacing w:after="0"/>
              <w:rPr>
                <w:sz w:val="1"/>
                <w:szCs w:val="1"/>
                <w:color w:val="auto"/>
              </w:rPr>
            </w:pPr>
          </w:p>
        </w:tc>
      </w:tr>
      <w:tr>
        <w:trPr>
          <w:trHeight w:val="22"/>
        </w:trPr>
        <w:tc>
          <w:tcPr>
            <w:tcW w:w="4380" w:type="dxa"/>
            <w:vAlign w:val="bottom"/>
            <w:tcBorders>
              <w:bottom w:val="single" w:sz="8" w:color="793690"/>
            </w:tcBorders>
          </w:tcPr>
          <w:p>
            <w:pPr>
              <w:spacing w:after="0" w:line="20" w:lineRule="exact"/>
              <w:rPr>
                <w:sz w:val="1"/>
                <w:szCs w:val="1"/>
                <w:color w:val="auto"/>
              </w:rPr>
            </w:pPr>
          </w:p>
        </w:tc>
        <w:tc>
          <w:tcPr>
            <w:tcW w:w="1560" w:type="dxa"/>
            <w:vAlign w:val="bottom"/>
            <w:tcBorders>
              <w:bottom w:val="single" w:sz="8" w:color="793690"/>
            </w:tcBorders>
          </w:tcPr>
          <w:p>
            <w:pPr>
              <w:spacing w:after="0" w:line="20" w:lineRule="exact"/>
              <w:rPr>
                <w:sz w:val="1"/>
                <w:szCs w:val="1"/>
                <w:color w:val="auto"/>
              </w:rPr>
            </w:pPr>
          </w:p>
        </w:tc>
        <w:tc>
          <w:tcPr>
            <w:tcW w:w="40" w:type="dxa"/>
            <w:vAlign w:val="bottom"/>
            <w:tcBorders>
              <w:bottom w:val="single" w:sz="8" w:color="793690"/>
            </w:tcBorders>
          </w:tcPr>
          <w:p>
            <w:pPr>
              <w:spacing w:after="0" w:line="20" w:lineRule="exact"/>
              <w:rPr>
                <w:sz w:val="1"/>
                <w:szCs w:val="1"/>
                <w:color w:val="auto"/>
              </w:rPr>
            </w:pPr>
          </w:p>
        </w:tc>
        <w:tc>
          <w:tcPr>
            <w:tcW w:w="140" w:type="dxa"/>
            <w:vAlign w:val="bottom"/>
            <w:tcBorders>
              <w:bottom w:val="single" w:sz="8" w:color="793690"/>
            </w:tcBorders>
          </w:tcPr>
          <w:p>
            <w:pPr>
              <w:spacing w:after="0" w:line="20" w:lineRule="exact"/>
              <w:rPr>
                <w:sz w:val="1"/>
                <w:szCs w:val="1"/>
                <w:color w:val="auto"/>
              </w:rPr>
            </w:pPr>
          </w:p>
        </w:tc>
        <w:tc>
          <w:tcPr>
            <w:tcW w:w="1600" w:type="dxa"/>
            <w:vAlign w:val="bottom"/>
            <w:tcBorders>
              <w:bottom w:val="single" w:sz="8" w:color="793690"/>
            </w:tcBorders>
            <w:gridSpan w:val="2"/>
          </w:tcPr>
          <w:p>
            <w:pPr>
              <w:spacing w:after="0" w:line="20" w:lineRule="exact"/>
              <w:rPr>
                <w:sz w:val="1"/>
                <w:szCs w:val="1"/>
                <w:color w:val="auto"/>
              </w:rPr>
            </w:pPr>
          </w:p>
        </w:tc>
        <w:tc>
          <w:tcPr>
            <w:tcW w:w="140" w:type="dxa"/>
            <w:vAlign w:val="bottom"/>
            <w:tcBorders>
              <w:bottom w:val="single" w:sz="8" w:color="793690"/>
            </w:tcBorders>
          </w:tcPr>
          <w:p>
            <w:pPr>
              <w:spacing w:after="0" w:line="20" w:lineRule="exact"/>
              <w:rPr>
                <w:sz w:val="1"/>
                <w:szCs w:val="1"/>
                <w:color w:val="auto"/>
              </w:rPr>
            </w:pPr>
          </w:p>
        </w:tc>
        <w:tc>
          <w:tcPr>
            <w:tcW w:w="1620" w:type="dxa"/>
            <w:vAlign w:val="bottom"/>
            <w:tcBorders>
              <w:bottom w:val="single" w:sz="8" w:color="793690"/>
            </w:tcBorders>
            <w:gridSpan w:val="2"/>
          </w:tcPr>
          <w:p>
            <w:pPr>
              <w:spacing w:after="0" w:line="20" w:lineRule="exact"/>
              <w:rPr>
                <w:sz w:val="1"/>
                <w:szCs w:val="1"/>
                <w:color w:val="auto"/>
              </w:rPr>
            </w:pPr>
          </w:p>
        </w:tc>
        <w:tc>
          <w:tcPr>
            <w:tcW w:w="1740" w:type="dxa"/>
            <w:vAlign w:val="bottom"/>
            <w:tcBorders>
              <w:bottom w:val="single" w:sz="8" w:color="79369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4380" w:type="dxa"/>
            <w:vAlign w:val="bottom"/>
          </w:tcPr>
          <w:p>
            <w:pPr>
              <w:ind w:left="20"/>
              <w:spacing w:after="0"/>
              <w:rPr>
                <w:sz w:val="20"/>
                <w:szCs w:val="20"/>
                <w:color w:val="auto"/>
              </w:rPr>
            </w:pPr>
            <w:r>
              <w:rPr>
                <w:rFonts w:ascii="Arial" w:cs="Arial" w:eastAsia="Arial" w:hAnsi="Arial"/>
                <w:sz w:val="15"/>
                <w:szCs w:val="15"/>
                <w:color w:val="auto"/>
              </w:rPr>
              <w:t>Repurchase agreements</w:t>
            </w:r>
          </w:p>
        </w:tc>
        <w:tc>
          <w:tcPr>
            <w:tcW w:w="1560" w:type="dxa"/>
            <w:vAlign w:val="bottom"/>
          </w:tcPr>
          <w:p>
            <w:pPr>
              <w:jc w:val="right"/>
              <w:spacing w:after="0"/>
              <w:rPr>
                <w:sz w:val="20"/>
                <w:szCs w:val="20"/>
                <w:color w:val="auto"/>
              </w:rPr>
            </w:pPr>
            <w:r>
              <w:rPr>
                <w:rFonts w:ascii="Arial" w:cs="Arial" w:eastAsia="Arial" w:hAnsi="Arial"/>
                <w:sz w:val="15"/>
                <w:szCs w:val="15"/>
                <w:color w:val="auto"/>
              </w:rPr>
              <w:t>2,305.8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2,305.8</w:t>
            </w:r>
          </w:p>
        </w:tc>
        <w:tc>
          <w:tcPr>
            <w:tcW w:w="0" w:type="dxa"/>
            <w:vAlign w:val="bottom"/>
          </w:tcPr>
          <w:p>
            <w:pPr>
              <w:spacing w:after="0"/>
              <w:rPr>
                <w:sz w:val="1"/>
                <w:szCs w:val="1"/>
                <w:color w:val="auto"/>
              </w:rPr>
            </w:pPr>
          </w:p>
        </w:tc>
      </w:tr>
      <w:tr>
        <w:trPr>
          <w:trHeight w:val="33"/>
        </w:trPr>
        <w:tc>
          <w:tcPr>
            <w:tcW w:w="4380" w:type="dxa"/>
            <w:vAlign w:val="bottom"/>
            <w:tcBorders>
              <w:bottom w:val="single" w:sz="8" w:color="DADAE7"/>
            </w:tcBorders>
          </w:tcPr>
          <w:p>
            <w:pPr>
              <w:spacing w:after="0"/>
              <w:rPr>
                <w:sz w:val="2"/>
                <w:szCs w:val="2"/>
                <w:color w:val="auto"/>
              </w:rPr>
            </w:pPr>
          </w:p>
        </w:tc>
        <w:tc>
          <w:tcPr>
            <w:tcW w:w="1560" w:type="dxa"/>
            <w:vAlign w:val="bottom"/>
            <w:tcBorders>
              <w:bottom w:val="single" w:sz="8" w:color="DADAE7"/>
            </w:tcBorders>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700" w:type="dxa"/>
            <w:vAlign w:val="bottom"/>
            <w:tcBorders>
              <w:bottom w:val="single" w:sz="8" w:color="DADAE7"/>
            </w:tcBorders>
            <w:gridSpan w:val="2"/>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620" w:type="dxa"/>
            <w:vAlign w:val="bottom"/>
            <w:tcBorders>
              <w:bottom w:val="single" w:sz="8" w:color="DADAE7"/>
            </w:tcBorders>
            <w:gridSpan w:val="2"/>
          </w:tcPr>
          <w:p>
            <w:pPr>
              <w:spacing w:after="0"/>
              <w:rPr>
                <w:sz w:val="2"/>
                <w:szCs w:val="2"/>
                <w:color w:val="auto"/>
              </w:rPr>
            </w:pPr>
          </w:p>
        </w:tc>
        <w:tc>
          <w:tcPr>
            <w:tcW w:w="1740" w:type="dxa"/>
            <w:vAlign w:val="bottom"/>
            <w:tcBorders>
              <w:bottom w:val="single" w:sz="8" w:color="DADAE7"/>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20"/>
              <w:spacing w:after="0"/>
              <w:rPr>
                <w:sz w:val="20"/>
                <w:szCs w:val="20"/>
                <w:color w:val="auto"/>
              </w:rPr>
            </w:pPr>
            <w:r>
              <w:rPr>
                <w:rFonts w:ascii="Arial" w:cs="Arial" w:eastAsia="Arial" w:hAnsi="Arial"/>
                <w:sz w:val="15"/>
                <w:szCs w:val="15"/>
                <w:color w:val="auto"/>
              </w:rPr>
              <w:t>Derivative instruments</w:t>
            </w:r>
          </w:p>
        </w:tc>
        <w:tc>
          <w:tcPr>
            <w:tcW w:w="1560" w:type="dxa"/>
            <w:vAlign w:val="bottom"/>
          </w:tcPr>
          <w:p>
            <w:pPr>
              <w:jc w:val="right"/>
              <w:spacing w:after="0"/>
              <w:rPr>
                <w:sz w:val="20"/>
                <w:szCs w:val="20"/>
                <w:color w:val="auto"/>
              </w:rPr>
            </w:pPr>
            <w:r>
              <w:rPr>
                <w:rFonts w:ascii="Arial" w:cs="Arial" w:eastAsia="Arial" w:hAnsi="Arial"/>
                <w:sz w:val="15"/>
                <w:szCs w:val="15"/>
                <w:color w:val="auto"/>
              </w:rPr>
              <w:t>724.2</w:t>
            </w:r>
          </w:p>
        </w:tc>
        <w:tc>
          <w:tcPr>
            <w:tcW w:w="4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27.5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751.7</w:t>
            </w:r>
          </w:p>
        </w:tc>
        <w:tc>
          <w:tcPr>
            <w:tcW w:w="0" w:type="dxa"/>
            <w:vAlign w:val="bottom"/>
          </w:tcPr>
          <w:p>
            <w:pPr>
              <w:spacing w:after="0"/>
              <w:rPr>
                <w:sz w:val="1"/>
                <w:szCs w:val="1"/>
                <w:color w:val="auto"/>
              </w:rPr>
            </w:pPr>
          </w:p>
        </w:tc>
      </w:tr>
      <w:tr>
        <w:trPr>
          <w:trHeight w:val="33"/>
        </w:trPr>
        <w:tc>
          <w:tcPr>
            <w:tcW w:w="4380" w:type="dxa"/>
            <w:vAlign w:val="bottom"/>
            <w:tcBorders>
              <w:bottom w:val="single" w:sz="8" w:color="DADAE7"/>
            </w:tcBorders>
          </w:tcPr>
          <w:p>
            <w:pPr>
              <w:spacing w:after="0"/>
              <w:rPr>
                <w:sz w:val="2"/>
                <w:szCs w:val="2"/>
                <w:color w:val="auto"/>
              </w:rPr>
            </w:pPr>
          </w:p>
        </w:tc>
        <w:tc>
          <w:tcPr>
            <w:tcW w:w="1560" w:type="dxa"/>
            <w:vAlign w:val="bottom"/>
            <w:tcBorders>
              <w:bottom w:val="single" w:sz="8" w:color="DADAE7"/>
            </w:tcBorders>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600" w:type="dxa"/>
            <w:vAlign w:val="bottom"/>
            <w:tcBorders>
              <w:bottom w:val="single" w:sz="8" w:color="DADAE7"/>
            </w:tcBorders>
            <w:gridSpan w:val="2"/>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620" w:type="dxa"/>
            <w:vAlign w:val="bottom"/>
            <w:tcBorders>
              <w:bottom w:val="single" w:sz="8" w:color="DADAE7"/>
            </w:tcBorders>
            <w:gridSpan w:val="2"/>
          </w:tcPr>
          <w:p>
            <w:pPr>
              <w:spacing w:after="0"/>
              <w:rPr>
                <w:sz w:val="2"/>
                <w:szCs w:val="2"/>
                <w:color w:val="auto"/>
              </w:rPr>
            </w:pPr>
          </w:p>
        </w:tc>
        <w:tc>
          <w:tcPr>
            <w:tcW w:w="1740" w:type="dxa"/>
            <w:vAlign w:val="bottom"/>
            <w:tcBorders>
              <w:bottom w:val="single" w:sz="8" w:color="DADAE7"/>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20"/>
              <w:spacing w:after="0"/>
              <w:rPr>
                <w:sz w:val="20"/>
                <w:szCs w:val="20"/>
                <w:color w:val="auto"/>
              </w:rPr>
            </w:pPr>
            <w:r>
              <w:rPr>
                <w:rFonts w:ascii="Arial" w:cs="Arial" w:eastAsia="Arial" w:hAnsi="Arial"/>
                <w:sz w:val="15"/>
                <w:szCs w:val="15"/>
                <w:color w:val="auto"/>
              </w:rPr>
              <w:t>Short securities</w:t>
            </w:r>
          </w:p>
        </w:tc>
        <w:tc>
          <w:tcPr>
            <w:tcW w:w="1560" w:type="dxa"/>
            <w:vAlign w:val="bottom"/>
          </w:tcPr>
          <w:p>
            <w:pPr>
              <w:jc w:val="right"/>
              <w:spacing w:after="0"/>
              <w:rPr>
                <w:sz w:val="20"/>
                <w:szCs w:val="20"/>
                <w:color w:val="auto"/>
              </w:rPr>
            </w:pPr>
            <w:r>
              <w:rPr>
                <w:rFonts w:ascii="Arial" w:cs="Arial" w:eastAsia="Arial" w:hAnsi="Arial"/>
                <w:sz w:val="15"/>
                <w:szCs w:val="15"/>
                <w:color w:val="auto"/>
              </w:rPr>
              <w:t>1,704.6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1,704.6</w:t>
            </w:r>
          </w:p>
        </w:tc>
        <w:tc>
          <w:tcPr>
            <w:tcW w:w="0" w:type="dxa"/>
            <w:vAlign w:val="bottom"/>
          </w:tcPr>
          <w:p>
            <w:pPr>
              <w:spacing w:after="0"/>
              <w:rPr>
                <w:sz w:val="1"/>
                <w:szCs w:val="1"/>
                <w:color w:val="auto"/>
              </w:rPr>
            </w:pPr>
          </w:p>
        </w:tc>
      </w:tr>
      <w:tr>
        <w:trPr>
          <w:trHeight w:val="33"/>
        </w:trPr>
        <w:tc>
          <w:tcPr>
            <w:tcW w:w="4380" w:type="dxa"/>
            <w:vAlign w:val="bottom"/>
            <w:tcBorders>
              <w:bottom w:val="single" w:sz="8" w:color="DADAE7"/>
            </w:tcBorders>
          </w:tcPr>
          <w:p>
            <w:pPr>
              <w:spacing w:after="0"/>
              <w:rPr>
                <w:sz w:val="2"/>
                <w:szCs w:val="2"/>
                <w:color w:val="auto"/>
              </w:rPr>
            </w:pPr>
          </w:p>
        </w:tc>
        <w:tc>
          <w:tcPr>
            <w:tcW w:w="1560" w:type="dxa"/>
            <w:vAlign w:val="bottom"/>
            <w:tcBorders>
              <w:bottom w:val="single" w:sz="8" w:color="DADAE7"/>
            </w:tcBorders>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560" w:type="dxa"/>
            <w:vAlign w:val="bottom"/>
            <w:tcBorders>
              <w:bottom w:val="single" w:sz="8" w:color="DADAE7"/>
            </w:tcBorders>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580" w:type="dxa"/>
            <w:vAlign w:val="bottom"/>
            <w:tcBorders>
              <w:bottom w:val="single" w:sz="8" w:color="DADAE7"/>
            </w:tcBorders>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740" w:type="dxa"/>
            <w:vAlign w:val="bottom"/>
            <w:tcBorders>
              <w:bottom w:val="single" w:sz="8" w:color="DADAE7"/>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380" w:type="dxa"/>
            <w:vAlign w:val="bottom"/>
          </w:tcPr>
          <w:p>
            <w:pPr>
              <w:ind w:left="20"/>
              <w:spacing w:after="0"/>
              <w:rPr>
                <w:sz w:val="20"/>
                <w:szCs w:val="20"/>
                <w:color w:val="auto"/>
              </w:rPr>
            </w:pPr>
            <w:r>
              <w:rPr>
                <w:rFonts w:ascii="Arial" w:cs="Arial" w:eastAsia="Arial" w:hAnsi="Arial"/>
                <w:sz w:val="15"/>
                <w:szCs w:val="15"/>
                <w:color w:val="auto"/>
              </w:rPr>
              <w:t>Amounts due to exchanges, clearing houses and other</w:t>
            </w:r>
          </w:p>
        </w:tc>
        <w:tc>
          <w:tcPr>
            <w:tcW w:w="1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380" w:type="dxa"/>
            <w:vAlign w:val="bottom"/>
          </w:tcPr>
          <w:p>
            <w:pPr>
              <w:ind w:left="20"/>
              <w:spacing w:after="0"/>
              <w:rPr>
                <w:sz w:val="20"/>
                <w:szCs w:val="20"/>
                <w:color w:val="auto"/>
              </w:rPr>
            </w:pPr>
            <w:r>
              <w:rPr>
                <w:rFonts w:ascii="Arial" w:cs="Arial" w:eastAsia="Arial" w:hAnsi="Arial"/>
                <w:sz w:val="15"/>
                <w:szCs w:val="15"/>
                <w:color w:val="auto"/>
              </w:rPr>
              <w:t>counterparties</w:t>
            </w: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1,501.5</w:t>
            </w:r>
          </w:p>
        </w:tc>
        <w:tc>
          <w:tcPr>
            <w:tcW w:w="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1,501.5</w:t>
            </w:r>
          </w:p>
        </w:tc>
        <w:tc>
          <w:tcPr>
            <w:tcW w:w="0" w:type="dxa"/>
            <w:vAlign w:val="bottom"/>
          </w:tcPr>
          <w:p>
            <w:pPr>
              <w:spacing w:after="0"/>
              <w:rPr>
                <w:sz w:val="1"/>
                <w:szCs w:val="1"/>
                <w:color w:val="auto"/>
              </w:rPr>
            </w:pPr>
          </w:p>
        </w:tc>
      </w:tr>
      <w:tr>
        <w:trPr>
          <w:trHeight w:val="33"/>
        </w:trPr>
        <w:tc>
          <w:tcPr>
            <w:tcW w:w="4380" w:type="dxa"/>
            <w:vAlign w:val="bottom"/>
            <w:tcBorders>
              <w:bottom w:val="single" w:sz="8" w:color="DADAE7"/>
            </w:tcBorders>
          </w:tcPr>
          <w:p>
            <w:pPr>
              <w:spacing w:after="0"/>
              <w:rPr>
                <w:sz w:val="2"/>
                <w:szCs w:val="2"/>
                <w:color w:val="auto"/>
              </w:rPr>
            </w:pPr>
          </w:p>
        </w:tc>
        <w:tc>
          <w:tcPr>
            <w:tcW w:w="1600" w:type="dxa"/>
            <w:vAlign w:val="bottom"/>
            <w:tcBorders>
              <w:bottom w:val="single" w:sz="8" w:color="DADAE7"/>
            </w:tcBorders>
            <w:gridSpan w:val="2"/>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600" w:type="dxa"/>
            <w:vAlign w:val="bottom"/>
            <w:tcBorders>
              <w:bottom w:val="single" w:sz="8" w:color="DADAE7"/>
            </w:tcBorders>
            <w:gridSpan w:val="2"/>
          </w:tcPr>
          <w:p>
            <w:pPr>
              <w:spacing w:after="0"/>
              <w:rPr>
                <w:sz w:val="2"/>
                <w:szCs w:val="2"/>
                <w:color w:val="auto"/>
              </w:rPr>
            </w:pPr>
          </w:p>
        </w:tc>
        <w:tc>
          <w:tcPr>
            <w:tcW w:w="1720" w:type="dxa"/>
            <w:vAlign w:val="bottom"/>
            <w:tcBorders>
              <w:bottom w:val="single" w:sz="8" w:color="DADAE7"/>
            </w:tcBorders>
            <w:gridSpan w:val="2"/>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740" w:type="dxa"/>
            <w:vAlign w:val="bottom"/>
            <w:tcBorders>
              <w:bottom w:val="single" w:sz="8" w:color="DADAE7"/>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20"/>
              <w:spacing w:after="0"/>
              <w:rPr>
                <w:sz w:val="20"/>
                <w:szCs w:val="20"/>
                <w:color w:val="auto"/>
              </w:rPr>
            </w:pPr>
            <w:r>
              <w:rPr>
                <w:rFonts w:ascii="Arial" w:cs="Arial" w:eastAsia="Arial" w:hAnsi="Arial"/>
                <w:sz w:val="15"/>
                <w:szCs w:val="15"/>
                <w:color w:val="auto"/>
              </w:rPr>
              <w:t>Amounts due to Prime Brokers</w:t>
            </w: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1,017.1</w:t>
            </w:r>
          </w:p>
        </w:tc>
        <w:tc>
          <w:tcPr>
            <w:tcW w:w="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1,017.1</w:t>
            </w:r>
          </w:p>
        </w:tc>
        <w:tc>
          <w:tcPr>
            <w:tcW w:w="0" w:type="dxa"/>
            <w:vAlign w:val="bottom"/>
          </w:tcPr>
          <w:p>
            <w:pPr>
              <w:spacing w:after="0"/>
              <w:rPr>
                <w:sz w:val="1"/>
                <w:szCs w:val="1"/>
                <w:color w:val="auto"/>
              </w:rPr>
            </w:pPr>
          </w:p>
        </w:tc>
      </w:tr>
      <w:tr>
        <w:trPr>
          <w:trHeight w:val="33"/>
        </w:trPr>
        <w:tc>
          <w:tcPr>
            <w:tcW w:w="4380" w:type="dxa"/>
            <w:vAlign w:val="bottom"/>
            <w:tcBorders>
              <w:bottom w:val="single" w:sz="8" w:color="DADAE7"/>
            </w:tcBorders>
          </w:tcPr>
          <w:p>
            <w:pPr>
              <w:spacing w:after="0"/>
              <w:rPr>
                <w:sz w:val="2"/>
                <w:szCs w:val="2"/>
                <w:color w:val="auto"/>
              </w:rPr>
            </w:pPr>
          </w:p>
        </w:tc>
        <w:tc>
          <w:tcPr>
            <w:tcW w:w="1560" w:type="dxa"/>
            <w:vAlign w:val="bottom"/>
            <w:tcBorders>
              <w:bottom w:val="single" w:sz="8" w:color="DADAE7"/>
            </w:tcBorders>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600" w:type="dxa"/>
            <w:vAlign w:val="bottom"/>
            <w:tcBorders>
              <w:bottom w:val="single" w:sz="8" w:color="DADAE7"/>
            </w:tcBorders>
            <w:gridSpan w:val="2"/>
          </w:tcPr>
          <w:p>
            <w:pPr>
              <w:spacing w:after="0"/>
              <w:rPr>
                <w:sz w:val="2"/>
                <w:szCs w:val="2"/>
                <w:color w:val="auto"/>
              </w:rPr>
            </w:pPr>
          </w:p>
        </w:tc>
        <w:tc>
          <w:tcPr>
            <w:tcW w:w="1720" w:type="dxa"/>
            <w:vAlign w:val="bottom"/>
            <w:tcBorders>
              <w:bottom w:val="single" w:sz="8" w:color="DADAE7"/>
            </w:tcBorders>
            <w:gridSpan w:val="2"/>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740" w:type="dxa"/>
            <w:vAlign w:val="bottom"/>
            <w:tcBorders>
              <w:bottom w:val="single" w:sz="8" w:color="DADAE7"/>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380" w:type="dxa"/>
            <w:vAlign w:val="bottom"/>
          </w:tcPr>
          <w:p>
            <w:pPr>
              <w:ind w:left="20"/>
              <w:spacing w:after="0"/>
              <w:rPr>
                <w:sz w:val="20"/>
                <w:szCs w:val="20"/>
                <w:color w:val="auto"/>
              </w:rPr>
            </w:pPr>
            <w:r>
              <w:rPr>
                <w:rFonts w:ascii="Arial" w:cs="Arial" w:eastAsia="Arial" w:hAnsi="Arial"/>
                <w:sz w:val="15"/>
                <w:szCs w:val="15"/>
                <w:color w:val="auto"/>
              </w:rPr>
              <w:t>Amounts payable to clients</w:t>
            </w:r>
          </w:p>
        </w:tc>
        <w:tc>
          <w:tcPr>
            <w:tcW w:w="1560" w:type="dxa"/>
            <w:vAlign w:val="bottom"/>
          </w:tcPr>
          <w:p>
            <w:pPr>
              <w:jc w:val="right"/>
              <w:spacing w:after="0"/>
              <w:rPr>
                <w:sz w:val="20"/>
                <w:szCs w:val="20"/>
                <w:color w:val="auto"/>
              </w:rPr>
            </w:pPr>
            <w:r>
              <w:rPr>
                <w:rFonts w:ascii="Arial" w:cs="Arial" w:eastAsia="Arial" w:hAnsi="Arial"/>
                <w:sz w:val="15"/>
                <w:szCs w:val="15"/>
                <w:color w:val="auto"/>
              </w:rPr>
              <w:t>65.1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6,188.6</w:t>
            </w:r>
          </w:p>
        </w:tc>
        <w:tc>
          <w:tcPr>
            <w:tcW w:w="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6,253.7</w:t>
            </w:r>
          </w:p>
        </w:tc>
        <w:tc>
          <w:tcPr>
            <w:tcW w:w="0" w:type="dxa"/>
            <w:vAlign w:val="bottom"/>
          </w:tcPr>
          <w:p>
            <w:pPr>
              <w:spacing w:after="0"/>
              <w:rPr>
                <w:sz w:val="1"/>
                <w:szCs w:val="1"/>
                <w:color w:val="auto"/>
              </w:rPr>
            </w:pPr>
          </w:p>
        </w:tc>
      </w:tr>
      <w:tr>
        <w:trPr>
          <w:trHeight w:val="33"/>
        </w:trPr>
        <w:tc>
          <w:tcPr>
            <w:tcW w:w="4380" w:type="dxa"/>
            <w:vAlign w:val="bottom"/>
            <w:tcBorders>
              <w:bottom w:val="single" w:sz="8" w:color="DADAE7"/>
            </w:tcBorders>
          </w:tcPr>
          <w:p>
            <w:pPr>
              <w:spacing w:after="0"/>
              <w:rPr>
                <w:sz w:val="2"/>
                <w:szCs w:val="2"/>
                <w:color w:val="auto"/>
              </w:rPr>
            </w:pPr>
          </w:p>
        </w:tc>
        <w:tc>
          <w:tcPr>
            <w:tcW w:w="1560" w:type="dxa"/>
            <w:vAlign w:val="bottom"/>
            <w:tcBorders>
              <w:bottom w:val="single" w:sz="8" w:color="DADAE7"/>
            </w:tcBorders>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600" w:type="dxa"/>
            <w:vAlign w:val="bottom"/>
            <w:tcBorders>
              <w:bottom w:val="single" w:sz="8" w:color="DADAE7"/>
            </w:tcBorders>
            <w:gridSpan w:val="2"/>
          </w:tcPr>
          <w:p>
            <w:pPr>
              <w:spacing w:after="0"/>
              <w:rPr>
                <w:sz w:val="2"/>
                <w:szCs w:val="2"/>
                <w:color w:val="auto"/>
              </w:rPr>
            </w:pPr>
          </w:p>
        </w:tc>
        <w:tc>
          <w:tcPr>
            <w:tcW w:w="1720" w:type="dxa"/>
            <w:vAlign w:val="bottom"/>
            <w:tcBorders>
              <w:bottom w:val="single" w:sz="8" w:color="DADAE7"/>
            </w:tcBorders>
            <w:gridSpan w:val="2"/>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740" w:type="dxa"/>
            <w:vAlign w:val="bottom"/>
            <w:tcBorders>
              <w:bottom w:val="single" w:sz="8" w:color="DADAE7"/>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20"/>
              <w:spacing w:after="0"/>
              <w:rPr>
                <w:sz w:val="20"/>
                <w:szCs w:val="20"/>
                <w:color w:val="auto"/>
              </w:rPr>
            </w:pPr>
            <w:r>
              <w:rPr>
                <w:rFonts w:ascii="Arial" w:cs="Arial" w:eastAsia="Arial" w:hAnsi="Arial"/>
                <w:sz w:val="15"/>
                <w:szCs w:val="15"/>
                <w:color w:val="auto"/>
              </w:rPr>
              <w:t>Trade payables</w:t>
            </w:r>
          </w:p>
        </w:tc>
        <w:tc>
          <w:tcPr>
            <w:tcW w:w="1560" w:type="dxa"/>
            <w:vAlign w:val="bottom"/>
          </w:tcPr>
          <w:p>
            <w:pPr>
              <w:jc w:val="right"/>
              <w:spacing w:after="0"/>
              <w:rPr>
                <w:sz w:val="20"/>
                <w:szCs w:val="20"/>
                <w:color w:val="auto"/>
              </w:rPr>
            </w:pPr>
            <w:r>
              <w:rPr>
                <w:rFonts w:ascii="Arial" w:cs="Arial" w:eastAsia="Arial" w:hAnsi="Arial"/>
                <w:sz w:val="15"/>
                <w:szCs w:val="15"/>
                <w:color w:val="auto"/>
              </w:rPr>
              <w:t>7.4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462.8</w:t>
            </w:r>
          </w:p>
        </w:tc>
        <w:tc>
          <w:tcPr>
            <w:tcW w:w="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470.2</w:t>
            </w:r>
          </w:p>
        </w:tc>
        <w:tc>
          <w:tcPr>
            <w:tcW w:w="0" w:type="dxa"/>
            <w:vAlign w:val="bottom"/>
          </w:tcPr>
          <w:p>
            <w:pPr>
              <w:spacing w:after="0"/>
              <w:rPr>
                <w:sz w:val="1"/>
                <w:szCs w:val="1"/>
                <w:color w:val="auto"/>
              </w:rPr>
            </w:pPr>
          </w:p>
        </w:tc>
      </w:tr>
      <w:tr>
        <w:trPr>
          <w:trHeight w:val="33"/>
        </w:trPr>
        <w:tc>
          <w:tcPr>
            <w:tcW w:w="4380" w:type="dxa"/>
            <w:vAlign w:val="bottom"/>
            <w:tcBorders>
              <w:bottom w:val="single" w:sz="8" w:color="DADAE7"/>
            </w:tcBorders>
          </w:tcPr>
          <w:p>
            <w:pPr>
              <w:spacing w:after="0"/>
              <w:rPr>
                <w:sz w:val="2"/>
                <w:szCs w:val="2"/>
                <w:color w:val="auto"/>
              </w:rPr>
            </w:pPr>
          </w:p>
        </w:tc>
        <w:tc>
          <w:tcPr>
            <w:tcW w:w="1600" w:type="dxa"/>
            <w:vAlign w:val="bottom"/>
            <w:tcBorders>
              <w:bottom w:val="single" w:sz="8" w:color="DADAE7"/>
            </w:tcBorders>
            <w:gridSpan w:val="2"/>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600" w:type="dxa"/>
            <w:vAlign w:val="bottom"/>
            <w:tcBorders>
              <w:bottom w:val="single" w:sz="8" w:color="DADAE7"/>
            </w:tcBorders>
            <w:gridSpan w:val="2"/>
          </w:tcPr>
          <w:p>
            <w:pPr>
              <w:spacing w:after="0"/>
              <w:rPr>
                <w:sz w:val="2"/>
                <w:szCs w:val="2"/>
                <w:color w:val="auto"/>
              </w:rPr>
            </w:pPr>
          </w:p>
        </w:tc>
        <w:tc>
          <w:tcPr>
            <w:tcW w:w="1720" w:type="dxa"/>
            <w:vAlign w:val="bottom"/>
            <w:tcBorders>
              <w:bottom w:val="single" w:sz="8" w:color="DADAE7"/>
            </w:tcBorders>
            <w:gridSpan w:val="2"/>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740" w:type="dxa"/>
            <w:vAlign w:val="bottom"/>
            <w:tcBorders>
              <w:bottom w:val="single" w:sz="8" w:color="DADAE7"/>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380" w:type="dxa"/>
            <w:vAlign w:val="bottom"/>
          </w:tcPr>
          <w:p>
            <w:pPr>
              <w:ind w:left="20"/>
              <w:spacing w:after="0"/>
              <w:rPr>
                <w:sz w:val="20"/>
                <w:szCs w:val="20"/>
                <w:color w:val="auto"/>
              </w:rPr>
            </w:pPr>
            <w:r>
              <w:rPr>
                <w:rFonts w:ascii="Arial" w:cs="Arial" w:eastAsia="Arial" w:hAnsi="Arial"/>
                <w:sz w:val="15"/>
                <w:szCs w:val="15"/>
                <w:color w:val="auto"/>
              </w:rPr>
              <w:t>Other creditors</w:t>
            </w: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17.3</w:t>
            </w:r>
          </w:p>
        </w:tc>
        <w:tc>
          <w:tcPr>
            <w:tcW w:w="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17.3</w:t>
            </w:r>
          </w:p>
        </w:tc>
        <w:tc>
          <w:tcPr>
            <w:tcW w:w="0" w:type="dxa"/>
            <w:vAlign w:val="bottom"/>
          </w:tcPr>
          <w:p>
            <w:pPr>
              <w:spacing w:after="0"/>
              <w:rPr>
                <w:sz w:val="1"/>
                <w:szCs w:val="1"/>
                <w:color w:val="auto"/>
              </w:rPr>
            </w:pPr>
          </w:p>
        </w:tc>
      </w:tr>
      <w:tr>
        <w:trPr>
          <w:trHeight w:val="33"/>
        </w:trPr>
        <w:tc>
          <w:tcPr>
            <w:tcW w:w="4380" w:type="dxa"/>
            <w:vAlign w:val="bottom"/>
            <w:tcBorders>
              <w:bottom w:val="single" w:sz="8" w:color="DADAE7"/>
            </w:tcBorders>
          </w:tcPr>
          <w:p>
            <w:pPr>
              <w:spacing w:after="0"/>
              <w:rPr>
                <w:sz w:val="2"/>
                <w:szCs w:val="2"/>
                <w:color w:val="auto"/>
              </w:rPr>
            </w:pPr>
          </w:p>
        </w:tc>
        <w:tc>
          <w:tcPr>
            <w:tcW w:w="1560" w:type="dxa"/>
            <w:vAlign w:val="bottom"/>
            <w:tcBorders>
              <w:bottom w:val="single" w:sz="8" w:color="DADAE7"/>
            </w:tcBorders>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600" w:type="dxa"/>
            <w:vAlign w:val="bottom"/>
            <w:tcBorders>
              <w:bottom w:val="single" w:sz="8" w:color="DADAE7"/>
            </w:tcBorders>
            <w:gridSpan w:val="2"/>
          </w:tcPr>
          <w:p>
            <w:pPr>
              <w:spacing w:after="0"/>
              <w:rPr>
                <w:sz w:val="2"/>
                <w:szCs w:val="2"/>
                <w:color w:val="auto"/>
              </w:rPr>
            </w:pPr>
          </w:p>
        </w:tc>
        <w:tc>
          <w:tcPr>
            <w:tcW w:w="1720" w:type="dxa"/>
            <w:vAlign w:val="bottom"/>
            <w:tcBorders>
              <w:bottom w:val="single" w:sz="8" w:color="DADAE7"/>
            </w:tcBorders>
            <w:gridSpan w:val="2"/>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740" w:type="dxa"/>
            <w:vAlign w:val="bottom"/>
            <w:tcBorders>
              <w:bottom w:val="single" w:sz="8" w:color="DADAE7"/>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20"/>
              <w:spacing w:after="0"/>
              <w:rPr>
                <w:sz w:val="20"/>
                <w:szCs w:val="20"/>
                <w:color w:val="auto"/>
              </w:rPr>
            </w:pPr>
            <w:r>
              <w:rPr>
                <w:rFonts w:ascii="Arial" w:cs="Arial" w:eastAsia="Arial" w:hAnsi="Arial"/>
                <w:sz w:val="15"/>
                <w:szCs w:val="15"/>
                <w:color w:val="auto"/>
              </w:rPr>
              <w:t>Stock lending</w:t>
            </w:r>
          </w:p>
        </w:tc>
        <w:tc>
          <w:tcPr>
            <w:tcW w:w="1560" w:type="dxa"/>
            <w:vAlign w:val="bottom"/>
          </w:tcPr>
          <w:p>
            <w:pPr>
              <w:jc w:val="right"/>
              <w:spacing w:after="0"/>
              <w:rPr>
                <w:sz w:val="20"/>
                <w:szCs w:val="20"/>
                <w:color w:val="auto"/>
              </w:rPr>
            </w:pPr>
            <w:r>
              <w:rPr>
                <w:rFonts w:ascii="Arial" w:cs="Arial" w:eastAsia="Arial" w:hAnsi="Arial"/>
                <w:sz w:val="15"/>
                <w:szCs w:val="15"/>
                <w:color w:val="auto"/>
              </w:rPr>
              <w:t>3,480.9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1,471.2</w:t>
            </w:r>
          </w:p>
        </w:tc>
        <w:tc>
          <w:tcPr>
            <w:tcW w:w="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4,952.1</w:t>
            </w:r>
          </w:p>
        </w:tc>
        <w:tc>
          <w:tcPr>
            <w:tcW w:w="0" w:type="dxa"/>
            <w:vAlign w:val="bottom"/>
          </w:tcPr>
          <w:p>
            <w:pPr>
              <w:spacing w:after="0"/>
              <w:rPr>
                <w:sz w:val="1"/>
                <w:szCs w:val="1"/>
                <w:color w:val="auto"/>
              </w:rPr>
            </w:pPr>
          </w:p>
        </w:tc>
      </w:tr>
      <w:tr>
        <w:trPr>
          <w:trHeight w:val="33"/>
        </w:trPr>
        <w:tc>
          <w:tcPr>
            <w:tcW w:w="4380" w:type="dxa"/>
            <w:vAlign w:val="bottom"/>
            <w:tcBorders>
              <w:bottom w:val="single" w:sz="8" w:color="DADAE7"/>
            </w:tcBorders>
          </w:tcPr>
          <w:p>
            <w:pPr>
              <w:spacing w:after="0"/>
              <w:rPr>
                <w:sz w:val="2"/>
                <w:szCs w:val="2"/>
                <w:color w:val="auto"/>
              </w:rPr>
            </w:pPr>
          </w:p>
        </w:tc>
        <w:tc>
          <w:tcPr>
            <w:tcW w:w="1600" w:type="dxa"/>
            <w:vAlign w:val="bottom"/>
            <w:tcBorders>
              <w:bottom w:val="single" w:sz="8" w:color="DADAE7"/>
            </w:tcBorders>
            <w:gridSpan w:val="2"/>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600" w:type="dxa"/>
            <w:vAlign w:val="bottom"/>
            <w:tcBorders>
              <w:bottom w:val="single" w:sz="8" w:color="DADAE7"/>
            </w:tcBorders>
            <w:gridSpan w:val="2"/>
          </w:tcPr>
          <w:p>
            <w:pPr>
              <w:spacing w:after="0"/>
              <w:rPr>
                <w:sz w:val="2"/>
                <w:szCs w:val="2"/>
                <w:color w:val="auto"/>
              </w:rPr>
            </w:pPr>
          </w:p>
        </w:tc>
        <w:tc>
          <w:tcPr>
            <w:tcW w:w="1720" w:type="dxa"/>
            <w:vAlign w:val="bottom"/>
            <w:tcBorders>
              <w:bottom w:val="single" w:sz="8" w:color="DADAE7"/>
            </w:tcBorders>
            <w:gridSpan w:val="2"/>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740" w:type="dxa"/>
            <w:vAlign w:val="bottom"/>
            <w:tcBorders>
              <w:bottom w:val="single" w:sz="8" w:color="DADAE7"/>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20"/>
              <w:spacing w:after="0"/>
              <w:rPr>
                <w:sz w:val="20"/>
                <w:szCs w:val="20"/>
                <w:color w:val="auto"/>
              </w:rPr>
            </w:pPr>
            <w:r>
              <w:rPr>
                <w:rFonts w:ascii="Arial" w:cs="Arial" w:eastAsia="Arial" w:hAnsi="Arial"/>
                <w:sz w:val="15"/>
                <w:szCs w:val="15"/>
                <w:color w:val="auto"/>
              </w:rPr>
              <w:t>Short-term borrowings</w:t>
            </w: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152.0</w:t>
            </w:r>
          </w:p>
        </w:tc>
        <w:tc>
          <w:tcPr>
            <w:tcW w:w="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152.0</w:t>
            </w:r>
          </w:p>
        </w:tc>
        <w:tc>
          <w:tcPr>
            <w:tcW w:w="0" w:type="dxa"/>
            <w:vAlign w:val="bottom"/>
          </w:tcPr>
          <w:p>
            <w:pPr>
              <w:spacing w:after="0"/>
              <w:rPr>
                <w:sz w:val="1"/>
                <w:szCs w:val="1"/>
                <w:color w:val="auto"/>
              </w:rPr>
            </w:pPr>
          </w:p>
        </w:tc>
      </w:tr>
      <w:tr>
        <w:trPr>
          <w:trHeight w:val="33"/>
        </w:trPr>
        <w:tc>
          <w:tcPr>
            <w:tcW w:w="4380" w:type="dxa"/>
            <w:vAlign w:val="bottom"/>
            <w:tcBorders>
              <w:bottom w:val="single" w:sz="8" w:color="DADAE7"/>
            </w:tcBorders>
          </w:tcPr>
          <w:p>
            <w:pPr>
              <w:spacing w:after="0"/>
              <w:rPr>
                <w:sz w:val="2"/>
                <w:szCs w:val="2"/>
                <w:color w:val="auto"/>
              </w:rPr>
            </w:pPr>
          </w:p>
        </w:tc>
        <w:tc>
          <w:tcPr>
            <w:tcW w:w="1560" w:type="dxa"/>
            <w:vAlign w:val="bottom"/>
            <w:tcBorders>
              <w:bottom w:val="single" w:sz="8" w:color="DADAE7"/>
            </w:tcBorders>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600" w:type="dxa"/>
            <w:vAlign w:val="bottom"/>
            <w:tcBorders>
              <w:bottom w:val="single" w:sz="8" w:color="DADAE7"/>
            </w:tcBorders>
            <w:gridSpan w:val="2"/>
          </w:tcPr>
          <w:p>
            <w:pPr>
              <w:spacing w:after="0"/>
              <w:rPr>
                <w:sz w:val="2"/>
                <w:szCs w:val="2"/>
                <w:color w:val="auto"/>
              </w:rPr>
            </w:pPr>
          </w:p>
        </w:tc>
        <w:tc>
          <w:tcPr>
            <w:tcW w:w="1720" w:type="dxa"/>
            <w:vAlign w:val="bottom"/>
            <w:tcBorders>
              <w:bottom w:val="single" w:sz="8" w:color="DADAE7"/>
            </w:tcBorders>
            <w:gridSpan w:val="2"/>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740" w:type="dxa"/>
            <w:vAlign w:val="bottom"/>
            <w:tcBorders>
              <w:bottom w:val="single" w:sz="8" w:color="DADAE7"/>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Debt securities</w:t>
            </w:r>
            <w:r>
              <w:rPr>
                <w:rFonts w:ascii="Arial" w:cs="Arial" w:eastAsia="Arial" w:hAnsi="Arial"/>
                <w:sz w:val="19"/>
                <w:szCs w:val="19"/>
                <w:color w:val="auto"/>
                <w:vertAlign w:val="superscript"/>
              </w:rPr>
              <w:t>1</w:t>
            </w:r>
          </w:p>
        </w:tc>
        <w:tc>
          <w:tcPr>
            <w:tcW w:w="1560" w:type="dxa"/>
            <w:vAlign w:val="bottom"/>
            <w:tcBorders>
              <w:bottom w:val="single" w:sz="8" w:color="DADAE7"/>
            </w:tcBorders>
          </w:tcPr>
          <w:p>
            <w:pPr>
              <w:jc w:val="right"/>
              <w:spacing w:after="0"/>
              <w:rPr>
                <w:sz w:val="20"/>
                <w:szCs w:val="20"/>
                <w:color w:val="auto"/>
              </w:rPr>
            </w:pPr>
            <w:r>
              <w:rPr>
                <w:rFonts w:ascii="Arial" w:cs="Arial" w:eastAsia="Arial" w:hAnsi="Arial"/>
                <w:sz w:val="15"/>
                <w:szCs w:val="15"/>
                <w:color w:val="auto"/>
              </w:rPr>
              <w:t>2,674.6</w:t>
            </w:r>
          </w:p>
        </w:tc>
        <w:tc>
          <w:tcPr>
            <w:tcW w:w="40" w:type="dxa"/>
            <w:vAlign w:val="bottom"/>
            <w:tcBorders>
              <w:bottom w:val="single" w:sz="8" w:color="DADAE7"/>
            </w:tcBorders>
          </w:tcPr>
          <w:p>
            <w:pPr>
              <w:spacing w:after="0"/>
              <w:rPr>
                <w:sz w:val="20"/>
                <w:szCs w:val="20"/>
                <w:color w:val="auto"/>
              </w:rPr>
            </w:pPr>
          </w:p>
        </w:tc>
        <w:tc>
          <w:tcPr>
            <w:tcW w:w="140" w:type="dxa"/>
            <w:vAlign w:val="bottom"/>
            <w:tcBorders>
              <w:bottom w:val="single" w:sz="8" w:color="DADAE7"/>
            </w:tcBorders>
          </w:tcPr>
          <w:p>
            <w:pPr>
              <w:spacing w:after="0"/>
              <w:rPr>
                <w:sz w:val="20"/>
                <w:szCs w:val="20"/>
                <w:color w:val="auto"/>
              </w:rPr>
            </w:pPr>
          </w:p>
        </w:tc>
        <w:tc>
          <w:tcPr>
            <w:tcW w:w="1600" w:type="dxa"/>
            <w:vAlign w:val="bottom"/>
            <w:tcBorders>
              <w:bottom w:val="single" w:sz="8" w:color="DADAE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DADAE7"/>
            </w:tcBorders>
            <w:gridSpan w:val="2"/>
          </w:tcPr>
          <w:p>
            <w:pPr>
              <w:jc w:val="right"/>
              <w:spacing w:after="0"/>
              <w:rPr>
                <w:sz w:val="20"/>
                <w:szCs w:val="20"/>
                <w:color w:val="auto"/>
              </w:rPr>
            </w:pPr>
            <w:r>
              <w:rPr>
                <w:rFonts w:ascii="Arial" w:cs="Arial" w:eastAsia="Arial" w:hAnsi="Arial"/>
                <w:sz w:val="15"/>
                <w:szCs w:val="15"/>
                <w:color w:val="auto"/>
              </w:rPr>
              <w:t>929.9</w:t>
            </w:r>
          </w:p>
        </w:tc>
        <w:tc>
          <w:tcPr>
            <w:tcW w:w="40" w:type="dxa"/>
            <w:vAlign w:val="bottom"/>
            <w:tcBorders>
              <w:bottom w:val="single" w:sz="8" w:color="DADAE7"/>
            </w:tcBorders>
          </w:tcPr>
          <w:p>
            <w:pPr>
              <w:spacing w:after="0"/>
              <w:rPr>
                <w:sz w:val="20"/>
                <w:szCs w:val="20"/>
                <w:color w:val="auto"/>
              </w:rPr>
            </w:pPr>
          </w:p>
        </w:tc>
        <w:tc>
          <w:tcPr>
            <w:tcW w:w="1740" w:type="dxa"/>
            <w:vAlign w:val="bottom"/>
            <w:tcBorders>
              <w:bottom w:val="single" w:sz="8" w:color="DADAE7"/>
            </w:tcBorders>
          </w:tcPr>
          <w:p>
            <w:pPr>
              <w:jc w:val="right"/>
              <w:spacing w:after="0"/>
              <w:rPr>
                <w:sz w:val="20"/>
                <w:szCs w:val="20"/>
                <w:color w:val="auto"/>
              </w:rPr>
            </w:pPr>
            <w:r>
              <w:rPr>
                <w:rFonts w:ascii="Arial" w:cs="Arial" w:eastAsia="Arial" w:hAnsi="Arial"/>
                <w:sz w:val="15"/>
                <w:szCs w:val="15"/>
                <w:color w:val="auto"/>
              </w:rPr>
              <w:t>3,604.5</w:t>
            </w:r>
          </w:p>
        </w:tc>
        <w:tc>
          <w:tcPr>
            <w:tcW w:w="0" w:type="dxa"/>
            <w:vAlign w:val="bottom"/>
          </w:tcPr>
          <w:p>
            <w:pPr>
              <w:spacing w:after="0"/>
              <w:rPr>
                <w:sz w:val="1"/>
                <w:szCs w:val="1"/>
                <w:color w:val="auto"/>
              </w:rPr>
            </w:pPr>
          </w:p>
        </w:tc>
      </w:tr>
      <w:tr>
        <w:trPr>
          <w:trHeight w:val="203"/>
        </w:trPr>
        <w:tc>
          <w:tcPr>
            <w:tcW w:w="4380" w:type="dxa"/>
            <w:vAlign w:val="bottom"/>
          </w:tcPr>
          <w:p>
            <w:pPr>
              <w:ind w:left="20"/>
              <w:spacing w:after="0"/>
              <w:rPr>
                <w:sz w:val="20"/>
                <w:szCs w:val="20"/>
                <w:color w:val="auto"/>
              </w:rPr>
            </w:pPr>
            <w:r>
              <w:rPr>
                <w:rFonts w:ascii="Arial" w:cs="Arial" w:eastAsia="Arial" w:hAnsi="Arial"/>
                <w:sz w:val="15"/>
                <w:szCs w:val="15"/>
                <w:color w:val="auto"/>
              </w:rPr>
              <w:t>Lease liability</w:t>
            </w: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77.5</w:t>
            </w:r>
          </w:p>
        </w:tc>
        <w:tc>
          <w:tcPr>
            <w:tcW w:w="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77.5</w:t>
            </w:r>
          </w:p>
        </w:tc>
        <w:tc>
          <w:tcPr>
            <w:tcW w:w="0" w:type="dxa"/>
            <w:vAlign w:val="bottom"/>
          </w:tcPr>
          <w:p>
            <w:pPr>
              <w:spacing w:after="0"/>
              <w:rPr>
                <w:sz w:val="1"/>
                <w:szCs w:val="1"/>
                <w:color w:val="auto"/>
              </w:rPr>
            </w:pPr>
          </w:p>
        </w:tc>
      </w:tr>
      <w:tr>
        <w:trPr>
          <w:trHeight w:val="33"/>
        </w:trPr>
        <w:tc>
          <w:tcPr>
            <w:tcW w:w="4380" w:type="dxa"/>
            <w:vAlign w:val="bottom"/>
            <w:tcBorders>
              <w:bottom w:val="single" w:sz="8" w:color="793690"/>
            </w:tcBorders>
          </w:tcPr>
          <w:p>
            <w:pPr>
              <w:spacing w:after="0"/>
              <w:rPr>
                <w:sz w:val="2"/>
                <w:szCs w:val="2"/>
                <w:color w:val="auto"/>
              </w:rPr>
            </w:pPr>
          </w:p>
        </w:tc>
        <w:tc>
          <w:tcPr>
            <w:tcW w:w="1560" w:type="dxa"/>
            <w:vAlign w:val="bottom"/>
            <w:tcBorders>
              <w:bottom w:val="single" w:sz="8" w:color="793690"/>
            </w:tcBorders>
          </w:tcPr>
          <w:p>
            <w:pPr>
              <w:spacing w:after="0"/>
              <w:rPr>
                <w:sz w:val="2"/>
                <w:szCs w:val="2"/>
                <w:color w:val="auto"/>
              </w:rPr>
            </w:pPr>
          </w:p>
        </w:tc>
        <w:tc>
          <w:tcPr>
            <w:tcW w:w="40" w:type="dxa"/>
            <w:vAlign w:val="bottom"/>
            <w:tcBorders>
              <w:bottom w:val="single" w:sz="8" w:color="793690"/>
            </w:tcBorders>
          </w:tcPr>
          <w:p>
            <w:pPr>
              <w:spacing w:after="0"/>
              <w:rPr>
                <w:sz w:val="2"/>
                <w:szCs w:val="2"/>
                <w:color w:val="auto"/>
              </w:rPr>
            </w:pPr>
          </w:p>
        </w:tc>
        <w:tc>
          <w:tcPr>
            <w:tcW w:w="1700" w:type="dxa"/>
            <w:vAlign w:val="bottom"/>
            <w:tcBorders>
              <w:bottom w:val="single" w:sz="8" w:color="793690"/>
            </w:tcBorders>
            <w:gridSpan w:val="2"/>
          </w:tcPr>
          <w:p>
            <w:pPr>
              <w:spacing w:after="0"/>
              <w:rPr>
                <w:sz w:val="2"/>
                <w:szCs w:val="2"/>
                <w:color w:val="auto"/>
              </w:rPr>
            </w:pPr>
          </w:p>
        </w:tc>
        <w:tc>
          <w:tcPr>
            <w:tcW w:w="40" w:type="dxa"/>
            <w:vAlign w:val="bottom"/>
            <w:tcBorders>
              <w:bottom w:val="single" w:sz="8" w:color="793690"/>
            </w:tcBorders>
          </w:tcPr>
          <w:p>
            <w:pPr>
              <w:spacing w:after="0"/>
              <w:rPr>
                <w:sz w:val="2"/>
                <w:szCs w:val="2"/>
                <w:color w:val="auto"/>
              </w:rPr>
            </w:pPr>
          </w:p>
        </w:tc>
        <w:tc>
          <w:tcPr>
            <w:tcW w:w="1720" w:type="dxa"/>
            <w:vAlign w:val="bottom"/>
            <w:tcBorders>
              <w:bottom w:val="single" w:sz="8" w:color="793690"/>
            </w:tcBorders>
            <w:gridSpan w:val="2"/>
          </w:tcPr>
          <w:p>
            <w:pPr>
              <w:spacing w:after="0"/>
              <w:rPr>
                <w:sz w:val="2"/>
                <w:szCs w:val="2"/>
                <w:color w:val="auto"/>
              </w:rPr>
            </w:pPr>
          </w:p>
        </w:tc>
        <w:tc>
          <w:tcPr>
            <w:tcW w:w="40" w:type="dxa"/>
            <w:vAlign w:val="bottom"/>
            <w:tcBorders>
              <w:bottom w:val="single" w:sz="8" w:color="793690"/>
            </w:tcBorders>
          </w:tcPr>
          <w:p>
            <w:pPr>
              <w:spacing w:after="0"/>
              <w:rPr>
                <w:sz w:val="2"/>
                <w:szCs w:val="2"/>
                <w:color w:val="auto"/>
              </w:rPr>
            </w:pPr>
          </w:p>
        </w:tc>
        <w:tc>
          <w:tcPr>
            <w:tcW w:w="1740" w:type="dxa"/>
            <w:vAlign w:val="bottom"/>
            <w:tcBorders>
              <w:bottom w:val="single" w:sz="8" w:color="793690"/>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10,962.6</w:t>
            </w:r>
          </w:p>
        </w:tc>
        <w:tc>
          <w:tcPr>
            <w:tcW w:w="4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27.5</w:t>
            </w:r>
          </w:p>
        </w:tc>
        <w:tc>
          <w:tcPr>
            <w:tcW w:w="40" w:type="dxa"/>
            <w:vAlign w:val="bottom"/>
          </w:tcPr>
          <w:p>
            <w:pPr>
              <w:spacing w:after="0"/>
              <w:rPr>
                <w:sz w:val="17"/>
                <w:szCs w:val="17"/>
                <w:color w:val="auto"/>
              </w:rPr>
            </w:pP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11,817.9</w:t>
            </w:r>
          </w:p>
        </w:tc>
        <w:tc>
          <w:tcPr>
            <w:tcW w:w="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22,808.0</w:t>
            </w:r>
          </w:p>
        </w:tc>
        <w:tc>
          <w:tcPr>
            <w:tcW w:w="0" w:type="dxa"/>
            <w:vAlign w:val="bottom"/>
          </w:tcPr>
          <w:p>
            <w:pPr>
              <w:spacing w:after="0"/>
              <w:rPr>
                <w:sz w:val="1"/>
                <w:szCs w:val="1"/>
                <w:color w:val="auto"/>
              </w:rPr>
            </w:pPr>
          </w:p>
        </w:tc>
      </w:tr>
      <w:tr>
        <w:trPr>
          <w:trHeight w:val="33"/>
        </w:trPr>
        <w:tc>
          <w:tcPr>
            <w:tcW w:w="4380" w:type="dxa"/>
            <w:vAlign w:val="bottom"/>
            <w:tcBorders>
              <w:bottom w:val="single" w:sz="8" w:color="793690"/>
            </w:tcBorders>
          </w:tcPr>
          <w:p>
            <w:pPr>
              <w:spacing w:after="0"/>
              <w:rPr>
                <w:sz w:val="2"/>
                <w:szCs w:val="2"/>
                <w:color w:val="auto"/>
              </w:rPr>
            </w:pPr>
          </w:p>
        </w:tc>
        <w:tc>
          <w:tcPr>
            <w:tcW w:w="1560" w:type="dxa"/>
            <w:vAlign w:val="bottom"/>
            <w:tcBorders>
              <w:bottom w:val="single" w:sz="8" w:color="793690"/>
            </w:tcBorders>
          </w:tcPr>
          <w:p>
            <w:pPr>
              <w:spacing w:after="0"/>
              <w:rPr>
                <w:sz w:val="2"/>
                <w:szCs w:val="2"/>
                <w:color w:val="auto"/>
              </w:rPr>
            </w:pPr>
          </w:p>
        </w:tc>
        <w:tc>
          <w:tcPr>
            <w:tcW w:w="40" w:type="dxa"/>
            <w:vAlign w:val="bottom"/>
            <w:tcBorders>
              <w:bottom w:val="single" w:sz="8" w:color="793690"/>
            </w:tcBorders>
          </w:tcPr>
          <w:p>
            <w:pPr>
              <w:spacing w:after="0"/>
              <w:rPr>
                <w:sz w:val="2"/>
                <w:szCs w:val="2"/>
                <w:color w:val="auto"/>
              </w:rPr>
            </w:pPr>
          </w:p>
        </w:tc>
        <w:tc>
          <w:tcPr>
            <w:tcW w:w="140" w:type="dxa"/>
            <w:vAlign w:val="bottom"/>
            <w:tcBorders>
              <w:bottom w:val="single" w:sz="8" w:color="793690"/>
            </w:tcBorders>
          </w:tcPr>
          <w:p>
            <w:pPr>
              <w:spacing w:after="0"/>
              <w:rPr>
                <w:sz w:val="2"/>
                <w:szCs w:val="2"/>
                <w:color w:val="auto"/>
              </w:rPr>
            </w:pPr>
          </w:p>
        </w:tc>
        <w:tc>
          <w:tcPr>
            <w:tcW w:w="1560" w:type="dxa"/>
            <w:vAlign w:val="bottom"/>
            <w:tcBorders>
              <w:bottom w:val="single" w:sz="8" w:color="793690"/>
            </w:tcBorders>
          </w:tcPr>
          <w:p>
            <w:pPr>
              <w:spacing w:after="0"/>
              <w:rPr>
                <w:sz w:val="2"/>
                <w:szCs w:val="2"/>
                <w:color w:val="auto"/>
              </w:rPr>
            </w:pPr>
          </w:p>
        </w:tc>
        <w:tc>
          <w:tcPr>
            <w:tcW w:w="40" w:type="dxa"/>
            <w:vAlign w:val="bottom"/>
            <w:tcBorders>
              <w:bottom w:val="single" w:sz="8" w:color="793690"/>
            </w:tcBorders>
          </w:tcPr>
          <w:p>
            <w:pPr>
              <w:spacing w:after="0"/>
              <w:rPr>
                <w:sz w:val="2"/>
                <w:szCs w:val="2"/>
                <w:color w:val="auto"/>
              </w:rPr>
            </w:pPr>
          </w:p>
        </w:tc>
        <w:tc>
          <w:tcPr>
            <w:tcW w:w="140" w:type="dxa"/>
            <w:vAlign w:val="bottom"/>
            <w:tcBorders>
              <w:bottom w:val="single" w:sz="8" w:color="793690"/>
            </w:tcBorders>
          </w:tcPr>
          <w:p>
            <w:pPr>
              <w:spacing w:after="0"/>
              <w:rPr>
                <w:sz w:val="2"/>
                <w:szCs w:val="2"/>
                <w:color w:val="auto"/>
              </w:rPr>
            </w:pPr>
          </w:p>
        </w:tc>
        <w:tc>
          <w:tcPr>
            <w:tcW w:w="1580" w:type="dxa"/>
            <w:vAlign w:val="bottom"/>
            <w:tcBorders>
              <w:bottom w:val="single" w:sz="8" w:color="793690"/>
            </w:tcBorders>
          </w:tcPr>
          <w:p>
            <w:pPr>
              <w:spacing w:after="0"/>
              <w:rPr>
                <w:sz w:val="2"/>
                <w:szCs w:val="2"/>
                <w:color w:val="auto"/>
              </w:rPr>
            </w:pPr>
          </w:p>
        </w:tc>
        <w:tc>
          <w:tcPr>
            <w:tcW w:w="40" w:type="dxa"/>
            <w:vAlign w:val="bottom"/>
            <w:tcBorders>
              <w:bottom w:val="single" w:sz="8" w:color="793690"/>
            </w:tcBorders>
          </w:tcPr>
          <w:p>
            <w:pPr>
              <w:spacing w:after="0"/>
              <w:rPr>
                <w:sz w:val="2"/>
                <w:szCs w:val="2"/>
                <w:color w:val="auto"/>
              </w:rPr>
            </w:pPr>
          </w:p>
        </w:tc>
        <w:tc>
          <w:tcPr>
            <w:tcW w:w="1740" w:type="dxa"/>
            <w:vAlign w:val="bottom"/>
            <w:tcBorders>
              <w:bottom w:val="single" w:sz="8" w:color="79369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1"/>
          <w:szCs w:val="11"/>
          <w:color w:val="auto"/>
        </w:rPr>
        <w:t>1. Debt securities includes the Euro Medium Term Note ("EMTN") and the Group's Senior Note Programs measured at amortised cost for which we apply fair value hedge accounting.</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 Liquidity risk</w:t>
      </w:r>
    </w:p>
    <w:p>
      <w:pPr>
        <w:spacing w:after="0" w:line="19" w:lineRule="exact"/>
        <w:rPr>
          <w:sz w:val="20"/>
          <w:szCs w:val="20"/>
          <w:color w:val="auto"/>
        </w:rPr>
      </w:pPr>
    </w:p>
    <w:p>
      <w:pPr>
        <w:ind w:right="40"/>
        <w:spacing w:after="0" w:line="260" w:lineRule="auto"/>
        <w:rPr>
          <w:sz w:val="20"/>
          <w:szCs w:val="20"/>
          <w:color w:val="auto"/>
        </w:rPr>
      </w:pPr>
      <w:r>
        <w:rPr>
          <w:rFonts w:ascii="Arial" w:cs="Arial" w:eastAsia="Arial" w:hAnsi="Arial"/>
          <w:sz w:val="15"/>
          <w:szCs w:val="15"/>
          <w:color w:val="auto"/>
        </w:rPr>
        <w:t>The Group defines liquidity risk as the failure to meet its day-to-day capital and cash flow requirements. Liquidity risk is assessed and managed under the Individual Capital and Risk Assessment (ICARA) and Liquidity Risk Framework. To mitigate liquidity risk, the Group has implemented robust cash management policies and procedures that monitor liquidity daily to ensure that the Group has sufficient resources to meet its margin requirement at clearing houses and third party brokers. In the event of a liquidity issue arising, the Group has recourse to existing global cash resources, after which it could draw down on $380m (31 December 2024: $275m) of committed revolving credit facilities, of which $150m is available to the Group as a whole. The Group has access to a further $ 200m (31 December 2024: $200m) secured borrowings. The effect of the callable features within the structured note program is monitored and dynamically updated to reflect any changes to expected cashflows as part of the overall Group liquidity requirements. Short term liquidity requirements are monitored and subject to limits reflecting the Groups liquidity resources.</w:t>
      </w:r>
    </w:p>
    <w:p>
      <w:pPr>
        <w:spacing w:after="0" w:line="71" w:lineRule="exact"/>
        <w:rPr>
          <w:sz w:val="20"/>
          <w:szCs w:val="20"/>
          <w:color w:val="auto"/>
        </w:rPr>
      </w:pPr>
    </w:p>
    <w:p>
      <w:pPr>
        <w:ind w:right="840"/>
        <w:spacing w:after="0" w:line="301" w:lineRule="auto"/>
        <w:rPr>
          <w:sz w:val="20"/>
          <w:szCs w:val="20"/>
          <w:color w:val="auto"/>
        </w:rPr>
      </w:pPr>
      <w:r>
        <w:rPr>
          <w:rFonts w:ascii="Arial" w:cs="Arial" w:eastAsia="Arial" w:hAnsi="Arial"/>
          <w:sz w:val="15"/>
          <w:szCs w:val="15"/>
          <w:color w:val="auto"/>
        </w:rPr>
        <w:t>There are strict guidelines followed in relation to products and tenor into which excess liquidity can be invested. Excess liquidity is invested in highly liquid instruments, such as cash deposits with financial institutions for a period of less than three months and US Treasuries with a maturity of up to five years.</w:t>
      </w:r>
    </w:p>
    <w:p>
      <w:pPr>
        <w:spacing w:after="0" w:line="40" w:lineRule="exact"/>
        <w:rPr>
          <w:sz w:val="20"/>
          <w:szCs w:val="20"/>
          <w:color w:val="auto"/>
        </w:rPr>
      </w:pPr>
    </w:p>
    <w:p>
      <w:pPr>
        <w:ind w:right="60"/>
        <w:spacing w:after="0" w:line="301" w:lineRule="auto"/>
        <w:rPr>
          <w:sz w:val="20"/>
          <w:szCs w:val="20"/>
          <w:color w:val="auto"/>
        </w:rPr>
      </w:pPr>
      <w:r>
        <w:rPr>
          <w:rFonts w:ascii="Arial" w:cs="Arial" w:eastAsia="Arial" w:hAnsi="Arial"/>
          <w:sz w:val="15"/>
          <w:szCs w:val="15"/>
          <w:color w:val="auto"/>
        </w:rPr>
        <w:t>The financial liabilities are based upon rates set on a daily basis, apart from the financing of the warrant positions and the credit facility where the rates are set for the term of the loan. For assets not marked to market, there is no material difference between the carrying value and fair value.</w:t>
      </w:r>
    </w:p>
    <w:p>
      <w:pPr>
        <w:sectPr>
          <w:pgSz w:w="11900" w:h="16838" w:orient="portrait"/>
          <w:cols w:equalWidth="0" w:num="1">
            <w:col w:w="11220"/>
          </w:cols>
          <w:pgMar w:left="320" w:top="135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21</w:t>
      </w:r>
    </w:p>
    <w:p>
      <w:pPr>
        <w:sectPr>
          <w:pgSz w:w="11900" w:h="16838" w:orient="portrait"/>
          <w:cols w:equalWidth="0" w:num="1">
            <w:col w:w="11220"/>
          </w:cols>
          <w:pgMar w:left="320" w:top="1353" w:right="35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22"/>
          <w:szCs w:val="22"/>
          <w:b w:val="1"/>
          <w:bCs w:val="1"/>
          <w:color w:val="793690"/>
        </w:rPr>
        <w:t xml:space="preserve">Notes to the Unaudited Condensed Consolidated Financial Statements </w:t>
      </w:r>
      <w:r>
        <w:rPr>
          <w:rFonts w:ascii="Arial" w:cs="Arial" w:eastAsia="Arial" w:hAnsi="Arial"/>
          <w:sz w:val="22"/>
          <w:szCs w:val="22"/>
          <w:color w:val="793690"/>
        </w:rPr>
        <w:t>(continued)</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793690"/>
        </w:rPr>
        <w:t xml:space="preserve">13 Financial Instruments </w:t>
      </w:r>
      <w:r>
        <w:rPr>
          <w:rFonts w:ascii="Arial" w:cs="Arial" w:eastAsia="Arial" w:hAnsi="Arial"/>
          <w:sz w:val="18"/>
          <w:szCs w:val="18"/>
          <w:color w:val="793690"/>
        </w:rPr>
        <w:t>(continued)</w:t>
      </w:r>
    </w:p>
    <w:p>
      <w:pPr>
        <w:spacing w:after="0" w:line="130" w:lineRule="exact"/>
        <w:rPr>
          <w:sz w:val="20"/>
          <w:szCs w:val="20"/>
          <w:color w:val="auto"/>
        </w:rPr>
      </w:pPr>
    </w:p>
    <w:p>
      <w:pPr>
        <w:ind w:right="9240" w:firstLine="8"/>
        <w:spacing w:after="0" w:line="262" w:lineRule="auto"/>
        <w:tabs>
          <w:tab w:leader="none" w:pos="238"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Liquidity risk </w:t>
      </w:r>
      <w:r>
        <w:rPr>
          <w:rFonts w:ascii="Arial" w:cs="Arial" w:eastAsia="Arial" w:hAnsi="Arial"/>
          <w:sz w:val="15"/>
          <w:szCs w:val="15"/>
          <w:color w:val="auto"/>
        </w:rPr>
        <w:t>(continued)</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Liquidity risk exposures</w:t>
      </w:r>
    </w:p>
    <w:p>
      <w:pPr>
        <w:spacing w:after="0" w:line="1"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5"/>
          <w:szCs w:val="15"/>
          <w:color w:val="auto"/>
        </w:rPr>
        <w:t>The following table details the Group’s available committed financing facilities including committed credit agreements: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20"/>
              <w:spacing w:after="0"/>
              <w:rPr>
                <w:sz w:val="20"/>
                <w:szCs w:val="20"/>
                <w:color w:val="auto"/>
              </w:rPr>
            </w:pPr>
            <w:r>
              <w:rPr>
                <w:rFonts w:ascii="Arial" w:cs="Arial" w:eastAsia="Arial" w:hAnsi="Arial"/>
                <w:sz w:val="13"/>
                <w:szCs w:val="13"/>
                <w:b w:val="1"/>
                <w:bCs w:val="1"/>
                <w:color w:val="auto"/>
              </w:rPr>
              <w:t>Secured borrowings and committed revolving credit facilities:</w:t>
            </w:r>
          </w:p>
        </w:tc>
        <w:tc>
          <w:tcPr>
            <w:tcW w:w="16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31 December 2024</w:t>
            </w:r>
          </w:p>
        </w:tc>
      </w:tr>
      <w:tr>
        <w:trPr>
          <w:trHeight w:val="213"/>
        </w:trPr>
        <w:tc>
          <w:tcPr>
            <w:tcW w:w="7860" w:type="dxa"/>
            <w:vAlign w:val="bottom"/>
          </w:tcPr>
          <w:p>
            <w:pPr>
              <w:spacing w:after="0"/>
              <w:rPr>
                <w:sz w:val="18"/>
                <w:szCs w:val="18"/>
                <w:color w:val="auto"/>
              </w:rPr>
            </w:pPr>
          </w:p>
        </w:tc>
        <w:tc>
          <w:tcPr>
            <w:tcW w:w="16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$m</w:t>
            </w:r>
          </w:p>
        </w:tc>
      </w:tr>
      <w:tr>
        <w:trPr>
          <w:trHeight w:val="237"/>
        </w:trPr>
        <w:tc>
          <w:tcPr>
            <w:tcW w:w="786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Amount used</w:t>
            </w:r>
          </w:p>
        </w:tc>
        <w:tc>
          <w:tcPr>
            <w:tcW w:w="1620" w:type="dxa"/>
            <w:vAlign w:val="bottom"/>
            <w:tcBorders>
              <w:top w:val="single" w:sz="8" w:color="793690"/>
              <w:bottom w:val="single" w:sz="8" w:color="F4EFF6"/>
            </w:tcBorders>
            <w:shd w:val="clear" w:color="auto" w:fill="F4EFF6"/>
          </w:tcPr>
          <w:p>
            <w:pPr>
              <w:jc w:val="right"/>
              <w:ind w:right="9"/>
              <w:spacing w:after="0"/>
              <w:rPr>
                <w:sz w:val="20"/>
                <w:szCs w:val="20"/>
                <w:color w:val="auto"/>
              </w:rPr>
            </w:pPr>
            <w:r>
              <w:rPr>
                <w:rFonts w:ascii="Arial" w:cs="Arial" w:eastAsia="Arial" w:hAnsi="Arial"/>
                <w:sz w:val="15"/>
                <w:szCs w:val="15"/>
                <w:b w:val="1"/>
                <w:bCs w:val="1"/>
                <w:color w:val="auto"/>
              </w:rPr>
              <w:t>133.0</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152.0</w:t>
            </w:r>
          </w:p>
        </w:tc>
      </w:tr>
      <w:tr>
        <w:trPr>
          <w:trHeight w:val="237"/>
        </w:trPr>
        <w:tc>
          <w:tcPr>
            <w:tcW w:w="7860" w:type="dxa"/>
            <w:vAlign w:val="bottom"/>
            <w:tcBorders>
              <w:top w:val="single" w:sz="8" w:color="DADAE7"/>
              <w:bottom w:val="single" w:sz="8" w:color="793690"/>
            </w:tcBorders>
          </w:tcPr>
          <w:p>
            <w:pPr>
              <w:ind w:left="20"/>
              <w:spacing w:after="0"/>
              <w:rPr>
                <w:sz w:val="20"/>
                <w:szCs w:val="20"/>
                <w:color w:val="auto"/>
              </w:rPr>
            </w:pPr>
            <w:r>
              <w:rPr>
                <w:rFonts w:ascii="Arial" w:cs="Arial" w:eastAsia="Arial" w:hAnsi="Arial"/>
                <w:sz w:val="15"/>
                <w:szCs w:val="15"/>
                <w:color w:val="auto"/>
              </w:rPr>
              <w:t>Amount unused</w:t>
            </w:r>
            <w:r>
              <w:rPr>
                <w:rFonts w:ascii="Arial" w:cs="Arial" w:eastAsia="Arial" w:hAnsi="Arial"/>
                <w:sz w:val="19"/>
                <w:szCs w:val="19"/>
                <w:color w:val="auto"/>
                <w:vertAlign w:val="superscript"/>
              </w:rPr>
              <w:t>1</w:t>
            </w:r>
          </w:p>
        </w:tc>
        <w:tc>
          <w:tcPr>
            <w:tcW w:w="1620" w:type="dxa"/>
            <w:vAlign w:val="bottom"/>
            <w:tcBorders>
              <w:top w:val="single" w:sz="8" w:color="DADAE7"/>
              <w:bottom w:val="single" w:sz="8" w:color="793690"/>
            </w:tcBorders>
            <w:shd w:val="clear" w:color="auto" w:fill="F4EFF6"/>
          </w:tcPr>
          <w:p>
            <w:pPr>
              <w:jc w:val="right"/>
              <w:ind w:right="9"/>
              <w:spacing w:after="0"/>
              <w:rPr>
                <w:sz w:val="20"/>
                <w:szCs w:val="20"/>
                <w:color w:val="auto"/>
              </w:rPr>
            </w:pPr>
            <w:r>
              <w:rPr>
                <w:rFonts w:ascii="Arial" w:cs="Arial" w:eastAsia="Arial" w:hAnsi="Arial"/>
                <w:sz w:val="15"/>
                <w:szCs w:val="15"/>
                <w:b w:val="1"/>
                <w:bCs w:val="1"/>
                <w:color w:val="auto"/>
              </w:rPr>
              <w:t>380.0</w:t>
            </w:r>
          </w:p>
        </w:tc>
        <w:tc>
          <w:tcPr>
            <w:tcW w:w="1740" w:type="dxa"/>
            <w:vAlign w:val="bottom"/>
            <w:tcBorders>
              <w:top w:val="single" w:sz="8" w:color="DADAE7"/>
              <w:bottom w:val="single" w:sz="8" w:color="793690"/>
            </w:tcBorders>
          </w:tcPr>
          <w:p>
            <w:pPr>
              <w:jc w:val="right"/>
              <w:spacing w:after="0"/>
              <w:rPr>
                <w:sz w:val="20"/>
                <w:szCs w:val="20"/>
                <w:color w:val="auto"/>
              </w:rPr>
            </w:pPr>
            <w:r>
              <w:rPr>
                <w:rFonts w:ascii="Arial" w:cs="Arial" w:eastAsia="Arial" w:hAnsi="Arial"/>
                <w:sz w:val="15"/>
                <w:szCs w:val="15"/>
                <w:color w:val="auto"/>
              </w:rPr>
              <w:t>275.0</w:t>
            </w:r>
          </w:p>
        </w:tc>
      </w:tr>
      <w:tr>
        <w:trPr>
          <w:trHeight w:val="211"/>
        </w:trPr>
        <w:tc>
          <w:tcPr>
            <w:tcW w:w="7860" w:type="dxa"/>
            <w:vAlign w:val="bottom"/>
          </w:tcPr>
          <w:p>
            <w:pPr>
              <w:spacing w:after="0"/>
              <w:rPr>
                <w:sz w:val="18"/>
                <w:szCs w:val="18"/>
                <w:color w:val="auto"/>
              </w:rPr>
            </w:pPr>
          </w:p>
        </w:tc>
        <w:tc>
          <w:tcPr>
            <w:tcW w:w="1620" w:type="dxa"/>
            <w:vAlign w:val="bottom"/>
            <w:shd w:val="clear" w:color="auto" w:fill="F4EFF6"/>
          </w:tcPr>
          <w:p>
            <w:pPr>
              <w:jc w:val="right"/>
              <w:ind w:right="9"/>
              <w:spacing w:after="0"/>
              <w:rPr>
                <w:sz w:val="20"/>
                <w:szCs w:val="20"/>
                <w:color w:val="auto"/>
              </w:rPr>
            </w:pPr>
            <w:r>
              <w:rPr>
                <w:rFonts w:ascii="Arial" w:cs="Arial" w:eastAsia="Arial" w:hAnsi="Arial"/>
                <w:sz w:val="15"/>
                <w:szCs w:val="15"/>
                <w:b w:val="1"/>
                <w:bCs w:val="1"/>
                <w:color w:val="auto"/>
              </w:rPr>
              <w:t>513.0</w:t>
            </w:r>
          </w:p>
        </w:tc>
        <w:tc>
          <w:tcPr>
            <w:tcW w:w="1740" w:type="dxa"/>
            <w:vAlign w:val="bottom"/>
          </w:tcPr>
          <w:p>
            <w:pPr>
              <w:jc w:val="right"/>
              <w:spacing w:after="0"/>
              <w:rPr>
                <w:sz w:val="20"/>
                <w:szCs w:val="20"/>
                <w:color w:val="auto"/>
              </w:rPr>
            </w:pPr>
            <w:r>
              <w:rPr>
                <w:rFonts w:ascii="Arial" w:cs="Arial" w:eastAsia="Arial" w:hAnsi="Arial"/>
                <w:sz w:val="15"/>
                <w:szCs w:val="15"/>
                <w:color w:val="auto"/>
              </w:rPr>
              <w:t>427.0</w:t>
            </w:r>
          </w:p>
        </w:tc>
      </w:tr>
      <w:tr>
        <w:trPr>
          <w:trHeight w:val="133"/>
        </w:trPr>
        <w:tc>
          <w:tcPr>
            <w:tcW w:w="7860" w:type="dxa"/>
            <w:vAlign w:val="bottom"/>
            <w:tcBorders>
              <w:bottom w:val="single" w:sz="8" w:color="793690"/>
            </w:tcBorders>
          </w:tcPr>
          <w:p>
            <w:pPr>
              <w:spacing w:after="0"/>
              <w:rPr>
                <w:sz w:val="11"/>
                <w:szCs w:val="11"/>
                <w:color w:val="auto"/>
              </w:rPr>
            </w:pPr>
          </w:p>
        </w:tc>
        <w:tc>
          <w:tcPr>
            <w:tcW w:w="1620" w:type="dxa"/>
            <w:vAlign w:val="bottom"/>
            <w:tcBorders>
              <w:bottom w:val="single" w:sz="8" w:color="793690"/>
            </w:tcBorders>
            <w:shd w:val="clear" w:color="auto" w:fill="F4EFF6"/>
          </w:tcPr>
          <w:p>
            <w:pPr>
              <w:spacing w:after="0"/>
              <w:rPr>
                <w:sz w:val="11"/>
                <w:szCs w:val="11"/>
                <w:color w:val="auto"/>
              </w:rPr>
            </w:pPr>
          </w:p>
        </w:tc>
        <w:tc>
          <w:tcPr>
            <w:tcW w:w="1740" w:type="dxa"/>
            <w:vAlign w:val="bottom"/>
            <w:tcBorders>
              <w:bottom w:val="single" w:sz="8" w:color="793690"/>
            </w:tcBorders>
          </w:tcPr>
          <w:p>
            <w:pPr>
              <w:spacing w:after="0"/>
              <w:rPr>
                <w:sz w:val="11"/>
                <w:szCs w:val="1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1"/>
          <w:szCs w:val="11"/>
          <w:color w:val="auto"/>
        </w:rPr>
        <w:t>1. Of the amount unused as at 30 June 2025 and 31 December 2024, only $150m is available to the Group as a whole. The remainder is only available to the Group's subsidiaries.</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details the Group’s contractual maturity for non-derivative financial liabilities. Debt securities are presented discounted based on the first call dates.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Lease liabilities are undiscounted and contractual.</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80" w:type="dxa"/>
            <w:vAlign w:val="bottom"/>
          </w:tcPr>
          <w:p>
            <w:pPr>
              <w:spacing w:after="0"/>
              <w:rPr>
                <w:sz w:val="13"/>
                <w:szCs w:val="13"/>
                <w:color w:val="auto"/>
              </w:rPr>
            </w:pPr>
          </w:p>
        </w:tc>
        <w:tc>
          <w:tcPr>
            <w:tcW w:w="1120" w:type="dxa"/>
            <w:vAlign w:val="bottom"/>
            <w:shd w:val="clear" w:color="auto" w:fill="F4EFF6"/>
          </w:tcPr>
          <w:p>
            <w:pPr>
              <w:spacing w:after="0"/>
              <w:rPr>
                <w:sz w:val="13"/>
                <w:szCs w:val="13"/>
                <w:color w:val="auto"/>
              </w:rPr>
            </w:pPr>
          </w:p>
        </w:tc>
        <w:tc>
          <w:tcPr>
            <w:tcW w:w="40" w:type="dxa"/>
            <w:vAlign w:val="bottom"/>
            <w:shd w:val="clear" w:color="auto" w:fill="F4EFF6"/>
          </w:tcPr>
          <w:p>
            <w:pPr>
              <w:spacing w:after="0"/>
              <w:rPr>
                <w:sz w:val="13"/>
                <w:szCs w:val="13"/>
                <w:color w:val="auto"/>
              </w:rPr>
            </w:pPr>
          </w:p>
        </w:tc>
        <w:tc>
          <w:tcPr>
            <w:tcW w:w="140" w:type="dxa"/>
            <w:vAlign w:val="bottom"/>
            <w:shd w:val="clear" w:color="auto" w:fill="F4EFF6"/>
          </w:tcPr>
          <w:p>
            <w:pPr>
              <w:spacing w:after="0"/>
              <w:rPr>
                <w:sz w:val="13"/>
                <w:szCs w:val="13"/>
                <w:color w:val="auto"/>
              </w:rPr>
            </w:pPr>
          </w:p>
        </w:tc>
        <w:tc>
          <w:tcPr>
            <w:tcW w:w="11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Less than 3</w:t>
            </w:r>
          </w:p>
        </w:tc>
        <w:tc>
          <w:tcPr>
            <w:tcW w:w="160" w:type="dxa"/>
            <w:vAlign w:val="bottom"/>
            <w:shd w:val="clear" w:color="auto" w:fill="F4EFF6"/>
          </w:tcPr>
          <w:p>
            <w:pPr>
              <w:spacing w:after="0"/>
              <w:rPr>
                <w:sz w:val="13"/>
                <w:szCs w:val="13"/>
                <w:color w:val="auto"/>
              </w:rPr>
            </w:pPr>
          </w:p>
        </w:tc>
        <w:tc>
          <w:tcPr>
            <w:tcW w:w="11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 to 12</w:t>
            </w:r>
          </w:p>
        </w:tc>
        <w:tc>
          <w:tcPr>
            <w:tcW w:w="160" w:type="dxa"/>
            <w:vAlign w:val="bottom"/>
            <w:shd w:val="clear" w:color="auto" w:fill="F4EFF6"/>
          </w:tcPr>
          <w:p>
            <w:pPr>
              <w:spacing w:after="0"/>
              <w:rPr>
                <w:sz w:val="13"/>
                <w:szCs w:val="13"/>
                <w:color w:val="auto"/>
              </w:rPr>
            </w:pPr>
          </w:p>
        </w:tc>
        <w:tc>
          <w:tcPr>
            <w:tcW w:w="11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1 to 5</w:t>
            </w:r>
          </w:p>
        </w:tc>
        <w:tc>
          <w:tcPr>
            <w:tcW w:w="140" w:type="dxa"/>
            <w:vAlign w:val="bottom"/>
            <w:shd w:val="clear" w:color="auto" w:fill="F4EFF6"/>
          </w:tcPr>
          <w:p>
            <w:pPr>
              <w:spacing w:after="0"/>
              <w:rPr>
                <w:sz w:val="13"/>
                <w:szCs w:val="13"/>
                <w:color w:val="auto"/>
              </w:rPr>
            </w:pPr>
          </w:p>
        </w:tc>
        <w:tc>
          <w:tcPr>
            <w:tcW w:w="1160" w:type="dxa"/>
            <w:vAlign w:val="bottom"/>
            <w:shd w:val="clear" w:color="auto" w:fill="F4EFF6"/>
          </w:tcPr>
          <w:p>
            <w:pPr>
              <w:spacing w:after="0"/>
              <w:rPr>
                <w:sz w:val="13"/>
                <w:szCs w:val="13"/>
                <w:color w:val="auto"/>
              </w:rPr>
            </w:pPr>
          </w:p>
        </w:tc>
        <w:tc>
          <w:tcPr>
            <w:tcW w:w="1300" w:type="dxa"/>
            <w:vAlign w:val="bottom"/>
            <w:shd w:val="clear" w:color="auto" w:fill="F4EFF6"/>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580" w:type="dxa"/>
            <w:vAlign w:val="bottom"/>
          </w:tcPr>
          <w:p>
            <w:pPr>
              <w:spacing w:after="0"/>
              <w:rPr>
                <w:sz w:val="14"/>
                <w:szCs w:val="14"/>
                <w:color w:val="auto"/>
              </w:rPr>
            </w:pPr>
          </w:p>
        </w:tc>
        <w:tc>
          <w:tcPr>
            <w:tcW w:w="1160" w:type="dxa"/>
            <w:vAlign w:val="bottom"/>
            <w:gridSpan w:val="2"/>
            <w:shd w:val="clear" w:color="auto" w:fill="F4EFF6"/>
          </w:tcPr>
          <w:p>
            <w:pPr>
              <w:jc w:val="right"/>
              <w:ind w:right="20"/>
              <w:spacing w:after="0"/>
              <w:rPr>
                <w:sz w:val="20"/>
                <w:szCs w:val="20"/>
                <w:color w:val="auto"/>
              </w:rPr>
            </w:pPr>
            <w:r>
              <w:rPr>
                <w:rFonts w:ascii="Arial" w:cs="Arial" w:eastAsia="Arial" w:hAnsi="Arial"/>
                <w:sz w:val="13"/>
                <w:szCs w:val="13"/>
                <w:b w:val="1"/>
                <w:bCs w:val="1"/>
                <w:color w:val="auto"/>
              </w:rPr>
              <w:t>On demand</w:t>
            </w:r>
          </w:p>
        </w:tc>
        <w:tc>
          <w:tcPr>
            <w:tcW w:w="140" w:type="dxa"/>
            <w:vAlign w:val="bottom"/>
            <w:shd w:val="clear" w:color="auto" w:fill="F4EFF6"/>
          </w:tcPr>
          <w:p>
            <w:pPr>
              <w:spacing w:after="0"/>
              <w:rPr>
                <w:sz w:val="14"/>
                <w:szCs w:val="14"/>
                <w:color w:val="auto"/>
              </w:rPr>
            </w:pPr>
          </w:p>
        </w:tc>
        <w:tc>
          <w:tcPr>
            <w:tcW w:w="11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months</w:t>
            </w:r>
          </w:p>
        </w:tc>
        <w:tc>
          <w:tcPr>
            <w:tcW w:w="160" w:type="dxa"/>
            <w:vAlign w:val="bottom"/>
            <w:shd w:val="clear" w:color="auto" w:fill="F4EFF6"/>
          </w:tcPr>
          <w:p>
            <w:pPr>
              <w:spacing w:after="0"/>
              <w:rPr>
                <w:sz w:val="14"/>
                <w:szCs w:val="14"/>
                <w:color w:val="auto"/>
              </w:rPr>
            </w:pPr>
          </w:p>
        </w:tc>
        <w:tc>
          <w:tcPr>
            <w:tcW w:w="11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months</w:t>
            </w:r>
          </w:p>
        </w:tc>
        <w:tc>
          <w:tcPr>
            <w:tcW w:w="160" w:type="dxa"/>
            <w:vAlign w:val="bottom"/>
            <w:shd w:val="clear" w:color="auto" w:fill="F4EFF6"/>
          </w:tcPr>
          <w:p>
            <w:pPr>
              <w:spacing w:after="0"/>
              <w:rPr>
                <w:sz w:val="14"/>
                <w:szCs w:val="14"/>
                <w:color w:val="auto"/>
              </w:rPr>
            </w:pPr>
          </w:p>
        </w:tc>
        <w:tc>
          <w:tcPr>
            <w:tcW w:w="11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years</w:t>
            </w:r>
          </w:p>
        </w:tc>
        <w:tc>
          <w:tcPr>
            <w:tcW w:w="140" w:type="dxa"/>
            <w:vAlign w:val="bottom"/>
            <w:shd w:val="clear" w:color="auto" w:fill="F4EFF6"/>
          </w:tcPr>
          <w:p>
            <w:pPr>
              <w:spacing w:after="0"/>
              <w:rPr>
                <w:sz w:val="14"/>
                <w:szCs w:val="14"/>
                <w:color w:val="auto"/>
              </w:rPr>
            </w:pPr>
          </w:p>
        </w:tc>
        <w:tc>
          <w:tcPr>
            <w:tcW w:w="116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More than 5 years</w:t>
            </w:r>
          </w:p>
        </w:tc>
        <w:tc>
          <w:tcPr>
            <w:tcW w:w="130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24"/>
        </w:trPr>
        <w:tc>
          <w:tcPr>
            <w:tcW w:w="3580" w:type="dxa"/>
            <w:vAlign w:val="bottom"/>
          </w:tcPr>
          <w:p>
            <w:pPr>
              <w:ind w:left="20"/>
              <w:spacing w:after="0"/>
              <w:rPr>
                <w:sz w:val="20"/>
                <w:szCs w:val="20"/>
                <w:color w:val="auto"/>
              </w:rPr>
            </w:pPr>
            <w:r>
              <w:rPr>
                <w:rFonts w:ascii="Arial" w:cs="Arial" w:eastAsia="Arial" w:hAnsi="Arial"/>
                <w:sz w:val="13"/>
                <w:szCs w:val="13"/>
                <w:b w:val="1"/>
                <w:bCs w:val="1"/>
                <w:color w:val="auto"/>
              </w:rPr>
              <w:t>30 June 2025</w:t>
            </w:r>
          </w:p>
        </w:tc>
        <w:tc>
          <w:tcPr>
            <w:tcW w:w="1160" w:type="dxa"/>
            <w:vAlign w:val="bottom"/>
            <w:tcBorders>
              <w:bottom w:val="single" w:sz="8" w:color="F4EFF6"/>
            </w:tcBorders>
            <w:gridSpan w:val="2"/>
            <w:shd w:val="clear" w:color="auto" w:fill="F4EFF6"/>
          </w:tcPr>
          <w:p>
            <w:pPr>
              <w:jc w:val="right"/>
              <w:ind w:right="20"/>
              <w:spacing w:after="0"/>
              <w:rPr>
                <w:sz w:val="20"/>
                <w:szCs w:val="20"/>
                <w:color w:val="auto"/>
              </w:rPr>
            </w:pPr>
            <w:r>
              <w:rPr>
                <w:rFonts w:ascii="Arial" w:cs="Arial" w:eastAsia="Arial" w:hAnsi="Arial"/>
                <w:sz w:val="13"/>
                <w:szCs w:val="13"/>
                <w:b w:val="1"/>
                <w:bCs w:val="1"/>
                <w:color w:val="auto"/>
              </w:rPr>
              <w:t>$m</w:t>
            </w:r>
          </w:p>
        </w:tc>
        <w:tc>
          <w:tcPr>
            <w:tcW w:w="140" w:type="dxa"/>
            <w:vAlign w:val="bottom"/>
            <w:tcBorders>
              <w:bottom w:val="single" w:sz="8" w:color="F4EFF6"/>
            </w:tcBorders>
            <w:shd w:val="clear" w:color="auto" w:fill="F4EFF6"/>
          </w:tcPr>
          <w:p>
            <w:pPr>
              <w:spacing w:after="0"/>
              <w:rPr>
                <w:sz w:val="19"/>
                <w:szCs w:val="19"/>
                <w:color w:val="auto"/>
              </w:rPr>
            </w:pPr>
          </w:p>
        </w:tc>
        <w:tc>
          <w:tcPr>
            <w:tcW w:w="114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60" w:type="dxa"/>
            <w:vAlign w:val="bottom"/>
            <w:tcBorders>
              <w:bottom w:val="single" w:sz="8" w:color="F4EFF6"/>
            </w:tcBorders>
            <w:shd w:val="clear" w:color="auto" w:fill="F4EFF6"/>
          </w:tcPr>
          <w:p>
            <w:pPr>
              <w:spacing w:after="0"/>
              <w:rPr>
                <w:sz w:val="19"/>
                <w:szCs w:val="19"/>
                <w:color w:val="auto"/>
              </w:rPr>
            </w:pPr>
          </w:p>
        </w:tc>
        <w:tc>
          <w:tcPr>
            <w:tcW w:w="114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60" w:type="dxa"/>
            <w:vAlign w:val="bottom"/>
            <w:tcBorders>
              <w:bottom w:val="single" w:sz="8" w:color="F4EFF6"/>
            </w:tcBorders>
            <w:shd w:val="clear" w:color="auto" w:fill="F4EFF6"/>
          </w:tcPr>
          <w:p>
            <w:pPr>
              <w:spacing w:after="0"/>
              <w:rPr>
                <w:sz w:val="19"/>
                <w:szCs w:val="19"/>
                <w:color w:val="auto"/>
              </w:rPr>
            </w:pPr>
          </w:p>
        </w:tc>
        <w:tc>
          <w:tcPr>
            <w:tcW w:w="114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40" w:type="dxa"/>
            <w:vAlign w:val="bottom"/>
            <w:tcBorders>
              <w:bottom w:val="single" w:sz="8" w:color="F4EFF6"/>
            </w:tcBorders>
            <w:shd w:val="clear" w:color="auto" w:fill="F4EFF6"/>
          </w:tcPr>
          <w:p>
            <w:pPr>
              <w:spacing w:after="0"/>
              <w:rPr>
                <w:sz w:val="19"/>
                <w:szCs w:val="19"/>
                <w:color w:val="auto"/>
              </w:rPr>
            </w:pPr>
          </w:p>
        </w:tc>
        <w:tc>
          <w:tcPr>
            <w:tcW w:w="116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30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0" w:type="dxa"/>
            <w:vAlign w:val="bottom"/>
          </w:tcPr>
          <w:p>
            <w:pPr>
              <w:spacing w:after="0"/>
              <w:rPr>
                <w:sz w:val="1"/>
                <w:szCs w:val="1"/>
                <w:color w:val="auto"/>
              </w:rPr>
            </w:pPr>
          </w:p>
        </w:tc>
      </w:tr>
      <w:tr>
        <w:trPr>
          <w:trHeight w:val="237"/>
        </w:trPr>
        <w:tc>
          <w:tcPr>
            <w:tcW w:w="358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Repurchase agreements</w:t>
            </w:r>
          </w:p>
        </w:tc>
        <w:tc>
          <w:tcPr>
            <w:tcW w:w="112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793690"/>
              <w:bottom w:val="single" w:sz="8" w:color="F4EFF6"/>
            </w:tcBorders>
            <w:shd w:val="clear" w:color="auto" w:fill="F4EFF6"/>
          </w:tcPr>
          <w:p>
            <w:pPr>
              <w:spacing w:after="0"/>
              <w:rPr>
                <w:sz w:val="20"/>
                <w:szCs w:val="20"/>
                <w:color w:val="auto"/>
              </w:rPr>
            </w:pPr>
          </w:p>
        </w:tc>
        <w:tc>
          <w:tcPr>
            <w:tcW w:w="140" w:type="dxa"/>
            <w:vAlign w:val="bottom"/>
            <w:tcBorders>
              <w:top w:val="single" w:sz="8" w:color="793690"/>
              <w:bottom w:val="single" w:sz="8" w:color="F4EFF6"/>
            </w:tcBorders>
            <w:shd w:val="clear" w:color="auto" w:fill="F4EFF6"/>
          </w:tcPr>
          <w:p>
            <w:pPr>
              <w:spacing w:after="0"/>
              <w:rPr>
                <w:sz w:val="20"/>
                <w:szCs w:val="20"/>
                <w:color w:val="auto"/>
              </w:rPr>
            </w:pPr>
          </w:p>
        </w:tc>
        <w:tc>
          <w:tcPr>
            <w:tcW w:w="11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3,290.7</w:t>
            </w:r>
          </w:p>
        </w:tc>
        <w:tc>
          <w:tcPr>
            <w:tcW w:w="160" w:type="dxa"/>
            <w:vAlign w:val="bottom"/>
            <w:tcBorders>
              <w:top w:val="single" w:sz="8" w:color="793690"/>
              <w:bottom w:val="single" w:sz="8" w:color="F4EFF6"/>
            </w:tcBorders>
            <w:shd w:val="clear" w:color="auto" w:fill="F4EFF6"/>
          </w:tcPr>
          <w:p>
            <w:pPr>
              <w:spacing w:after="0"/>
              <w:rPr>
                <w:sz w:val="20"/>
                <w:szCs w:val="20"/>
                <w:color w:val="auto"/>
              </w:rPr>
            </w:pPr>
          </w:p>
        </w:tc>
        <w:tc>
          <w:tcPr>
            <w:tcW w:w="11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Borders>
              <w:top w:val="single" w:sz="8" w:color="793690"/>
              <w:bottom w:val="single" w:sz="8" w:color="F4EFF6"/>
            </w:tcBorders>
            <w:shd w:val="clear" w:color="auto" w:fill="F4EFF6"/>
          </w:tcPr>
          <w:p>
            <w:pPr>
              <w:spacing w:after="0"/>
              <w:rPr>
                <w:sz w:val="20"/>
                <w:szCs w:val="20"/>
                <w:color w:val="auto"/>
              </w:rPr>
            </w:pPr>
          </w:p>
        </w:tc>
        <w:tc>
          <w:tcPr>
            <w:tcW w:w="11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Borders>
              <w:top w:val="single" w:sz="8" w:color="793690"/>
              <w:bottom w:val="single" w:sz="8" w:color="F4EFF6"/>
            </w:tcBorders>
            <w:shd w:val="clear" w:color="auto" w:fill="F4EFF6"/>
          </w:tcPr>
          <w:p>
            <w:pPr>
              <w:spacing w:after="0"/>
              <w:rPr>
                <w:sz w:val="20"/>
                <w:szCs w:val="20"/>
                <w:color w:val="auto"/>
              </w:rPr>
            </w:pPr>
          </w:p>
        </w:tc>
        <w:tc>
          <w:tcPr>
            <w:tcW w:w="1160" w:type="dxa"/>
            <w:vAlign w:val="bottom"/>
            <w:tcBorders>
              <w:top w:val="single" w:sz="8" w:color="793690"/>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w:t>
            </w:r>
          </w:p>
        </w:tc>
        <w:tc>
          <w:tcPr>
            <w:tcW w:w="130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3,290.7</w:t>
            </w:r>
          </w:p>
        </w:tc>
        <w:tc>
          <w:tcPr>
            <w:tcW w:w="0" w:type="dxa"/>
            <w:vAlign w:val="bottom"/>
          </w:tcPr>
          <w:p>
            <w:pPr>
              <w:spacing w:after="0"/>
              <w:rPr>
                <w:sz w:val="1"/>
                <w:szCs w:val="1"/>
                <w:color w:val="auto"/>
              </w:rPr>
            </w:pPr>
          </w:p>
        </w:tc>
      </w:tr>
      <w:tr>
        <w:trPr>
          <w:trHeight w:val="237"/>
        </w:trPr>
        <w:tc>
          <w:tcPr>
            <w:tcW w:w="35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Short securities</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2,176.5</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16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w:t>
            </w:r>
          </w:p>
        </w:tc>
        <w:tc>
          <w:tcPr>
            <w:tcW w:w="13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2,176.5</w:t>
            </w:r>
          </w:p>
        </w:tc>
        <w:tc>
          <w:tcPr>
            <w:tcW w:w="0" w:type="dxa"/>
            <w:vAlign w:val="bottom"/>
          </w:tcPr>
          <w:p>
            <w:pPr>
              <w:spacing w:after="0"/>
              <w:rPr>
                <w:sz w:val="1"/>
                <w:szCs w:val="1"/>
                <w:color w:val="auto"/>
              </w:rPr>
            </w:pPr>
          </w:p>
        </w:tc>
      </w:tr>
      <w:tr>
        <w:trPr>
          <w:trHeight w:val="179"/>
        </w:trPr>
        <w:tc>
          <w:tcPr>
            <w:tcW w:w="35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Amounts due to exchanges, clearing houses and</w:t>
            </w:r>
          </w:p>
        </w:tc>
        <w:tc>
          <w:tcPr>
            <w:tcW w:w="1120" w:type="dxa"/>
            <w:vAlign w:val="bottom"/>
            <w:tcBorders>
              <w:top w:val="single" w:sz="8" w:color="DADAE7"/>
            </w:tcBorders>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1,020.2</w:t>
            </w:r>
          </w:p>
        </w:tc>
        <w:tc>
          <w:tcPr>
            <w:tcW w:w="40" w:type="dxa"/>
            <w:vAlign w:val="bottom"/>
            <w:tcBorders>
              <w:top w:val="single" w:sz="8" w:color="DADAE7"/>
            </w:tcBorders>
            <w:shd w:val="clear" w:color="auto" w:fill="F4EFF6"/>
          </w:tcPr>
          <w:p>
            <w:pPr>
              <w:spacing w:after="0"/>
              <w:rPr>
                <w:sz w:val="15"/>
                <w:szCs w:val="15"/>
                <w:color w:val="auto"/>
              </w:rPr>
            </w:pPr>
          </w:p>
        </w:tc>
        <w:tc>
          <w:tcPr>
            <w:tcW w:w="140" w:type="dxa"/>
            <w:vAlign w:val="bottom"/>
            <w:tcBorders>
              <w:top w:val="single" w:sz="8" w:color="DADAE7"/>
            </w:tcBorders>
            <w:shd w:val="clear" w:color="auto" w:fill="F4EFF6"/>
          </w:tcPr>
          <w:p>
            <w:pPr>
              <w:spacing w:after="0"/>
              <w:rPr>
                <w:sz w:val="15"/>
                <w:szCs w:val="15"/>
                <w:color w:val="auto"/>
              </w:rPr>
            </w:pPr>
          </w:p>
        </w:tc>
        <w:tc>
          <w:tcPr>
            <w:tcW w:w="1140" w:type="dxa"/>
            <w:vAlign w:val="bottom"/>
            <w:tcBorders>
              <w:top w:val="single" w:sz="8" w:color="DADAE7"/>
            </w:tcBorders>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Borders>
              <w:top w:val="single" w:sz="8" w:color="DADAE7"/>
            </w:tcBorders>
            <w:shd w:val="clear" w:color="auto" w:fill="F4EFF6"/>
          </w:tcPr>
          <w:p>
            <w:pPr>
              <w:spacing w:after="0"/>
              <w:rPr>
                <w:sz w:val="15"/>
                <w:szCs w:val="15"/>
                <w:color w:val="auto"/>
              </w:rPr>
            </w:pPr>
          </w:p>
        </w:tc>
        <w:tc>
          <w:tcPr>
            <w:tcW w:w="1140" w:type="dxa"/>
            <w:vAlign w:val="bottom"/>
            <w:tcBorders>
              <w:top w:val="single" w:sz="8" w:color="DADAE7"/>
            </w:tcBorders>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Borders>
              <w:top w:val="single" w:sz="8" w:color="DADAE7"/>
            </w:tcBorders>
            <w:shd w:val="clear" w:color="auto" w:fill="F4EFF6"/>
          </w:tcPr>
          <w:p>
            <w:pPr>
              <w:spacing w:after="0"/>
              <w:rPr>
                <w:sz w:val="15"/>
                <w:szCs w:val="15"/>
                <w:color w:val="auto"/>
              </w:rPr>
            </w:pPr>
          </w:p>
        </w:tc>
        <w:tc>
          <w:tcPr>
            <w:tcW w:w="1140" w:type="dxa"/>
            <w:vAlign w:val="bottom"/>
            <w:tcBorders>
              <w:top w:val="single" w:sz="8" w:color="DADAE7"/>
            </w:tcBorders>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Borders>
              <w:top w:val="single" w:sz="8" w:color="DADAE7"/>
            </w:tcBorders>
            <w:shd w:val="clear" w:color="auto" w:fill="F4EFF6"/>
          </w:tcPr>
          <w:p>
            <w:pPr>
              <w:spacing w:after="0"/>
              <w:rPr>
                <w:sz w:val="15"/>
                <w:szCs w:val="15"/>
                <w:color w:val="auto"/>
              </w:rPr>
            </w:pPr>
          </w:p>
        </w:tc>
        <w:tc>
          <w:tcPr>
            <w:tcW w:w="1160" w:type="dxa"/>
            <w:vAlign w:val="bottom"/>
            <w:tcBorders>
              <w:top w:val="single" w:sz="8" w:color="DADAE7"/>
            </w:tcBorders>
            <w:vMerge w:val="restart"/>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w:t>
            </w:r>
          </w:p>
        </w:tc>
        <w:tc>
          <w:tcPr>
            <w:tcW w:w="1300" w:type="dxa"/>
            <w:vAlign w:val="bottom"/>
            <w:tcBorders>
              <w:top w:val="single" w:sz="8" w:color="DADAE7"/>
            </w:tcBorders>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1,020.2</w:t>
            </w:r>
          </w:p>
        </w:tc>
        <w:tc>
          <w:tcPr>
            <w:tcW w:w="0" w:type="dxa"/>
            <w:vAlign w:val="bottom"/>
          </w:tcPr>
          <w:p>
            <w:pPr>
              <w:spacing w:after="0"/>
              <w:rPr>
                <w:sz w:val="1"/>
                <w:szCs w:val="1"/>
                <w:color w:val="auto"/>
              </w:rPr>
            </w:pPr>
          </w:p>
        </w:tc>
      </w:tr>
      <w:tr>
        <w:trPr>
          <w:trHeight w:val="114"/>
        </w:trPr>
        <w:tc>
          <w:tcPr>
            <w:tcW w:w="3580" w:type="dxa"/>
            <w:vAlign w:val="bottom"/>
            <w:vMerge w:val="restart"/>
          </w:tcPr>
          <w:p>
            <w:pPr>
              <w:ind w:left="20"/>
              <w:spacing w:after="0"/>
              <w:rPr>
                <w:sz w:val="20"/>
                <w:szCs w:val="20"/>
                <w:color w:val="auto"/>
              </w:rPr>
            </w:pPr>
            <w:r>
              <w:rPr>
                <w:rFonts w:ascii="Arial" w:cs="Arial" w:eastAsia="Arial" w:hAnsi="Arial"/>
                <w:sz w:val="15"/>
                <w:szCs w:val="15"/>
                <w:color w:val="auto"/>
              </w:rPr>
              <w:t>other counterparties</w:t>
            </w:r>
          </w:p>
        </w:tc>
        <w:tc>
          <w:tcPr>
            <w:tcW w:w="1120" w:type="dxa"/>
            <w:vAlign w:val="bottom"/>
            <w:vMerge w:val="continue"/>
            <w:shd w:val="clear" w:color="auto" w:fill="F4EFF6"/>
          </w:tcPr>
          <w:p>
            <w:pPr>
              <w:spacing w:after="0"/>
              <w:rPr>
                <w:sz w:val="9"/>
                <w:szCs w:val="9"/>
                <w:color w:val="auto"/>
              </w:rPr>
            </w:pPr>
          </w:p>
        </w:tc>
        <w:tc>
          <w:tcPr>
            <w:tcW w:w="40" w:type="dxa"/>
            <w:vAlign w:val="bottom"/>
            <w:shd w:val="clear" w:color="auto" w:fill="F4EFF6"/>
          </w:tcPr>
          <w:p>
            <w:pPr>
              <w:spacing w:after="0"/>
              <w:rPr>
                <w:sz w:val="9"/>
                <w:szCs w:val="9"/>
                <w:color w:val="auto"/>
              </w:rPr>
            </w:pPr>
          </w:p>
        </w:tc>
        <w:tc>
          <w:tcPr>
            <w:tcW w:w="140" w:type="dxa"/>
            <w:vAlign w:val="bottom"/>
            <w:shd w:val="clear" w:color="auto" w:fill="F4EFF6"/>
          </w:tcPr>
          <w:p>
            <w:pPr>
              <w:spacing w:after="0"/>
              <w:rPr>
                <w:sz w:val="9"/>
                <w:szCs w:val="9"/>
                <w:color w:val="auto"/>
              </w:rPr>
            </w:pPr>
          </w:p>
        </w:tc>
        <w:tc>
          <w:tcPr>
            <w:tcW w:w="1140" w:type="dxa"/>
            <w:vAlign w:val="bottom"/>
            <w:vMerge w:val="continue"/>
            <w:shd w:val="clear" w:color="auto" w:fill="F4EFF6"/>
          </w:tcPr>
          <w:p>
            <w:pPr>
              <w:spacing w:after="0"/>
              <w:rPr>
                <w:sz w:val="9"/>
                <w:szCs w:val="9"/>
                <w:color w:val="auto"/>
              </w:rPr>
            </w:pPr>
          </w:p>
        </w:tc>
        <w:tc>
          <w:tcPr>
            <w:tcW w:w="160" w:type="dxa"/>
            <w:vAlign w:val="bottom"/>
            <w:shd w:val="clear" w:color="auto" w:fill="F4EFF6"/>
          </w:tcPr>
          <w:p>
            <w:pPr>
              <w:spacing w:after="0"/>
              <w:rPr>
                <w:sz w:val="9"/>
                <w:szCs w:val="9"/>
                <w:color w:val="auto"/>
              </w:rPr>
            </w:pPr>
          </w:p>
        </w:tc>
        <w:tc>
          <w:tcPr>
            <w:tcW w:w="1140" w:type="dxa"/>
            <w:vAlign w:val="bottom"/>
            <w:vMerge w:val="continue"/>
            <w:shd w:val="clear" w:color="auto" w:fill="F4EFF6"/>
          </w:tcPr>
          <w:p>
            <w:pPr>
              <w:spacing w:after="0"/>
              <w:rPr>
                <w:sz w:val="9"/>
                <w:szCs w:val="9"/>
                <w:color w:val="auto"/>
              </w:rPr>
            </w:pPr>
          </w:p>
        </w:tc>
        <w:tc>
          <w:tcPr>
            <w:tcW w:w="160" w:type="dxa"/>
            <w:vAlign w:val="bottom"/>
            <w:shd w:val="clear" w:color="auto" w:fill="F4EFF6"/>
          </w:tcPr>
          <w:p>
            <w:pPr>
              <w:spacing w:after="0"/>
              <w:rPr>
                <w:sz w:val="9"/>
                <w:szCs w:val="9"/>
                <w:color w:val="auto"/>
              </w:rPr>
            </w:pPr>
          </w:p>
        </w:tc>
        <w:tc>
          <w:tcPr>
            <w:tcW w:w="1140" w:type="dxa"/>
            <w:vAlign w:val="bottom"/>
            <w:vMerge w:val="continue"/>
            <w:shd w:val="clear" w:color="auto" w:fill="F4EFF6"/>
          </w:tcPr>
          <w:p>
            <w:pPr>
              <w:spacing w:after="0"/>
              <w:rPr>
                <w:sz w:val="9"/>
                <w:szCs w:val="9"/>
                <w:color w:val="auto"/>
              </w:rPr>
            </w:pPr>
          </w:p>
        </w:tc>
        <w:tc>
          <w:tcPr>
            <w:tcW w:w="140" w:type="dxa"/>
            <w:vAlign w:val="bottom"/>
            <w:shd w:val="clear" w:color="auto" w:fill="F4EFF6"/>
          </w:tcPr>
          <w:p>
            <w:pPr>
              <w:spacing w:after="0"/>
              <w:rPr>
                <w:sz w:val="9"/>
                <w:szCs w:val="9"/>
                <w:color w:val="auto"/>
              </w:rPr>
            </w:pPr>
          </w:p>
        </w:tc>
        <w:tc>
          <w:tcPr>
            <w:tcW w:w="1160" w:type="dxa"/>
            <w:vAlign w:val="bottom"/>
            <w:vMerge w:val="continue"/>
            <w:shd w:val="clear" w:color="auto" w:fill="F4EFF6"/>
          </w:tcPr>
          <w:p>
            <w:pPr>
              <w:spacing w:after="0"/>
              <w:rPr>
                <w:sz w:val="9"/>
                <w:szCs w:val="9"/>
                <w:color w:val="auto"/>
              </w:rPr>
            </w:pPr>
          </w:p>
        </w:tc>
        <w:tc>
          <w:tcPr>
            <w:tcW w:w="1300" w:type="dxa"/>
            <w:vAlign w:val="bottom"/>
            <w:vMerge w:val="continue"/>
            <w:shd w:val="clear" w:color="auto" w:fill="F4EFF6"/>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580" w:type="dxa"/>
            <w:vAlign w:val="bottom"/>
            <w:vMerge w:val="continue"/>
          </w:tcPr>
          <w:p>
            <w:pPr>
              <w:spacing w:after="0"/>
              <w:rPr>
                <w:sz w:val="10"/>
                <w:szCs w:val="10"/>
                <w:color w:val="auto"/>
              </w:rPr>
            </w:pPr>
          </w:p>
        </w:tc>
        <w:tc>
          <w:tcPr>
            <w:tcW w:w="1120" w:type="dxa"/>
            <w:vAlign w:val="bottom"/>
            <w:tcBorders>
              <w:bottom w:val="single" w:sz="8" w:color="F4EFF6"/>
            </w:tcBorders>
            <w:shd w:val="clear" w:color="auto" w:fill="F4EFF6"/>
          </w:tcPr>
          <w:p>
            <w:pPr>
              <w:spacing w:after="0"/>
              <w:rPr>
                <w:sz w:val="10"/>
                <w:szCs w:val="10"/>
                <w:color w:val="auto"/>
              </w:rPr>
            </w:pPr>
          </w:p>
        </w:tc>
        <w:tc>
          <w:tcPr>
            <w:tcW w:w="40" w:type="dxa"/>
            <w:vAlign w:val="bottom"/>
            <w:tcBorders>
              <w:bottom w:val="single" w:sz="8" w:color="F4EFF6"/>
            </w:tcBorders>
            <w:shd w:val="clear" w:color="auto" w:fill="F4EFF6"/>
          </w:tcPr>
          <w:p>
            <w:pPr>
              <w:spacing w:after="0"/>
              <w:rPr>
                <w:sz w:val="10"/>
                <w:szCs w:val="10"/>
                <w:color w:val="auto"/>
              </w:rPr>
            </w:pPr>
          </w:p>
        </w:tc>
        <w:tc>
          <w:tcPr>
            <w:tcW w:w="140" w:type="dxa"/>
            <w:vAlign w:val="bottom"/>
            <w:tcBorders>
              <w:bottom w:val="single" w:sz="8" w:color="F4EFF6"/>
            </w:tcBorders>
            <w:shd w:val="clear" w:color="auto" w:fill="F4EFF6"/>
          </w:tcPr>
          <w:p>
            <w:pPr>
              <w:spacing w:after="0"/>
              <w:rPr>
                <w:sz w:val="10"/>
                <w:szCs w:val="10"/>
                <w:color w:val="auto"/>
              </w:rPr>
            </w:pPr>
          </w:p>
        </w:tc>
        <w:tc>
          <w:tcPr>
            <w:tcW w:w="1140" w:type="dxa"/>
            <w:vAlign w:val="bottom"/>
            <w:tcBorders>
              <w:bottom w:val="single" w:sz="8" w:color="F4EFF6"/>
            </w:tcBorders>
            <w:shd w:val="clear" w:color="auto" w:fill="F4EFF6"/>
          </w:tcPr>
          <w:p>
            <w:pPr>
              <w:spacing w:after="0"/>
              <w:rPr>
                <w:sz w:val="10"/>
                <w:szCs w:val="10"/>
                <w:color w:val="auto"/>
              </w:rPr>
            </w:pPr>
          </w:p>
        </w:tc>
        <w:tc>
          <w:tcPr>
            <w:tcW w:w="160" w:type="dxa"/>
            <w:vAlign w:val="bottom"/>
            <w:tcBorders>
              <w:bottom w:val="single" w:sz="8" w:color="F4EFF6"/>
            </w:tcBorders>
            <w:shd w:val="clear" w:color="auto" w:fill="F4EFF6"/>
          </w:tcPr>
          <w:p>
            <w:pPr>
              <w:spacing w:after="0"/>
              <w:rPr>
                <w:sz w:val="10"/>
                <w:szCs w:val="10"/>
                <w:color w:val="auto"/>
              </w:rPr>
            </w:pPr>
          </w:p>
        </w:tc>
        <w:tc>
          <w:tcPr>
            <w:tcW w:w="1140" w:type="dxa"/>
            <w:vAlign w:val="bottom"/>
            <w:tcBorders>
              <w:bottom w:val="single" w:sz="8" w:color="F4EFF6"/>
            </w:tcBorders>
            <w:shd w:val="clear" w:color="auto" w:fill="F4EFF6"/>
          </w:tcPr>
          <w:p>
            <w:pPr>
              <w:spacing w:after="0"/>
              <w:rPr>
                <w:sz w:val="10"/>
                <w:szCs w:val="10"/>
                <w:color w:val="auto"/>
              </w:rPr>
            </w:pPr>
          </w:p>
        </w:tc>
        <w:tc>
          <w:tcPr>
            <w:tcW w:w="160" w:type="dxa"/>
            <w:vAlign w:val="bottom"/>
            <w:tcBorders>
              <w:bottom w:val="single" w:sz="8" w:color="F4EFF6"/>
            </w:tcBorders>
            <w:shd w:val="clear" w:color="auto" w:fill="F4EFF6"/>
          </w:tcPr>
          <w:p>
            <w:pPr>
              <w:spacing w:after="0"/>
              <w:rPr>
                <w:sz w:val="10"/>
                <w:szCs w:val="10"/>
                <w:color w:val="auto"/>
              </w:rPr>
            </w:pPr>
          </w:p>
        </w:tc>
        <w:tc>
          <w:tcPr>
            <w:tcW w:w="1140" w:type="dxa"/>
            <w:vAlign w:val="bottom"/>
            <w:tcBorders>
              <w:bottom w:val="single" w:sz="8" w:color="F4EFF6"/>
            </w:tcBorders>
            <w:shd w:val="clear" w:color="auto" w:fill="F4EFF6"/>
          </w:tcPr>
          <w:p>
            <w:pPr>
              <w:spacing w:after="0"/>
              <w:rPr>
                <w:sz w:val="10"/>
                <w:szCs w:val="10"/>
                <w:color w:val="auto"/>
              </w:rPr>
            </w:pPr>
          </w:p>
        </w:tc>
        <w:tc>
          <w:tcPr>
            <w:tcW w:w="140" w:type="dxa"/>
            <w:vAlign w:val="bottom"/>
            <w:tcBorders>
              <w:bottom w:val="single" w:sz="8" w:color="F4EFF6"/>
            </w:tcBorders>
            <w:shd w:val="clear" w:color="auto" w:fill="F4EFF6"/>
          </w:tcPr>
          <w:p>
            <w:pPr>
              <w:spacing w:after="0"/>
              <w:rPr>
                <w:sz w:val="10"/>
                <w:szCs w:val="10"/>
                <w:color w:val="auto"/>
              </w:rPr>
            </w:pPr>
          </w:p>
        </w:tc>
        <w:tc>
          <w:tcPr>
            <w:tcW w:w="1160" w:type="dxa"/>
            <w:vAlign w:val="bottom"/>
            <w:tcBorders>
              <w:bottom w:val="single" w:sz="8" w:color="F4EFF6"/>
            </w:tcBorders>
            <w:shd w:val="clear" w:color="auto" w:fill="F4EFF6"/>
          </w:tcPr>
          <w:p>
            <w:pPr>
              <w:spacing w:after="0"/>
              <w:rPr>
                <w:sz w:val="10"/>
                <w:szCs w:val="10"/>
                <w:color w:val="auto"/>
              </w:rPr>
            </w:pPr>
          </w:p>
        </w:tc>
        <w:tc>
          <w:tcPr>
            <w:tcW w:w="1300" w:type="dxa"/>
            <w:vAlign w:val="bottom"/>
            <w:tcBorders>
              <w:bottom w:val="single" w:sz="8" w:color="F4EFF6"/>
            </w:tcBorders>
            <w:shd w:val="clear" w:color="auto" w:fill="F4EFF6"/>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35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Amounts due to Prime Brokers</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1,304.8</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16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w:t>
            </w:r>
          </w:p>
        </w:tc>
        <w:tc>
          <w:tcPr>
            <w:tcW w:w="13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1,304.8</w:t>
            </w:r>
          </w:p>
        </w:tc>
        <w:tc>
          <w:tcPr>
            <w:tcW w:w="0" w:type="dxa"/>
            <w:vAlign w:val="bottom"/>
          </w:tcPr>
          <w:p>
            <w:pPr>
              <w:spacing w:after="0"/>
              <w:rPr>
                <w:sz w:val="1"/>
                <w:szCs w:val="1"/>
                <w:color w:val="auto"/>
              </w:rPr>
            </w:pPr>
          </w:p>
        </w:tc>
      </w:tr>
      <w:tr>
        <w:trPr>
          <w:trHeight w:val="237"/>
        </w:trPr>
        <w:tc>
          <w:tcPr>
            <w:tcW w:w="35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Amounts payable to clients</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8,438.2</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16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w:t>
            </w:r>
          </w:p>
        </w:tc>
        <w:tc>
          <w:tcPr>
            <w:tcW w:w="13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8,438.2</w:t>
            </w:r>
          </w:p>
        </w:tc>
        <w:tc>
          <w:tcPr>
            <w:tcW w:w="0" w:type="dxa"/>
            <w:vAlign w:val="bottom"/>
          </w:tcPr>
          <w:p>
            <w:pPr>
              <w:spacing w:after="0"/>
              <w:rPr>
                <w:sz w:val="1"/>
                <w:szCs w:val="1"/>
                <w:color w:val="auto"/>
              </w:rPr>
            </w:pPr>
          </w:p>
        </w:tc>
      </w:tr>
      <w:tr>
        <w:trPr>
          <w:trHeight w:val="236"/>
        </w:trPr>
        <w:tc>
          <w:tcPr>
            <w:tcW w:w="35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Trade payables</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3.5</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2,078.2</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16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w:t>
            </w:r>
          </w:p>
        </w:tc>
        <w:tc>
          <w:tcPr>
            <w:tcW w:w="13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2,081.7</w:t>
            </w:r>
          </w:p>
        </w:tc>
        <w:tc>
          <w:tcPr>
            <w:tcW w:w="0" w:type="dxa"/>
            <w:vAlign w:val="bottom"/>
          </w:tcPr>
          <w:p>
            <w:pPr>
              <w:spacing w:after="0"/>
              <w:rPr>
                <w:sz w:val="1"/>
                <w:szCs w:val="1"/>
                <w:color w:val="auto"/>
              </w:rPr>
            </w:pPr>
          </w:p>
        </w:tc>
      </w:tr>
      <w:tr>
        <w:trPr>
          <w:trHeight w:val="237"/>
        </w:trPr>
        <w:tc>
          <w:tcPr>
            <w:tcW w:w="35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Other creditors</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8.0</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15.1</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5.4</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16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w:t>
            </w:r>
          </w:p>
        </w:tc>
        <w:tc>
          <w:tcPr>
            <w:tcW w:w="13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28.5</w:t>
            </w:r>
          </w:p>
        </w:tc>
        <w:tc>
          <w:tcPr>
            <w:tcW w:w="0" w:type="dxa"/>
            <w:vAlign w:val="bottom"/>
          </w:tcPr>
          <w:p>
            <w:pPr>
              <w:spacing w:after="0"/>
              <w:rPr>
                <w:sz w:val="1"/>
                <w:szCs w:val="1"/>
                <w:color w:val="auto"/>
              </w:rPr>
            </w:pPr>
          </w:p>
        </w:tc>
      </w:tr>
      <w:tr>
        <w:trPr>
          <w:trHeight w:val="236"/>
        </w:trPr>
        <w:tc>
          <w:tcPr>
            <w:tcW w:w="35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Stock lending</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4,649.8</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0.1</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16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w:t>
            </w:r>
          </w:p>
        </w:tc>
        <w:tc>
          <w:tcPr>
            <w:tcW w:w="13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4,649.9</w:t>
            </w:r>
          </w:p>
        </w:tc>
        <w:tc>
          <w:tcPr>
            <w:tcW w:w="0" w:type="dxa"/>
            <w:vAlign w:val="bottom"/>
          </w:tcPr>
          <w:p>
            <w:pPr>
              <w:spacing w:after="0"/>
              <w:rPr>
                <w:sz w:val="1"/>
                <w:szCs w:val="1"/>
                <w:color w:val="auto"/>
              </w:rPr>
            </w:pPr>
          </w:p>
        </w:tc>
      </w:tr>
      <w:tr>
        <w:trPr>
          <w:trHeight w:val="237"/>
        </w:trPr>
        <w:tc>
          <w:tcPr>
            <w:tcW w:w="35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Short term borrowings</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6.7</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126.3</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16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w:t>
            </w:r>
          </w:p>
        </w:tc>
        <w:tc>
          <w:tcPr>
            <w:tcW w:w="13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133.0</w:t>
            </w:r>
          </w:p>
        </w:tc>
        <w:tc>
          <w:tcPr>
            <w:tcW w:w="0" w:type="dxa"/>
            <w:vAlign w:val="bottom"/>
          </w:tcPr>
          <w:p>
            <w:pPr>
              <w:spacing w:after="0"/>
              <w:rPr>
                <w:sz w:val="1"/>
                <w:szCs w:val="1"/>
                <w:color w:val="auto"/>
              </w:rPr>
            </w:pPr>
          </w:p>
        </w:tc>
      </w:tr>
      <w:tr>
        <w:trPr>
          <w:trHeight w:val="236"/>
        </w:trPr>
        <w:tc>
          <w:tcPr>
            <w:tcW w:w="35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Debt securities</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1,798.8</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1,373.7</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2,043.6</w:t>
            </w: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16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41.7</w:t>
            </w:r>
          </w:p>
        </w:tc>
        <w:tc>
          <w:tcPr>
            <w:tcW w:w="13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5,257.8</w:t>
            </w:r>
          </w:p>
        </w:tc>
        <w:tc>
          <w:tcPr>
            <w:tcW w:w="0" w:type="dxa"/>
            <w:vAlign w:val="bottom"/>
          </w:tcPr>
          <w:p>
            <w:pPr>
              <w:spacing w:after="0"/>
              <w:rPr>
                <w:sz w:val="1"/>
                <w:szCs w:val="1"/>
                <w:color w:val="auto"/>
              </w:rPr>
            </w:pPr>
          </w:p>
        </w:tc>
      </w:tr>
      <w:tr>
        <w:trPr>
          <w:trHeight w:val="237"/>
        </w:trPr>
        <w:tc>
          <w:tcPr>
            <w:tcW w:w="35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Lease liabilities</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4.4</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9.6</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63.3</w:t>
            </w: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16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35.8</w:t>
            </w:r>
          </w:p>
        </w:tc>
        <w:tc>
          <w:tcPr>
            <w:tcW w:w="13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113.1</w:t>
            </w:r>
          </w:p>
        </w:tc>
        <w:tc>
          <w:tcPr>
            <w:tcW w:w="0" w:type="dxa"/>
            <w:vAlign w:val="bottom"/>
          </w:tcPr>
          <w:p>
            <w:pPr>
              <w:spacing w:after="0"/>
              <w:rPr>
                <w:sz w:val="1"/>
                <w:szCs w:val="1"/>
                <w:color w:val="auto"/>
              </w:rPr>
            </w:pPr>
          </w:p>
        </w:tc>
      </w:tr>
      <w:tr>
        <w:trPr>
          <w:trHeight w:val="237"/>
        </w:trPr>
        <w:tc>
          <w:tcPr>
            <w:tcW w:w="3580" w:type="dxa"/>
            <w:vAlign w:val="bottom"/>
            <w:tcBorders>
              <w:top w:val="single" w:sz="8" w:color="793690"/>
            </w:tcBorders>
          </w:tcPr>
          <w:p>
            <w:pPr>
              <w:spacing w:after="0"/>
              <w:rPr>
                <w:sz w:val="20"/>
                <w:szCs w:val="20"/>
                <w:color w:val="auto"/>
              </w:rPr>
            </w:pPr>
          </w:p>
        </w:tc>
        <w:tc>
          <w:tcPr>
            <w:tcW w:w="112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15,431.2</w:t>
            </w:r>
          </w:p>
        </w:tc>
        <w:tc>
          <w:tcPr>
            <w:tcW w:w="40" w:type="dxa"/>
            <w:vAlign w:val="bottom"/>
            <w:tcBorders>
              <w:top w:val="single" w:sz="8" w:color="793690"/>
              <w:bottom w:val="single" w:sz="8" w:color="F4EFF6"/>
            </w:tcBorders>
            <w:shd w:val="clear" w:color="auto" w:fill="F4EFF6"/>
          </w:tcPr>
          <w:p>
            <w:pPr>
              <w:spacing w:after="0"/>
              <w:rPr>
                <w:sz w:val="20"/>
                <w:szCs w:val="20"/>
                <w:color w:val="auto"/>
              </w:rPr>
            </w:pPr>
          </w:p>
        </w:tc>
        <w:tc>
          <w:tcPr>
            <w:tcW w:w="140" w:type="dxa"/>
            <w:vAlign w:val="bottom"/>
            <w:tcBorders>
              <w:top w:val="single" w:sz="8" w:color="793690"/>
              <w:bottom w:val="single" w:sz="8" w:color="F4EFF6"/>
            </w:tcBorders>
            <w:shd w:val="clear" w:color="auto" w:fill="F4EFF6"/>
          </w:tcPr>
          <w:p>
            <w:pPr>
              <w:spacing w:after="0"/>
              <w:rPr>
                <w:sz w:val="20"/>
                <w:szCs w:val="20"/>
                <w:color w:val="auto"/>
              </w:rPr>
            </w:pPr>
          </w:p>
        </w:tc>
        <w:tc>
          <w:tcPr>
            <w:tcW w:w="11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9,490.1</w:t>
            </w:r>
          </w:p>
        </w:tc>
        <w:tc>
          <w:tcPr>
            <w:tcW w:w="160" w:type="dxa"/>
            <w:vAlign w:val="bottom"/>
            <w:tcBorders>
              <w:top w:val="single" w:sz="8" w:color="793690"/>
              <w:bottom w:val="single" w:sz="8" w:color="F4EFF6"/>
            </w:tcBorders>
            <w:shd w:val="clear" w:color="auto" w:fill="F4EFF6"/>
          </w:tcPr>
          <w:p>
            <w:pPr>
              <w:spacing w:after="0"/>
              <w:rPr>
                <w:sz w:val="20"/>
                <w:szCs w:val="20"/>
                <w:color w:val="auto"/>
              </w:rPr>
            </w:pPr>
          </w:p>
        </w:tc>
        <w:tc>
          <w:tcPr>
            <w:tcW w:w="11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1,388.7</w:t>
            </w:r>
          </w:p>
        </w:tc>
        <w:tc>
          <w:tcPr>
            <w:tcW w:w="160" w:type="dxa"/>
            <w:vAlign w:val="bottom"/>
            <w:tcBorders>
              <w:top w:val="single" w:sz="8" w:color="793690"/>
              <w:bottom w:val="single" w:sz="8" w:color="F4EFF6"/>
            </w:tcBorders>
            <w:shd w:val="clear" w:color="auto" w:fill="F4EFF6"/>
          </w:tcPr>
          <w:p>
            <w:pPr>
              <w:spacing w:after="0"/>
              <w:rPr>
                <w:sz w:val="20"/>
                <w:szCs w:val="20"/>
                <w:color w:val="auto"/>
              </w:rPr>
            </w:pPr>
          </w:p>
        </w:tc>
        <w:tc>
          <w:tcPr>
            <w:tcW w:w="11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2,106.9</w:t>
            </w:r>
          </w:p>
        </w:tc>
        <w:tc>
          <w:tcPr>
            <w:tcW w:w="140" w:type="dxa"/>
            <w:vAlign w:val="bottom"/>
            <w:tcBorders>
              <w:top w:val="single" w:sz="8" w:color="793690"/>
              <w:bottom w:val="single" w:sz="8" w:color="F4EFF6"/>
            </w:tcBorders>
            <w:shd w:val="clear" w:color="auto" w:fill="F4EFF6"/>
          </w:tcPr>
          <w:p>
            <w:pPr>
              <w:spacing w:after="0"/>
              <w:rPr>
                <w:sz w:val="20"/>
                <w:szCs w:val="20"/>
                <w:color w:val="auto"/>
              </w:rPr>
            </w:pPr>
          </w:p>
        </w:tc>
        <w:tc>
          <w:tcPr>
            <w:tcW w:w="1160" w:type="dxa"/>
            <w:vAlign w:val="bottom"/>
            <w:tcBorders>
              <w:top w:val="single" w:sz="8" w:color="793690"/>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77.5</w:t>
            </w:r>
          </w:p>
        </w:tc>
        <w:tc>
          <w:tcPr>
            <w:tcW w:w="130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28,494.4</w:t>
            </w:r>
          </w:p>
        </w:tc>
        <w:tc>
          <w:tcPr>
            <w:tcW w:w="0" w:type="dxa"/>
            <w:vAlign w:val="bottom"/>
          </w:tcPr>
          <w:p>
            <w:pPr>
              <w:spacing w:after="0"/>
              <w:rPr>
                <w:sz w:val="1"/>
                <w:szCs w:val="1"/>
                <w:color w:val="auto"/>
              </w:rPr>
            </w:pPr>
          </w:p>
        </w:tc>
      </w:tr>
      <w:tr>
        <w:trPr>
          <w:trHeight w:val="300"/>
        </w:trPr>
        <w:tc>
          <w:tcPr>
            <w:tcW w:w="3580" w:type="dxa"/>
            <w:vAlign w:val="bottom"/>
            <w:tcBorders>
              <w:top w:val="single" w:sz="8" w:color="793690"/>
            </w:tcBorders>
          </w:tcPr>
          <w:p>
            <w:pPr>
              <w:spacing w:after="0"/>
              <w:rPr>
                <w:sz w:val="24"/>
                <w:szCs w:val="24"/>
                <w:color w:val="auto"/>
              </w:rPr>
            </w:pPr>
          </w:p>
        </w:tc>
        <w:tc>
          <w:tcPr>
            <w:tcW w:w="1120" w:type="dxa"/>
            <w:vAlign w:val="bottom"/>
            <w:tcBorders>
              <w:top w:val="single" w:sz="8" w:color="793690"/>
            </w:tcBorders>
          </w:tcPr>
          <w:p>
            <w:pPr>
              <w:spacing w:after="0"/>
              <w:rPr>
                <w:sz w:val="24"/>
                <w:szCs w:val="24"/>
                <w:color w:val="auto"/>
              </w:rPr>
            </w:pPr>
          </w:p>
        </w:tc>
        <w:tc>
          <w:tcPr>
            <w:tcW w:w="40" w:type="dxa"/>
            <w:vAlign w:val="bottom"/>
            <w:tcBorders>
              <w:top w:val="single" w:sz="8" w:color="793690"/>
            </w:tcBorders>
          </w:tcPr>
          <w:p>
            <w:pPr>
              <w:spacing w:after="0"/>
              <w:rPr>
                <w:sz w:val="24"/>
                <w:szCs w:val="24"/>
                <w:color w:val="auto"/>
              </w:rPr>
            </w:pPr>
          </w:p>
        </w:tc>
        <w:tc>
          <w:tcPr>
            <w:tcW w:w="140" w:type="dxa"/>
            <w:vAlign w:val="bottom"/>
            <w:tcBorders>
              <w:top w:val="single" w:sz="8" w:color="793690"/>
            </w:tcBorders>
          </w:tcPr>
          <w:p>
            <w:pPr>
              <w:spacing w:after="0"/>
              <w:rPr>
                <w:sz w:val="24"/>
                <w:szCs w:val="24"/>
                <w:color w:val="auto"/>
              </w:rPr>
            </w:pPr>
          </w:p>
        </w:tc>
        <w:tc>
          <w:tcPr>
            <w:tcW w:w="1140" w:type="dxa"/>
            <w:vAlign w:val="bottom"/>
            <w:tcBorders>
              <w:top w:val="single" w:sz="8" w:color="793690"/>
            </w:tcBorders>
          </w:tcPr>
          <w:p>
            <w:pPr>
              <w:jc w:val="right"/>
              <w:spacing w:after="0"/>
              <w:rPr>
                <w:sz w:val="20"/>
                <w:szCs w:val="20"/>
                <w:color w:val="auto"/>
              </w:rPr>
            </w:pPr>
            <w:r>
              <w:rPr>
                <w:rFonts w:ascii="Arial" w:cs="Arial" w:eastAsia="Arial" w:hAnsi="Arial"/>
                <w:sz w:val="13"/>
                <w:szCs w:val="13"/>
                <w:b w:val="1"/>
                <w:bCs w:val="1"/>
                <w:color w:val="auto"/>
              </w:rPr>
              <w:t>Less than 3</w:t>
            </w:r>
          </w:p>
        </w:tc>
        <w:tc>
          <w:tcPr>
            <w:tcW w:w="160" w:type="dxa"/>
            <w:vAlign w:val="bottom"/>
            <w:tcBorders>
              <w:top w:val="single" w:sz="8" w:color="793690"/>
            </w:tcBorders>
          </w:tcPr>
          <w:p>
            <w:pPr>
              <w:spacing w:after="0"/>
              <w:rPr>
                <w:sz w:val="24"/>
                <w:szCs w:val="24"/>
                <w:color w:val="auto"/>
              </w:rPr>
            </w:pPr>
          </w:p>
        </w:tc>
        <w:tc>
          <w:tcPr>
            <w:tcW w:w="1140" w:type="dxa"/>
            <w:vAlign w:val="bottom"/>
            <w:tcBorders>
              <w:top w:val="single" w:sz="8" w:color="793690"/>
            </w:tcBorders>
          </w:tcPr>
          <w:p>
            <w:pPr>
              <w:jc w:val="right"/>
              <w:spacing w:after="0"/>
              <w:rPr>
                <w:sz w:val="20"/>
                <w:szCs w:val="20"/>
                <w:color w:val="auto"/>
              </w:rPr>
            </w:pPr>
            <w:r>
              <w:rPr>
                <w:rFonts w:ascii="Arial" w:cs="Arial" w:eastAsia="Arial" w:hAnsi="Arial"/>
                <w:sz w:val="13"/>
                <w:szCs w:val="13"/>
                <w:b w:val="1"/>
                <w:bCs w:val="1"/>
                <w:color w:val="auto"/>
              </w:rPr>
              <w:t>3 to 12</w:t>
            </w:r>
          </w:p>
        </w:tc>
        <w:tc>
          <w:tcPr>
            <w:tcW w:w="160" w:type="dxa"/>
            <w:vAlign w:val="bottom"/>
            <w:tcBorders>
              <w:top w:val="single" w:sz="8" w:color="793690"/>
            </w:tcBorders>
          </w:tcPr>
          <w:p>
            <w:pPr>
              <w:spacing w:after="0"/>
              <w:rPr>
                <w:sz w:val="24"/>
                <w:szCs w:val="24"/>
                <w:color w:val="auto"/>
              </w:rPr>
            </w:pPr>
          </w:p>
        </w:tc>
        <w:tc>
          <w:tcPr>
            <w:tcW w:w="1140" w:type="dxa"/>
            <w:vAlign w:val="bottom"/>
            <w:tcBorders>
              <w:top w:val="single" w:sz="8" w:color="793690"/>
            </w:tcBorders>
          </w:tcPr>
          <w:p>
            <w:pPr>
              <w:jc w:val="right"/>
              <w:spacing w:after="0"/>
              <w:rPr>
                <w:sz w:val="20"/>
                <w:szCs w:val="20"/>
                <w:color w:val="auto"/>
              </w:rPr>
            </w:pPr>
            <w:r>
              <w:rPr>
                <w:rFonts w:ascii="Arial" w:cs="Arial" w:eastAsia="Arial" w:hAnsi="Arial"/>
                <w:sz w:val="13"/>
                <w:szCs w:val="13"/>
                <w:b w:val="1"/>
                <w:bCs w:val="1"/>
                <w:color w:val="auto"/>
              </w:rPr>
              <w:t>1 to 5</w:t>
            </w:r>
          </w:p>
        </w:tc>
        <w:tc>
          <w:tcPr>
            <w:tcW w:w="140" w:type="dxa"/>
            <w:vAlign w:val="bottom"/>
            <w:tcBorders>
              <w:top w:val="single" w:sz="8" w:color="793690"/>
            </w:tcBorders>
          </w:tcPr>
          <w:p>
            <w:pPr>
              <w:spacing w:after="0"/>
              <w:rPr>
                <w:sz w:val="24"/>
                <w:szCs w:val="24"/>
                <w:color w:val="auto"/>
              </w:rPr>
            </w:pPr>
          </w:p>
        </w:tc>
        <w:tc>
          <w:tcPr>
            <w:tcW w:w="1160" w:type="dxa"/>
            <w:vAlign w:val="bottom"/>
            <w:tcBorders>
              <w:top w:val="single" w:sz="8" w:color="793690"/>
            </w:tcBorders>
          </w:tcPr>
          <w:p>
            <w:pPr>
              <w:spacing w:after="0"/>
              <w:rPr>
                <w:sz w:val="24"/>
                <w:szCs w:val="24"/>
                <w:color w:val="auto"/>
              </w:rPr>
            </w:pPr>
          </w:p>
        </w:tc>
        <w:tc>
          <w:tcPr>
            <w:tcW w:w="1300" w:type="dxa"/>
            <w:vAlign w:val="bottom"/>
            <w:tcBorders>
              <w:top w:val="single" w:sz="8" w:color="793690"/>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580" w:type="dxa"/>
            <w:vAlign w:val="bottom"/>
          </w:tcPr>
          <w:p>
            <w:pPr>
              <w:spacing w:after="0"/>
              <w:rPr>
                <w:sz w:val="14"/>
                <w:szCs w:val="1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On demand</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months</w:t>
            </w: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months</w:t>
            </w: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years</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More than 5 years</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rPr>
                <w:sz w:val="20"/>
                <w:szCs w:val="20"/>
                <w:color w:val="auto"/>
              </w:rPr>
            </w:pPr>
            <w:r>
              <w:rPr>
                <w:rFonts w:ascii="Arial" w:cs="Arial" w:eastAsia="Arial" w:hAnsi="Arial"/>
                <w:sz w:val="13"/>
                <w:szCs w:val="13"/>
                <w:b w:val="1"/>
                <w:bCs w:val="1"/>
                <w:color w:val="auto"/>
              </w:rPr>
              <w:t>31 December 2024</w:t>
            </w:r>
          </w:p>
        </w:tc>
        <w:tc>
          <w:tcPr>
            <w:tcW w:w="11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$m</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$m</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$m</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$m</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$m</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$m</w:t>
            </w:r>
          </w:p>
        </w:tc>
        <w:tc>
          <w:tcPr>
            <w:tcW w:w="0" w:type="dxa"/>
            <w:vAlign w:val="bottom"/>
          </w:tcPr>
          <w:p>
            <w:pPr>
              <w:spacing w:after="0"/>
              <w:rPr>
                <w:sz w:val="1"/>
                <w:szCs w:val="1"/>
                <w:color w:val="auto"/>
              </w:rPr>
            </w:pPr>
          </w:p>
        </w:tc>
      </w:tr>
      <w:tr>
        <w:trPr>
          <w:trHeight w:val="22"/>
        </w:trPr>
        <w:tc>
          <w:tcPr>
            <w:tcW w:w="3580" w:type="dxa"/>
            <w:vAlign w:val="bottom"/>
            <w:tcBorders>
              <w:bottom w:val="single" w:sz="8" w:color="793690"/>
            </w:tcBorders>
          </w:tcPr>
          <w:p>
            <w:pPr>
              <w:spacing w:after="0" w:line="20" w:lineRule="exact"/>
              <w:rPr>
                <w:sz w:val="1"/>
                <w:szCs w:val="1"/>
                <w:color w:val="auto"/>
              </w:rPr>
            </w:pPr>
          </w:p>
        </w:tc>
        <w:tc>
          <w:tcPr>
            <w:tcW w:w="1160" w:type="dxa"/>
            <w:vAlign w:val="bottom"/>
            <w:tcBorders>
              <w:bottom w:val="single" w:sz="8" w:color="793690"/>
            </w:tcBorders>
            <w:gridSpan w:val="2"/>
          </w:tcPr>
          <w:p>
            <w:pPr>
              <w:spacing w:after="0" w:line="20" w:lineRule="exact"/>
              <w:rPr>
                <w:sz w:val="1"/>
                <w:szCs w:val="1"/>
                <w:color w:val="auto"/>
              </w:rPr>
            </w:pPr>
          </w:p>
        </w:tc>
        <w:tc>
          <w:tcPr>
            <w:tcW w:w="1280" w:type="dxa"/>
            <w:vAlign w:val="bottom"/>
            <w:tcBorders>
              <w:bottom w:val="single" w:sz="8" w:color="793690"/>
            </w:tcBorders>
            <w:gridSpan w:val="2"/>
          </w:tcPr>
          <w:p>
            <w:pPr>
              <w:spacing w:after="0" w:line="20" w:lineRule="exact"/>
              <w:rPr>
                <w:sz w:val="1"/>
                <w:szCs w:val="1"/>
                <w:color w:val="auto"/>
              </w:rPr>
            </w:pPr>
          </w:p>
        </w:tc>
        <w:tc>
          <w:tcPr>
            <w:tcW w:w="160" w:type="dxa"/>
            <w:vAlign w:val="bottom"/>
            <w:tcBorders>
              <w:bottom w:val="single" w:sz="8" w:color="793690"/>
            </w:tcBorders>
          </w:tcPr>
          <w:p>
            <w:pPr>
              <w:spacing w:after="0" w:line="20" w:lineRule="exact"/>
              <w:rPr>
                <w:sz w:val="1"/>
                <w:szCs w:val="1"/>
                <w:color w:val="auto"/>
              </w:rPr>
            </w:pPr>
          </w:p>
        </w:tc>
        <w:tc>
          <w:tcPr>
            <w:tcW w:w="1140" w:type="dxa"/>
            <w:vAlign w:val="bottom"/>
            <w:tcBorders>
              <w:bottom w:val="single" w:sz="8" w:color="793690"/>
            </w:tcBorders>
          </w:tcPr>
          <w:p>
            <w:pPr>
              <w:spacing w:after="0" w:line="20" w:lineRule="exact"/>
              <w:rPr>
                <w:sz w:val="1"/>
                <w:szCs w:val="1"/>
                <w:color w:val="auto"/>
              </w:rPr>
            </w:pPr>
          </w:p>
        </w:tc>
        <w:tc>
          <w:tcPr>
            <w:tcW w:w="160" w:type="dxa"/>
            <w:vAlign w:val="bottom"/>
            <w:tcBorders>
              <w:bottom w:val="single" w:sz="8" w:color="793690"/>
            </w:tcBorders>
          </w:tcPr>
          <w:p>
            <w:pPr>
              <w:spacing w:after="0" w:line="20" w:lineRule="exact"/>
              <w:rPr>
                <w:sz w:val="1"/>
                <w:szCs w:val="1"/>
                <w:color w:val="auto"/>
              </w:rPr>
            </w:pPr>
          </w:p>
        </w:tc>
        <w:tc>
          <w:tcPr>
            <w:tcW w:w="1140" w:type="dxa"/>
            <w:vAlign w:val="bottom"/>
            <w:tcBorders>
              <w:bottom w:val="single" w:sz="8" w:color="793690"/>
            </w:tcBorders>
          </w:tcPr>
          <w:p>
            <w:pPr>
              <w:spacing w:after="0" w:line="20" w:lineRule="exact"/>
              <w:rPr>
                <w:sz w:val="1"/>
                <w:szCs w:val="1"/>
                <w:color w:val="auto"/>
              </w:rPr>
            </w:pPr>
          </w:p>
        </w:tc>
        <w:tc>
          <w:tcPr>
            <w:tcW w:w="140" w:type="dxa"/>
            <w:vAlign w:val="bottom"/>
            <w:tcBorders>
              <w:bottom w:val="single" w:sz="8" w:color="793690"/>
            </w:tcBorders>
          </w:tcPr>
          <w:p>
            <w:pPr>
              <w:spacing w:after="0" w:line="20" w:lineRule="exact"/>
              <w:rPr>
                <w:sz w:val="1"/>
                <w:szCs w:val="1"/>
                <w:color w:val="auto"/>
              </w:rPr>
            </w:pPr>
          </w:p>
        </w:tc>
        <w:tc>
          <w:tcPr>
            <w:tcW w:w="1160" w:type="dxa"/>
            <w:vAlign w:val="bottom"/>
            <w:tcBorders>
              <w:bottom w:val="single" w:sz="8" w:color="793690"/>
            </w:tcBorders>
          </w:tcPr>
          <w:p>
            <w:pPr>
              <w:spacing w:after="0" w:line="20" w:lineRule="exact"/>
              <w:rPr>
                <w:sz w:val="1"/>
                <w:szCs w:val="1"/>
                <w:color w:val="auto"/>
              </w:rPr>
            </w:pPr>
          </w:p>
        </w:tc>
        <w:tc>
          <w:tcPr>
            <w:tcW w:w="1300" w:type="dxa"/>
            <w:vAlign w:val="bottom"/>
            <w:tcBorders>
              <w:bottom w:val="single" w:sz="8" w:color="79369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rPr>
                <w:sz w:val="20"/>
                <w:szCs w:val="20"/>
                <w:color w:val="auto"/>
              </w:rPr>
            </w:pPr>
            <w:r>
              <w:rPr>
                <w:rFonts w:ascii="Arial" w:cs="Arial" w:eastAsia="Arial" w:hAnsi="Arial"/>
                <w:sz w:val="15"/>
                <w:szCs w:val="15"/>
                <w:color w:val="auto"/>
              </w:rPr>
              <w:t>Repurchase agreements</w:t>
            </w: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2,305.8</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2,305.8</w:t>
            </w:r>
          </w:p>
        </w:tc>
        <w:tc>
          <w:tcPr>
            <w:tcW w:w="0" w:type="dxa"/>
            <w:vAlign w:val="bottom"/>
          </w:tcPr>
          <w:p>
            <w:pPr>
              <w:spacing w:after="0"/>
              <w:rPr>
                <w:sz w:val="1"/>
                <w:szCs w:val="1"/>
                <w:color w:val="auto"/>
              </w:rPr>
            </w:pPr>
          </w:p>
        </w:tc>
      </w:tr>
      <w:tr>
        <w:trPr>
          <w:trHeight w:val="33"/>
        </w:trPr>
        <w:tc>
          <w:tcPr>
            <w:tcW w:w="358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gridSpan w:val="2"/>
          </w:tcPr>
          <w:p>
            <w:pPr>
              <w:spacing w:after="0"/>
              <w:rPr>
                <w:sz w:val="2"/>
                <w:szCs w:val="2"/>
                <w:color w:val="auto"/>
              </w:rPr>
            </w:pPr>
          </w:p>
        </w:tc>
        <w:tc>
          <w:tcPr>
            <w:tcW w:w="1280" w:type="dxa"/>
            <w:vAlign w:val="bottom"/>
            <w:tcBorders>
              <w:bottom w:val="single" w:sz="8" w:color="DADAE7"/>
            </w:tcBorders>
            <w:gridSpan w:val="2"/>
          </w:tcPr>
          <w:p>
            <w:pPr>
              <w:spacing w:after="0"/>
              <w:rPr>
                <w:sz w:val="2"/>
                <w:szCs w:val="2"/>
                <w:color w:val="auto"/>
              </w:rPr>
            </w:pPr>
          </w:p>
        </w:tc>
        <w:tc>
          <w:tcPr>
            <w:tcW w:w="160" w:type="dxa"/>
            <w:vAlign w:val="bottom"/>
            <w:tcBorders>
              <w:bottom w:val="single" w:sz="8" w:color="DADAE7"/>
            </w:tcBorders>
          </w:tcPr>
          <w:p>
            <w:pPr>
              <w:spacing w:after="0"/>
              <w:rPr>
                <w:sz w:val="2"/>
                <w:szCs w:val="2"/>
                <w:color w:val="auto"/>
              </w:rPr>
            </w:pPr>
          </w:p>
        </w:tc>
        <w:tc>
          <w:tcPr>
            <w:tcW w:w="1140" w:type="dxa"/>
            <w:vAlign w:val="bottom"/>
            <w:tcBorders>
              <w:bottom w:val="single" w:sz="8" w:color="DADAE7"/>
            </w:tcBorders>
          </w:tcPr>
          <w:p>
            <w:pPr>
              <w:spacing w:after="0"/>
              <w:rPr>
                <w:sz w:val="2"/>
                <w:szCs w:val="2"/>
                <w:color w:val="auto"/>
              </w:rPr>
            </w:pPr>
          </w:p>
        </w:tc>
        <w:tc>
          <w:tcPr>
            <w:tcW w:w="160" w:type="dxa"/>
            <w:vAlign w:val="bottom"/>
            <w:tcBorders>
              <w:bottom w:val="single" w:sz="8" w:color="DADAE7"/>
            </w:tcBorders>
          </w:tcPr>
          <w:p>
            <w:pPr>
              <w:spacing w:after="0"/>
              <w:rPr>
                <w:sz w:val="2"/>
                <w:szCs w:val="2"/>
                <w:color w:val="auto"/>
              </w:rPr>
            </w:pPr>
          </w:p>
        </w:tc>
        <w:tc>
          <w:tcPr>
            <w:tcW w:w="114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tcPr>
          <w:p>
            <w:pPr>
              <w:spacing w:after="0"/>
              <w:rPr>
                <w:sz w:val="2"/>
                <w:szCs w:val="2"/>
                <w:color w:val="auto"/>
              </w:rPr>
            </w:pPr>
          </w:p>
        </w:tc>
        <w:tc>
          <w:tcPr>
            <w:tcW w:w="1300" w:type="dxa"/>
            <w:vAlign w:val="bottom"/>
            <w:tcBorders>
              <w:bottom w:val="single" w:sz="8" w:color="DADAE7"/>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rPr>
                <w:sz w:val="20"/>
                <w:szCs w:val="20"/>
                <w:color w:val="auto"/>
              </w:rPr>
            </w:pPr>
            <w:r>
              <w:rPr>
                <w:rFonts w:ascii="Arial" w:cs="Arial" w:eastAsia="Arial" w:hAnsi="Arial"/>
                <w:sz w:val="15"/>
                <w:szCs w:val="15"/>
                <w:color w:val="auto"/>
              </w:rPr>
              <w:t>Short securities</w:t>
            </w: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1,704.6</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1,704.6</w:t>
            </w:r>
          </w:p>
        </w:tc>
        <w:tc>
          <w:tcPr>
            <w:tcW w:w="0" w:type="dxa"/>
            <w:vAlign w:val="bottom"/>
          </w:tcPr>
          <w:p>
            <w:pPr>
              <w:spacing w:after="0"/>
              <w:rPr>
                <w:sz w:val="1"/>
                <w:szCs w:val="1"/>
                <w:color w:val="auto"/>
              </w:rPr>
            </w:pPr>
          </w:p>
        </w:tc>
      </w:tr>
      <w:tr>
        <w:trPr>
          <w:trHeight w:val="33"/>
        </w:trPr>
        <w:tc>
          <w:tcPr>
            <w:tcW w:w="3580" w:type="dxa"/>
            <w:vAlign w:val="bottom"/>
            <w:tcBorders>
              <w:bottom w:val="single" w:sz="8" w:color="DADAE7"/>
            </w:tcBorders>
          </w:tcPr>
          <w:p>
            <w:pPr>
              <w:spacing w:after="0"/>
              <w:rPr>
                <w:sz w:val="2"/>
                <w:szCs w:val="2"/>
                <w:color w:val="auto"/>
              </w:rPr>
            </w:pPr>
          </w:p>
        </w:tc>
        <w:tc>
          <w:tcPr>
            <w:tcW w:w="1120" w:type="dxa"/>
            <w:vAlign w:val="bottom"/>
            <w:tcBorders>
              <w:bottom w:val="single" w:sz="8" w:color="DADAE7"/>
            </w:tcBorders>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140" w:type="dxa"/>
            <w:vAlign w:val="bottom"/>
            <w:tcBorders>
              <w:bottom w:val="single" w:sz="8" w:color="DADAE7"/>
            </w:tcBorders>
          </w:tcPr>
          <w:p>
            <w:pPr>
              <w:spacing w:after="0"/>
              <w:rPr>
                <w:sz w:val="2"/>
                <w:szCs w:val="2"/>
                <w:color w:val="auto"/>
              </w:rPr>
            </w:pPr>
          </w:p>
        </w:tc>
        <w:tc>
          <w:tcPr>
            <w:tcW w:w="160" w:type="dxa"/>
            <w:vAlign w:val="bottom"/>
            <w:tcBorders>
              <w:bottom w:val="single" w:sz="8" w:color="DADAE7"/>
            </w:tcBorders>
          </w:tcPr>
          <w:p>
            <w:pPr>
              <w:spacing w:after="0"/>
              <w:rPr>
                <w:sz w:val="2"/>
                <w:szCs w:val="2"/>
                <w:color w:val="auto"/>
              </w:rPr>
            </w:pPr>
          </w:p>
        </w:tc>
        <w:tc>
          <w:tcPr>
            <w:tcW w:w="1140" w:type="dxa"/>
            <w:vAlign w:val="bottom"/>
            <w:tcBorders>
              <w:bottom w:val="single" w:sz="8" w:color="DADAE7"/>
            </w:tcBorders>
          </w:tcPr>
          <w:p>
            <w:pPr>
              <w:spacing w:after="0"/>
              <w:rPr>
                <w:sz w:val="2"/>
                <w:szCs w:val="2"/>
                <w:color w:val="auto"/>
              </w:rPr>
            </w:pPr>
          </w:p>
        </w:tc>
        <w:tc>
          <w:tcPr>
            <w:tcW w:w="160" w:type="dxa"/>
            <w:vAlign w:val="bottom"/>
            <w:tcBorders>
              <w:bottom w:val="single" w:sz="8" w:color="DADAE7"/>
            </w:tcBorders>
          </w:tcPr>
          <w:p>
            <w:pPr>
              <w:spacing w:after="0"/>
              <w:rPr>
                <w:sz w:val="2"/>
                <w:szCs w:val="2"/>
                <w:color w:val="auto"/>
              </w:rPr>
            </w:pPr>
          </w:p>
        </w:tc>
        <w:tc>
          <w:tcPr>
            <w:tcW w:w="114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tcPr>
          <w:p>
            <w:pPr>
              <w:spacing w:after="0"/>
              <w:rPr>
                <w:sz w:val="2"/>
                <w:szCs w:val="2"/>
                <w:color w:val="auto"/>
              </w:rPr>
            </w:pPr>
          </w:p>
        </w:tc>
        <w:tc>
          <w:tcPr>
            <w:tcW w:w="1300" w:type="dxa"/>
            <w:vAlign w:val="bottom"/>
            <w:tcBorders>
              <w:bottom w:val="single" w:sz="8" w:color="DADAE7"/>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580" w:type="dxa"/>
            <w:vAlign w:val="bottom"/>
          </w:tcPr>
          <w:p>
            <w:pPr>
              <w:ind w:left="20"/>
              <w:spacing w:after="0"/>
              <w:rPr>
                <w:sz w:val="20"/>
                <w:szCs w:val="20"/>
                <w:color w:val="auto"/>
              </w:rPr>
            </w:pPr>
            <w:r>
              <w:rPr>
                <w:rFonts w:ascii="Arial" w:cs="Arial" w:eastAsia="Arial" w:hAnsi="Arial"/>
                <w:sz w:val="15"/>
                <w:szCs w:val="15"/>
                <w:color w:val="auto"/>
              </w:rPr>
              <w:t>Amounts due to exchanges, clearing houses and</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1,218.8</w:t>
            </w:r>
          </w:p>
        </w:tc>
        <w:tc>
          <w:tcPr>
            <w:tcW w:w="40" w:type="dxa"/>
            <w:vAlign w:val="bottom"/>
          </w:tcPr>
          <w:p>
            <w:pPr>
              <w:spacing w:after="0"/>
              <w:rPr>
                <w:sz w:val="16"/>
                <w:szCs w:val="16"/>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5"/>
                <w:szCs w:val="15"/>
                <w:color w:val="auto"/>
              </w:rPr>
              <w:t>282.0</w:t>
            </w:r>
          </w:p>
        </w:tc>
        <w:tc>
          <w:tcPr>
            <w:tcW w:w="1300" w:type="dxa"/>
            <w:vAlign w:val="bottom"/>
            <w:gridSpan w:val="2"/>
            <w:vMerge w:val="restart"/>
          </w:tcPr>
          <w:p>
            <w:pPr>
              <w:jc w:val="right"/>
              <w:spacing w:after="0"/>
              <w:rPr>
                <w:sz w:val="20"/>
                <w:szCs w:val="20"/>
                <w:color w:val="auto"/>
              </w:rPr>
            </w:pPr>
            <w:r>
              <w:rPr>
                <w:rFonts w:ascii="Arial" w:cs="Arial" w:eastAsia="Arial" w:hAnsi="Arial"/>
                <w:sz w:val="15"/>
                <w:szCs w:val="15"/>
                <w:color w:val="auto"/>
              </w:rPr>
              <w:t>0.7</w:t>
            </w:r>
          </w:p>
        </w:tc>
        <w:tc>
          <w:tcPr>
            <w:tcW w:w="1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16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1,501.5</w:t>
            </w:r>
          </w:p>
        </w:tc>
        <w:tc>
          <w:tcPr>
            <w:tcW w:w="0" w:type="dxa"/>
            <w:vAlign w:val="bottom"/>
          </w:tcPr>
          <w:p>
            <w:pPr>
              <w:spacing w:after="0"/>
              <w:rPr>
                <w:sz w:val="1"/>
                <w:szCs w:val="1"/>
                <w:color w:val="auto"/>
              </w:rPr>
            </w:pPr>
          </w:p>
        </w:tc>
      </w:tr>
      <w:tr>
        <w:trPr>
          <w:trHeight w:val="92"/>
        </w:trPr>
        <w:tc>
          <w:tcPr>
            <w:tcW w:w="3580" w:type="dxa"/>
            <w:vAlign w:val="bottom"/>
            <w:vMerge w:val="restart"/>
          </w:tcPr>
          <w:p>
            <w:pPr>
              <w:ind w:left="20"/>
              <w:spacing w:after="0"/>
              <w:rPr>
                <w:sz w:val="20"/>
                <w:szCs w:val="20"/>
                <w:color w:val="auto"/>
              </w:rPr>
            </w:pPr>
            <w:r>
              <w:rPr>
                <w:rFonts w:ascii="Arial" w:cs="Arial" w:eastAsia="Arial" w:hAnsi="Arial"/>
                <w:sz w:val="15"/>
                <w:szCs w:val="15"/>
                <w:color w:val="auto"/>
              </w:rPr>
              <w:t>other counterparties</w:t>
            </w:r>
          </w:p>
        </w:tc>
        <w:tc>
          <w:tcPr>
            <w:tcW w:w="1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580" w:type="dxa"/>
            <w:vAlign w:val="bottom"/>
            <w:tcBorders>
              <w:bottom w:val="single" w:sz="8" w:color="DADAE7"/>
            </w:tcBorders>
            <w:vMerge w:val="continue"/>
          </w:tcPr>
          <w:p>
            <w:pPr>
              <w:spacing w:after="0"/>
              <w:rPr>
                <w:sz w:val="10"/>
                <w:szCs w:val="10"/>
                <w:color w:val="auto"/>
              </w:rPr>
            </w:pPr>
          </w:p>
        </w:tc>
        <w:tc>
          <w:tcPr>
            <w:tcW w:w="1120" w:type="dxa"/>
            <w:vAlign w:val="bottom"/>
            <w:tcBorders>
              <w:bottom w:val="single" w:sz="8" w:color="DADAE7"/>
            </w:tcBorders>
          </w:tcPr>
          <w:p>
            <w:pPr>
              <w:spacing w:after="0"/>
              <w:rPr>
                <w:sz w:val="10"/>
                <w:szCs w:val="10"/>
                <w:color w:val="auto"/>
              </w:rPr>
            </w:pPr>
          </w:p>
        </w:tc>
        <w:tc>
          <w:tcPr>
            <w:tcW w:w="40" w:type="dxa"/>
            <w:vAlign w:val="bottom"/>
            <w:tcBorders>
              <w:bottom w:val="single" w:sz="8" w:color="DADAE7"/>
            </w:tcBorders>
          </w:tcPr>
          <w:p>
            <w:pPr>
              <w:spacing w:after="0"/>
              <w:rPr>
                <w:sz w:val="10"/>
                <w:szCs w:val="10"/>
                <w:color w:val="auto"/>
              </w:rPr>
            </w:pPr>
          </w:p>
        </w:tc>
        <w:tc>
          <w:tcPr>
            <w:tcW w:w="140" w:type="dxa"/>
            <w:vAlign w:val="bottom"/>
            <w:tcBorders>
              <w:bottom w:val="single" w:sz="8" w:color="DADAE7"/>
            </w:tcBorders>
          </w:tcPr>
          <w:p>
            <w:pPr>
              <w:spacing w:after="0"/>
              <w:rPr>
                <w:sz w:val="10"/>
                <w:szCs w:val="10"/>
                <w:color w:val="auto"/>
              </w:rPr>
            </w:pPr>
          </w:p>
        </w:tc>
        <w:tc>
          <w:tcPr>
            <w:tcW w:w="1140" w:type="dxa"/>
            <w:vAlign w:val="bottom"/>
            <w:tcBorders>
              <w:bottom w:val="single" w:sz="8" w:color="DADAE7"/>
            </w:tcBorders>
          </w:tcPr>
          <w:p>
            <w:pPr>
              <w:spacing w:after="0"/>
              <w:rPr>
                <w:sz w:val="10"/>
                <w:szCs w:val="10"/>
                <w:color w:val="auto"/>
              </w:rPr>
            </w:pPr>
          </w:p>
        </w:tc>
        <w:tc>
          <w:tcPr>
            <w:tcW w:w="160" w:type="dxa"/>
            <w:vAlign w:val="bottom"/>
            <w:tcBorders>
              <w:bottom w:val="single" w:sz="8" w:color="DADAE7"/>
            </w:tcBorders>
          </w:tcPr>
          <w:p>
            <w:pPr>
              <w:spacing w:after="0"/>
              <w:rPr>
                <w:sz w:val="10"/>
                <w:szCs w:val="10"/>
                <w:color w:val="auto"/>
              </w:rPr>
            </w:pPr>
          </w:p>
        </w:tc>
        <w:tc>
          <w:tcPr>
            <w:tcW w:w="1140" w:type="dxa"/>
            <w:vAlign w:val="bottom"/>
            <w:tcBorders>
              <w:bottom w:val="single" w:sz="8" w:color="DADAE7"/>
            </w:tcBorders>
          </w:tcPr>
          <w:p>
            <w:pPr>
              <w:spacing w:after="0"/>
              <w:rPr>
                <w:sz w:val="10"/>
                <w:szCs w:val="10"/>
                <w:color w:val="auto"/>
              </w:rPr>
            </w:pPr>
          </w:p>
        </w:tc>
        <w:tc>
          <w:tcPr>
            <w:tcW w:w="160" w:type="dxa"/>
            <w:vAlign w:val="bottom"/>
            <w:tcBorders>
              <w:bottom w:val="single" w:sz="8" w:color="DADAE7"/>
            </w:tcBorders>
          </w:tcPr>
          <w:p>
            <w:pPr>
              <w:spacing w:after="0"/>
              <w:rPr>
                <w:sz w:val="10"/>
                <w:szCs w:val="10"/>
                <w:color w:val="auto"/>
              </w:rPr>
            </w:pPr>
          </w:p>
        </w:tc>
        <w:tc>
          <w:tcPr>
            <w:tcW w:w="1140" w:type="dxa"/>
            <w:vAlign w:val="bottom"/>
            <w:tcBorders>
              <w:bottom w:val="single" w:sz="8" w:color="DADAE7"/>
            </w:tcBorders>
          </w:tcPr>
          <w:p>
            <w:pPr>
              <w:spacing w:after="0"/>
              <w:rPr>
                <w:sz w:val="10"/>
                <w:szCs w:val="10"/>
                <w:color w:val="auto"/>
              </w:rPr>
            </w:pPr>
          </w:p>
        </w:tc>
        <w:tc>
          <w:tcPr>
            <w:tcW w:w="140" w:type="dxa"/>
            <w:vAlign w:val="bottom"/>
            <w:tcBorders>
              <w:bottom w:val="single" w:sz="8" w:color="DADAE7"/>
            </w:tcBorders>
          </w:tcPr>
          <w:p>
            <w:pPr>
              <w:spacing w:after="0"/>
              <w:rPr>
                <w:sz w:val="10"/>
                <w:szCs w:val="10"/>
                <w:color w:val="auto"/>
              </w:rPr>
            </w:pPr>
          </w:p>
        </w:tc>
        <w:tc>
          <w:tcPr>
            <w:tcW w:w="1160" w:type="dxa"/>
            <w:vAlign w:val="bottom"/>
            <w:tcBorders>
              <w:bottom w:val="single" w:sz="8" w:color="DADAE7"/>
            </w:tcBorders>
          </w:tcPr>
          <w:p>
            <w:pPr>
              <w:spacing w:after="0"/>
              <w:rPr>
                <w:sz w:val="10"/>
                <w:szCs w:val="10"/>
                <w:color w:val="auto"/>
              </w:rPr>
            </w:pPr>
          </w:p>
        </w:tc>
        <w:tc>
          <w:tcPr>
            <w:tcW w:w="1300" w:type="dxa"/>
            <w:vAlign w:val="bottom"/>
            <w:tcBorders>
              <w:bottom w:val="single" w:sz="8" w:color="DADAE7"/>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3580" w:type="dxa"/>
            <w:vAlign w:val="bottom"/>
          </w:tcPr>
          <w:p>
            <w:pPr>
              <w:ind w:left="20"/>
              <w:spacing w:after="0"/>
              <w:rPr>
                <w:sz w:val="20"/>
                <w:szCs w:val="20"/>
                <w:color w:val="auto"/>
              </w:rPr>
            </w:pPr>
            <w:r>
              <w:rPr>
                <w:rFonts w:ascii="Arial" w:cs="Arial" w:eastAsia="Arial" w:hAnsi="Arial"/>
                <w:sz w:val="15"/>
                <w:szCs w:val="15"/>
                <w:color w:val="auto"/>
              </w:rPr>
              <w:t>Amounts due to Prime Brokers</w:t>
            </w:r>
          </w:p>
        </w:tc>
        <w:tc>
          <w:tcPr>
            <w:tcW w:w="1120" w:type="dxa"/>
            <w:vAlign w:val="bottom"/>
          </w:tcPr>
          <w:p>
            <w:pPr>
              <w:jc w:val="right"/>
              <w:spacing w:after="0"/>
              <w:rPr>
                <w:sz w:val="20"/>
                <w:szCs w:val="20"/>
                <w:color w:val="auto"/>
              </w:rPr>
            </w:pPr>
            <w:r>
              <w:rPr>
                <w:rFonts w:ascii="Arial" w:cs="Arial" w:eastAsia="Arial" w:hAnsi="Arial"/>
                <w:sz w:val="15"/>
                <w:szCs w:val="15"/>
                <w:color w:val="auto"/>
              </w:rPr>
              <w:t>1,017.1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1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1,017.1</w:t>
            </w:r>
          </w:p>
        </w:tc>
        <w:tc>
          <w:tcPr>
            <w:tcW w:w="0" w:type="dxa"/>
            <w:vAlign w:val="bottom"/>
          </w:tcPr>
          <w:p>
            <w:pPr>
              <w:spacing w:after="0"/>
              <w:rPr>
                <w:sz w:val="1"/>
                <w:szCs w:val="1"/>
                <w:color w:val="auto"/>
              </w:rPr>
            </w:pPr>
          </w:p>
        </w:tc>
      </w:tr>
      <w:tr>
        <w:trPr>
          <w:trHeight w:val="33"/>
        </w:trPr>
        <w:tc>
          <w:tcPr>
            <w:tcW w:w="3580" w:type="dxa"/>
            <w:vAlign w:val="bottom"/>
            <w:tcBorders>
              <w:bottom w:val="single" w:sz="8" w:color="DADAE7"/>
            </w:tcBorders>
          </w:tcPr>
          <w:p>
            <w:pPr>
              <w:spacing w:after="0"/>
              <w:rPr>
                <w:sz w:val="2"/>
                <w:szCs w:val="2"/>
                <w:color w:val="auto"/>
              </w:rPr>
            </w:pPr>
          </w:p>
        </w:tc>
        <w:tc>
          <w:tcPr>
            <w:tcW w:w="1120" w:type="dxa"/>
            <w:vAlign w:val="bottom"/>
            <w:tcBorders>
              <w:bottom w:val="single" w:sz="8" w:color="DADAE7"/>
            </w:tcBorders>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140" w:type="dxa"/>
            <w:vAlign w:val="bottom"/>
            <w:tcBorders>
              <w:bottom w:val="single" w:sz="8" w:color="DADAE7"/>
            </w:tcBorders>
          </w:tcPr>
          <w:p>
            <w:pPr>
              <w:spacing w:after="0"/>
              <w:rPr>
                <w:sz w:val="2"/>
                <w:szCs w:val="2"/>
                <w:color w:val="auto"/>
              </w:rPr>
            </w:pPr>
          </w:p>
        </w:tc>
        <w:tc>
          <w:tcPr>
            <w:tcW w:w="160" w:type="dxa"/>
            <w:vAlign w:val="bottom"/>
            <w:tcBorders>
              <w:bottom w:val="single" w:sz="8" w:color="DADAE7"/>
            </w:tcBorders>
          </w:tcPr>
          <w:p>
            <w:pPr>
              <w:spacing w:after="0"/>
              <w:rPr>
                <w:sz w:val="2"/>
                <w:szCs w:val="2"/>
                <w:color w:val="auto"/>
              </w:rPr>
            </w:pPr>
          </w:p>
        </w:tc>
        <w:tc>
          <w:tcPr>
            <w:tcW w:w="1140" w:type="dxa"/>
            <w:vAlign w:val="bottom"/>
            <w:tcBorders>
              <w:bottom w:val="single" w:sz="8" w:color="DADAE7"/>
            </w:tcBorders>
          </w:tcPr>
          <w:p>
            <w:pPr>
              <w:spacing w:after="0"/>
              <w:rPr>
                <w:sz w:val="2"/>
                <w:szCs w:val="2"/>
                <w:color w:val="auto"/>
              </w:rPr>
            </w:pPr>
          </w:p>
        </w:tc>
        <w:tc>
          <w:tcPr>
            <w:tcW w:w="160" w:type="dxa"/>
            <w:vAlign w:val="bottom"/>
            <w:tcBorders>
              <w:bottom w:val="single" w:sz="8" w:color="DADAE7"/>
            </w:tcBorders>
          </w:tcPr>
          <w:p>
            <w:pPr>
              <w:spacing w:after="0"/>
              <w:rPr>
                <w:sz w:val="2"/>
                <w:szCs w:val="2"/>
                <w:color w:val="auto"/>
              </w:rPr>
            </w:pPr>
          </w:p>
        </w:tc>
        <w:tc>
          <w:tcPr>
            <w:tcW w:w="114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tcPr>
          <w:p>
            <w:pPr>
              <w:spacing w:after="0"/>
              <w:rPr>
                <w:sz w:val="2"/>
                <w:szCs w:val="2"/>
                <w:color w:val="auto"/>
              </w:rPr>
            </w:pPr>
          </w:p>
        </w:tc>
        <w:tc>
          <w:tcPr>
            <w:tcW w:w="1300" w:type="dxa"/>
            <w:vAlign w:val="bottom"/>
            <w:tcBorders>
              <w:bottom w:val="single" w:sz="8" w:color="DADAE7"/>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rPr>
                <w:sz w:val="20"/>
                <w:szCs w:val="20"/>
                <w:color w:val="auto"/>
              </w:rPr>
            </w:pPr>
            <w:r>
              <w:rPr>
                <w:rFonts w:ascii="Arial" w:cs="Arial" w:eastAsia="Arial" w:hAnsi="Arial"/>
                <w:sz w:val="15"/>
                <w:szCs w:val="15"/>
                <w:color w:val="auto"/>
              </w:rPr>
              <w:t>Amounts payable to clients</w:t>
            </w:r>
          </w:p>
        </w:tc>
        <w:tc>
          <w:tcPr>
            <w:tcW w:w="1120" w:type="dxa"/>
            <w:vAlign w:val="bottom"/>
          </w:tcPr>
          <w:p>
            <w:pPr>
              <w:jc w:val="right"/>
              <w:spacing w:after="0"/>
              <w:rPr>
                <w:sz w:val="20"/>
                <w:szCs w:val="20"/>
                <w:color w:val="auto"/>
              </w:rPr>
            </w:pPr>
            <w:r>
              <w:rPr>
                <w:rFonts w:ascii="Arial" w:cs="Arial" w:eastAsia="Arial" w:hAnsi="Arial"/>
                <w:sz w:val="15"/>
                <w:szCs w:val="15"/>
                <w:color w:val="auto"/>
              </w:rPr>
              <w:t>6,253.7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6,253.7</w:t>
            </w:r>
          </w:p>
        </w:tc>
        <w:tc>
          <w:tcPr>
            <w:tcW w:w="0" w:type="dxa"/>
            <w:vAlign w:val="bottom"/>
          </w:tcPr>
          <w:p>
            <w:pPr>
              <w:spacing w:after="0"/>
              <w:rPr>
                <w:sz w:val="1"/>
                <w:szCs w:val="1"/>
                <w:color w:val="auto"/>
              </w:rPr>
            </w:pPr>
          </w:p>
        </w:tc>
      </w:tr>
      <w:tr>
        <w:trPr>
          <w:trHeight w:val="33"/>
        </w:trPr>
        <w:tc>
          <w:tcPr>
            <w:tcW w:w="3580" w:type="dxa"/>
            <w:vAlign w:val="bottom"/>
            <w:tcBorders>
              <w:bottom w:val="single" w:sz="8" w:color="DADAE7"/>
            </w:tcBorders>
          </w:tcPr>
          <w:p>
            <w:pPr>
              <w:spacing w:after="0"/>
              <w:rPr>
                <w:sz w:val="2"/>
                <w:szCs w:val="2"/>
                <w:color w:val="auto"/>
              </w:rPr>
            </w:pPr>
          </w:p>
        </w:tc>
        <w:tc>
          <w:tcPr>
            <w:tcW w:w="1120" w:type="dxa"/>
            <w:vAlign w:val="bottom"/>
            <w:tcBorders>
              <w:bottom w:val="single" w:sz="8" w:color="DADAE7"/>
            </w:tcBorders>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280" w:type="dxa"/>
            <w:vAlign w:val="bottom"/>
            <w:tcBorders>
              <w:bottom w:val="single" w:sz="8" w:color="DADAE7"/>
            </w:tcBorders>
            <w:gridSpan w:val="2"/>
          </w:tcPr>
          <w:p>
            <w:pPr>
              <w:spacing w:after="0"/>
              <w:rPr>
                <w:sz w:val="2"/>
                <w:szCs w:val="2"/>
                <w:color w:val="auto"/>
              </w:rPr>
            </w:pPr>
          </w:p>
        </w:tc>
        <w:tc>
          <w:tcPr>
            <w:tcW w:w="1300" w:type="dxa"/>
            <w:vAlign w:val="bottom"/>
            <w:tcBorders>
              <w:bottom w:val="single" w:sz="8" w:color="DADAE7"/>
            </w:tcBorders>
            <w:gridSpan w:val="2"/>
          </w:tcPr>
          <w:p>
            <w:pPr>
              <w:spacing w:after="0"/>
              <w:rPr>
                <w:sz w:val="2"/>
                <w:szCs w:val="2"/>
                <w:color w:val="auto"/>
              </w:rPr>
            </w:pPr>
          </w:p>
        </w:tc>
        <w:tc>
          <w:tcPr>
            <w:tcW w:w="160" w:type="dxa"/>
            <w:vAlign w:val="bottom"/>
            <w:tcBorders>
              <w:bottom w:val="single" w:sz="8" w:color="DADAE7"/>
            </w:tcBorders>
          </w:tcPr>
          <w:p>
            <w:pPr>
              <w:spacing w:after="0"/>
              <w:rPr>
                <w:sz w:val="2"/>
                <w:szCs w:val="2"/>
                <w:color w:val="auto"/>
              </w:rPr>
            </w:pPr>
          </w:p>
        </w:tc>
        <w:tc>
          <w:tcPr>
            <w:tcW w:w="114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tcPr>
          <w:p>
            <w:pPr>
              <w:spacing w:after="0"/>
              <w:rPr>
                <w:sz w:val="2"/>
                <w:szCs w:val="2"/>
                <w:color w:val="auto"/>
              </w:rPr>
            </w:pPr>
          </w:p>
        </w:tc>
        <w:tc>
          <w:tcPr>
            <w:tcW w:w="1300" w:type="dxa"/>
            <w:vAlign w:val="bottom"/>
            <w:tcBorders>
              <w:bottom w:val="single" w:sz="8" w:color="DADAE7"/>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rPr>
                <w:sz w:val="20"/>
                <w:szCs w:val="20"/>
                <w:color w:val="auto"/>
              </w:rPr>
            </w:pPr>
            <w:r>
              <w:rPr>
                <w:rFonts w:ascii="Arial" w:cs="Arial" w:eastAsia="Arial" w:hAnsi="Arial"/>
                <w:sz w:val="15"/>
                <w:szCs w:val="15"/>
                <w:color w:val="auto"/>
              </w:rPr>
              <w:t>Trade payables</w:t>
            </w:r>
          </w:p>
        </w:tc>
        <w:tc>
          <w:tcPr>
            <w:tcW w:w="1120" w:type="dxa"/>
            <w:vAlign w:val="bottom"/>
          </w:tcPr>
          <w:p>
            <w:pPr>
              <w:jc w:val="right"/>
              <w:spacing w:after="0"/>
              <w:rPr>
                <w:sz w:val="20"/>
                <w:szCs w:val="20"/>
                <w:color w:val="auto"/>
              </w:rPr>
            </w:pPr>
            <w:r>
              <w:rPr>
                <w:rFonts w:ascii="Arial" w:cs="Arial" w:eastAsia="Arial" w:hAnsi="Arial"/>
                <w:sz w:val="15"/>
                <w:szCs w:val="15"/>
                <w:color w:val="auto"/>
              </w:rPr>
              <w:t>3.6</w:t>
            </w:r>
          </w:p>
        </w:tc>
        <w:tc>
          <w:tcPr>
            <w:tcW w:w="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463.4</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3.2</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470.2</w:t>
            </w:r>
          </w:p>
        </w:tc>
        <w:tc>
          <w:tcPr>
            <w:tcW w:w="0" w:type="dxa"/>
            <w:vAlign w:val="bottom"/>
          </w:tcPr>
          <w:p>
            <w:pPr>
              <w:spacing w:after="0"/>
              <w:rPr>
                <w:sz w:val="1"/>
                <w:szCs w:val="1"/>
                <w:color w:val="auto"/>
              </w:rPr>
            </w:pPr>
          </w:p>
        </w:tc>
      </w:tr>
      <w:tr>
        <w:trPr>
          <w:trHeight w:val="33"/>
        </w:trPr>
        <w:tc>
          <w:tcPr>
            <w:tcW w:w="3580" w:type="dxa"/>
            <w:vAlign w:val="bottom"/>
            <w:tcBorders>
              <w:bottom w:val="single" w:sz="8" w:color="DADAE7"/>
            </w:tcBorders>
          </w:tcPr>
          <w:p>
            <w:pPr>
              <w:spacing w:after="0"/>
              <w:rPr>
                <w:sz w:val="2"/>
                <w:szCs w:val="2"/>
                <w:color w:val="auto"/>
              </w:rPr>
            </w:pPr>
          </w:p>
        </w:tc>
        <w:tc>
          <w:tcPr>
            <w:tcW w:w="1120" w:type="dxa"/>
            <w:vAlign w:val="bottom"/>
            <w:tcBorders>
              <w:bottom w:val="single" w:sz="8" w:color="DADAE7"/>
            </w:tcBorders>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280" w:type="dxa"/>
            <w:vAlign w:val="bottom"/>
            <w:tcBorders>
              <w:bottom w:val="single" w:sz="8" w:color="DADAE7"/>
            </w:tcBorders>
            <w:gridSpan w:val="2"/>
          </w:tcPr>
          <w:p>
            <w:pPr>
              <w:spacing w:after="0"/>
              <w:rPr>
                <w:sz w:val="2"/>
                <w:szCs w:val="2"/>
                <w:color w:val="auto"/>
              </w:rPr>
            </w:pPr>
          </w:p>
        </w:tc>
        <w:tc>
          <w:tcPr>
            <w:tcW w:w="1300" w:type="dxa"/>
            <w:vAlign w:val="bottom"/>
            <w:tcBorders>
              <w:bottom w:val="single" w:sz="8" w:color="DADAE7"/>
            </w:tcBorders>
            <w:gridSpan w:val="2"/>
          </w:tcPr>
          <w:p>
            <w:pPr>
              <w:spacing w:after="0"/>
              <w:rPr>
                <w:sz w:val="2"/>
                <w:szCs w:val="2"/>
                <w:color w:val="auto"/>
              </w:rPr>
            </w:pPr>
          </w:p>
        </w:tc>
        <w:tc>
          <w:tcPr>
            <w:tcW w:w="1300" w:type="dxa"/>
            <w:vAlign w:val="bottom"/>
            <w:tcBorders>
              <w:bottom w:val="single" w:sz="8" w:color="DADAE7"/>
            </w:tcBorders>
            <w:gridSpan w:val="2"/>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tcPr>
          <w:p>
            <w:pPr>
              <w:spacing w:after="0"/>
              <w:rPr>
                <w:sz w:val="2"/>
                <w:szCs w:val="2"/>
                <w:color w:val="auto"/>
              </w:rPr>
            </w:pPr>
          </w:p>
        </w:tc>
        <w:tc>
          <w:tcPr>
            <w:tcW w:w="1300" w:type="dxa"/>
            <w:vAlign w:val="bottom"/>
            <w:tcBorders>
              <w:bottom w:val="single" w:sz="8" w:color="DADAE7"/>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rPr>
                <w:sz w:val="20"/>
                <w:szCs w:val="20"/>
                <w:color w:val="auto"/>
              </w:rPr>
            </w:pPr>
            <w:r>
              <w:rPr>
                <w:rFonts w:ascii="Arial" w:cs="Arial" w:eastAsia="Arial" w:hAnsi="Arial"/>
                <w:sz w:val="15"/>
                <w:szCs w:val="15"/>
                <w:color w:val="auto"/>
              </w:rPr>
              <w:t>Other creditors</w:t>
            </w:r>
          </w:p>
        </w:tc>
        <w:tc>
          <w:tcPr>
            <w:tcW w:w="1120" w:type="dxa"/>
            <w:vAlign w:val="bottom"/>
          </w:tcPr>
          <w:p>
            <w:pPr>
              <w:jc w:val="right"/>
              <w:spacing w:after="0"/>
              <w:rPr>
                <w:sz w:val="20"/>
                <w:szCs w:val="20"/>
                <w:color w:val="auto"/>
              </w:rPr>
            </w:pPr>
            <w:r>
              <w:rPr>
                <w:rFonts w:ascii="Arial" w:cs="Arial" w:eastAsia="Arial" w:hAnsi="Arial"/>
                <w:sz w:val="15"/>
                <w:szCs w:val="15"/>
                <w:color w:val="auto"/>
              </w:rPr>
              <w:t>6.0</w:t>
            </w:r>
          </w:p>
        </w:tc>
        <w:tc>
          <w:tcPr>
            <w:tcW w:w="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4.9</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4.1</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2.3</w:t>
            </w:r>
          </w:p>
        </w:tc>
        <w:tc>
          <w:tcPr>
            <w:tcW w:w="140" w:type="dxa"/>
            <w:vAlign w:val="bottom"/>
          </w:tcPr>
          <w:p>
            <w:pPr>
              <w:spacing w:after="0"/>
              <w:rPr>
                <w:sz w:val="17"/>
                <w:szCs w:val="17"/>
                <w:color w:val="auto"/>
              </w:rPr>
            </w:pPr>
          </w:p>
        </w:tc>
        <w:tc>
          <w:tcPr>
            <w:tcW w:w="11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17.3</w:t>
            </w:r>
          </w:p>
        </w:tc>
        <w:tc>
          <w:tcPr>
            <w:tcW w:w="0" w:type="dxa"/>
            <w:vAlign w:val="bottom"/>
          </w:tcPr>
          <w:p>
            <w:pPr>
              <w:spacing w:after="0"/>
              <w:rPr>
                <w:sz w:val="1"/>
                <w:szCs w:val="1"/>
                <w:color w:val="auto"/>
              </w:rPr>
            </w:pPr>
          </w:p>
        </w:tc>
      </w:tr>
      <w:tr>
        <w:trPr>
          <w:trHeight w:val="33"/>
        </w:trPr>
        <w:tc>
          <w:tcPr>
            <w:tcW w:w="3580" w:type="dxa"/>
            <w:vAlign w:val="bottom"/>
            <w:tcBorders>
              <w:bottom w:val="single" w:sz="8" w:color="DADAE7"/>
            </w:tcBorders>
          </w:tcPr>
          <w:p>
            <w:pPr>
              <w:spacing w:after="0"/>
              <w:rPr>
                <w:sz w:val="2"/>
                <w:szCs w:val="2"/>
                <w:color w:val="auto"/>
              </w:rPr>
            </w:pPr>
          </w:p>
        </w:tc>
        <w:tc>
          <w:tcPr>
            <w:tcW w:w="1120" w:type="dxa"/>
            <w:vAlign w:val="bottom"/>
            <w:tcBorders>
              <w:bottom w:val="single" w:sz="8" w:color="DADAE7"/>
            </w:tcBorders>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280" w:type="dxa"/>
            <w:vAlign w:val="bottom"/>
            <w:tcBorders>
              <w:bottom w:val="single" w:sz="8" w:color="DADAE7"/>
            </w:tcBorders>
            <w:gridSpan w:val="2"/>
          </w:tcPr>
          <w:p>
            <w:pPr>
              <w:spacing w:after="0"/>
              <w:rPr>
                <w:sz w:val="2"/>
                <w:szCs w:val="2"/>
                <w:color w:val="auto"/>
              </w:rPr>
            </w:pPr>
          </w:p>
        </w:tc>
        <w:tc>
          <w:tcPr>
            <w:tcW w:w="160" w:type="dxa"/>
            <w:vAlign w:val="bottom"/>
            <w:tcBorders>
              <w:bottom w:val="single" w:sz="8" w:color="DADAE7"/>
            </w:tcBorders>
          </w:tcPr>
          <w:p>
            <w:pPr>
              <w:spacing w:after="0"/>
              <w:rPr>
                <w:sz w:val="2"/>
                <w:szCs w:val="2"/>
                <w:color w:val="auto"/>
              </w:rPr>
            </w:pPr>
          </w:p>
        </w:tc>
        <w:tc>
          <w:tcPr>
            <w:tcW w:w="1140" w:type="dxa"/>
            <w:vAlign w:val="bottom"/>
            <w:tcBorders>
              <w:bottom w:val="single" w:sz="8" w:color="DADAE7"/>
            </w:tcBorders>
          </w:tcPr>
          <w:p>
            <w:pPr>
              <w:spacing w:after="0"/>
              <w:rPr>
                <w:sz w:val="2"/>
                <w:szCs w:val="2"/>
                <w:color w:val="auto"/>
              </w:rPr>
            </w:pPr>
          </w:p>
        </w:tc>
        <w:tc>
          <w:tcPr>
            <w:tcW w:w="160" w:type="dxa"/>
            <w:vAlign w:val="bottom"/>
            <w:tcBorders>
              <w:bottom w:val="single" w:sz="8" w:color="DADAE7"/>
            </w:tcBorders>
          </w:tcPr>
          <w:p>
            <w:pPr>
              <w:spacing w:after="0"/>
              <w:rPr>
                <w:sz w:val="2"/>
                <w:szCs w:val="2"/>
                <w:color w:val="auto"/>
              </w:rPr>
            </w:pPr>
          </w:p>
        </w:tc>
        <w:tc>
          <w:tcPr>
            <w:tcW w:w="114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tcPr>
          <w:p>
            <w:pPr>
              <w:spacing w:after="0"/>
              <w:rPr>
                <w:sz w:val="2"/>
                <w:szCs w:val="2"/>
                <w:color w:val="auto"/>
              </w:rPr>
            </w:pPr>
          </w:p>
        </w:tc>
        <w:tc>
          <w:tcPr>
            <w:tcW w:w="1300" w:type="dxa"/>
            <w:vAlign w:val="bottom"/>
            <w:tcBorders>
              <w:bottom w:val="single" w:sz="8" w:color="DADAE7"/>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rPr>
                <w:sz w:val="20"/>
                <w:szCs w:val="20"/>
                <w:color w:val="auto"/>
              </w:rPr>
            </w:pPr>
            <w:r>
              <w:rPr>
                <w:rFonts w:ascii="Arial" w:cs="Arial" w:eastAsia="Arial" w:hAnsi="Arial"/>
                <w:sz w:val="15"/>
                <w:szCs w:val="15"/>
                <w:color w:val="auto"/>
              </w:rPr>
              <w:t>Stock lending</w:t>
            </w:r>
          </w:p>
        </w:tc>
        <w:tc>
          <w:tcPr>
            <w:tcW w:w="1120" w:type="dxa"/>
            <w:vAlign w:val="bottom"/>
          </w:tcPr>
          <w:p>
            <w:pPr>
              <w:jc w:val="right"/>
              <w:spacing w:after="0"/>
              <w:rPr>
                <w:sz w:val="20"/>
                <w:szCs w:val="20"/>
                <w:color w:val="auto"/>
              </w:rPr>
            </w:pPr>
            <w:r>
              <w:rPr>
                <w:rFonts w:ascii="Arial" w:cs="Arial" w:eastAsia="Arial" w:hAnsi="Arial"/>
                <w:sz w:val="15"/>
                <w:szCs w:val="15"/>
                <w:color w:val="auto"/>
              </w:rPr>
              <w:t>4,804.5</w:t>
            </w:r>
          </w:p>
        </w:tc>
        <w:tc>
          <w:tcPr>
            <w:tcW w:w="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147.6</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4,952.1</w:t>
            </w:r>
          </w:p>
        </w:tc>
        <w:tc>
          <w:tcPr>
            <w:tcW w:w="0" w:type="dxa"/>
            <w:vAlign w:val="bottom"/>
          </w:tcPr>
          <w:p>
            <w:pPr>
              <w:spacing w:after="0"/>
              <w:rPr>
                <w:sz w:val="1"/>
                <w:szCs w:val="1"/>
                <w:color w:val="auto"/>
              </w:rPr>
            </w:pPr>
          </w:p>
        </w:tc>
      </w:tr>
      <w:tr>
        <w:trPr>
          <w:trHeight w:val="33"/>
        </w:trPr>
        <w:tc>
          <w:tcPr>
            <w:tcW w:w="358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gridSpan w:val="2"/>
          </w:tcPr>
          <w:p>
            <w:pPr>
              <w:spacing w:after="0"/>
              <w:rPr>
                <w:sz w:val="2"/>
                <w:szCs w:val="2"/>
                <w:color w:val="auto"/>
              </w:rPr>
            </w:pPr>
          </w:p>
        </w:tc>
        <w:tc>
          <w:tcPr>
            <w:tcW w:w="1280" w:type="dxa"/>
            <w:vAlign w:val="bottom"/>
            <w:tcBorders>
              <w:bottom w:val="single" w:sz="8" w:color="DADAE7"/>
            </w:tcBorders>
            <w:gridSpan w:val="2"/>
          </w:tcPr>
          <w:p>
            <w:pPr>
              <w:spacing w:after="0"/>
              <w:rPr>
                <w:sz w:val="2"/>
                <w:szCs w:val="2"/>
                <w:color w:val="auto"/>
              </w:rPr>
            </w:pPr>
          </w:p>
        </w:tc>
        <w:tc>
          <w:tcPr>
            <w:tcW w:w="160" w:type="dxa"/>
            <w:vAlign w:val="bottom"/>
            <w:tcBorders>
              <w:bottom w:val="single" w:sz="8" w:color="DADAE7"/>
            </w:tcBorders>
          </w:tcPr>
          <w:p>
            <w:pPr>
              <w:spacing w:after="0"/>
              <w:rPr>
                <w:sz w:val="2"/>
                <w:szCs w:val="2"/>
                <w:color w:val="auto"/>
              </w:rPr>
            </w:pPr>
          </w:p>
        </w:tc>
        <w:tc>
          <w:tcPr>
            <w:tcW w:w="1140" w:type="dxa"/>
            <w:vAlign w:val="bottom"/>
            <w:tcBorders>
              <w:bottom w:val="single" w:sz="8" w:color="DADAE7"/>
            </w:tcBorders>
          </w:tcPr>
          <w:p>
            <w:pPr>
              <w:spacing w:after="0"/>
              <w:rPr>
                <w:sz w:val="2"/>
                <w:szCs w:val="2"/>
                <w:color w:val="auto"/>
              </w:rPr>
            </w:pPr>
          </w:p>
        </w:tc>
        <w:tc>
          <w:tcPr>
            <w:tcW w:w="160" w:type="dxa"/>
            <w:vAlign w:val="bottom"/>
            <w:tcBorders>
              <w:bottom w:val="single" w:sz="8" w:color="DADAE7"/>
            </w:tcBorders>
          </w:tcPr>
          <w:p>
            <w:pPr>
              <w:spacing w:after="0"/>
              <w:rPr>
                <w:sz w:val="2"/>
                <w:szCs w:val="2"/>
                <w:color w:val="auto"/>
              </w:rPr>
            </w:pPr>
          </w:p>
        </w:tc>
        <w:tc>
          <w:tcPr>
            <w:tcW w:w="114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tcPr>
          <w:p>
            <w:pPr>
              <w:spacing w:after="0"/>
              <w:rPr>
                <w:sz w:val="2"/>
                <w:szCs w:val="2"/>
                <w:color w:val="auto"/>
              </w:rPr>
            </w:pPr>
          </w:p>
        </w:tc>
        <w:tc>
          <w:tcPr>
            <w:tcW w:w="1300" w:type="dxa"/>
            <w:vAlign w:val="bottom"/>
            <w:tcBorders>
              <w:bottom w:val="single" w:sz="8" w:color="DADAE7"/>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580" w:type="dxa"/>
            <w:vAlign w:val="bottom"/>
          </w:tcPr>
          <w:p>
            <w:pPr>
              <w:ind w:left="20"/>
              <w:spacing w:after="0"/>
              <w:rPr>
                <w:sz w:val="20"/>
                <w:szCs w:val="20"/>
                <w:color w:val="auto"/>
              </w:rPr>
            </w:pPr>
            <w:r>
              <w:rPr>
                <w:rFonts w:ascii="Arial" w:cs="Arial" w:eastAsia="Arial" w:hAnsi="Arial"/>
                <w:sz w:val="15"/>
                <w:szCs w:val="15"/>
                <w:color w:val="auto"/>
              </w:rPr>
              <w:t>Short term borrowings</w:t>
            </w: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152.0</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152.0</w:t>
            </w:r>
          </w:p>
        </w:tc>
        <w:tc>
          <w:tcPr>
            <w:tcW w:w="0" w:type="dxa"/>
            <w:vAlign w:val="bottom"/>
          </w:tcPr>
          <w:p>
            <w:pPr>
              <w:spacing w:after="0"/>
              <w:rPr>
                <w:sz w:val="1"/>
                <w:szCs w:val="1"/>
                <w:color w:val="auto"/>
              </w:rPr>
            </w:pPr>
          </w:p>
        </w:tc>
      </w:tr>
      <w:tr>
        <w:trPr>
          <w:trHeight w:val="33"/>
        </w:trPr>
        <w:tc>
          <w:tcPr>
            <w:tcW w:w="358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gridSpan w:val="2"/>
          </w:tcPr>
          <w:p>
            <w:pPr>
              <w:spacing w:after="0"/>
              <w:rPr>
                <w:sz w:val="2"/>
                <w:szCs w:val="2"/>
                <w:color w:val="auto"/>
              </w:rPr>
            </w:pPr>
          </w:p>
        </w:tc>
        <w:tc>
          <w:tcPr>
            <w:tcW w:w="1280" w:type="dxa"/>
            <w:vAlign w:val="bottom"/>
            <w:tcBorders>
              <w:bottom w:val="single" w:sz="8" w:color="DADAE7"/>
            </w:tcBorders>
            <w:gridSpan w:val="2"/>
          </w:tcPr>
          <w:p>
            <w:pPr>
              <w:spacing w:after="0"/>
              <w:rPr>
                <w:sz w:val="2"/>
                <w:szCs w:val="2"/>
                <w:color w:val="auto"/>
              </w:rPr>
            </w:pPr>
          </w:p>
        </w:tc>
        <w:tc>
          <w:tcPr>
            <w:tcW w:w="1300" w:type="dxa"/>
            <w:vAlign w:val="bottom"/>
            <w:tcBorders>
              <w:bottom w:val="single" w:sz="8" w:color="DADAE7"/>
            </w:tcBorders>
            <w:gridSpan w:val="2"/>
          </w:tcPr>
          <w:p>
            <w:pPr>
              <w:spacing w:after="0"/>
              <w:rPr>
                <w:sz w:val="2"/>
                <w:szCs w:val="2"/>
                <w:color w:val="auto"/>
              </w:rPr>
            </w:pPr>
          </w:p>
        </w:tc>
        <w:tc>
          <w:tcPr>
            <w:tcW w:w="1300" w:type="dxa"/>
            <w:vAlign w:val="bottom"/>
            <w:tcBorders>
              <w:bottom w:val="single" w:sz="8" w:color="DADAE7"/>
            </w:tcBorders>
            <w:gridSpan w:val="2"/>
          </w:tcPr>
          <w:p>
            <w:pPr>
              <w:spacing w:after="0"/>
              <w:rPr>
                <w:sz w:val="2"/>
                <w:szCs w:val="2"/>
                <w:color w:val="auto"/>
              </w:rPr>
            </w:pPr>
          </w:p>
        </w:tc>
        <w:tc>
          <w:tcPr>
            <w:tcW w:w="1300" w:type="dxa"/>
            <w:vAlign w:val="bottom"/>
            <w:tcBorders>
              <w:bottom w:val="single" w:sz="8" w:color="DADAE7"/>
            </w:tcBorders>
            <w:gridSpan w:val="2"/>
          </w:tcPr>
          <w:p>
            <w:pPr>
              <w:spacing w:after="0"/>
              <w:rPr>
                <w:sz w:val="2"/>
                <w:szCs w:val="2"/>
                <w:color w:val="auto"/>
              </w:rPr>
            </w:pPr>
          </w:p>
        </w:tc>
        <w:tc>
          <w:tcPr>
            <w:tcW w:w="1300" w:type="dxa"/>
            <w:vAlign w:val="bottom"/>
            <w:tcBorders>
              <w:bottom w:val="single" w:sz="8" w:color="DADAE7"/>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580" w:type="dxa"/>
            <w:vAlign w:val="bottom"/>
          </w:tcPr>
          <w:p>
            <w:pPr>
              <w:ind w:left="20"/>
              <w:spacing w:after="0"/>
              <w:rPr>
                <w:sz w:val="20"/>
                <w:szCs w:val="20"/>
                <w:color w:val="auto"/>
              </w:rPr>
            </w:pPr>
            <w:r>
              <w:rPr>
                <w:rFonts w:ascii="Arial" w:cs="Arial" w:eastAsia="Arial" w:hAnsi="Arial"/>
                <w:sz w:val="15"/>
                <w:szCs w:val="15"/>
                <w:color w:val="auto"/>
              </w:rPr>
              <w:t>Debt securities</w:t>
            </w: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1,235.8</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883.8</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1,434.9</w:t>
            </w:r>
          </w:p>
        </w:tc>
        <w:tc>
          <w:tcPr>
            <w:tcW w:w="1300" w:type="dxa"/>
            <w:vAlign w:val="bottom"/>
            <w:gridSpan w:val="2"/>
          </w:tcPr>
          <w:p>
            <w:pPr>
              <w:jc w:val="right"/>
              <w:ind w:right="6"/>
              <w:spacing w:after="0"/>
              <w:rPr>
                <w:sz w:val="20"/>
                <w:szCs w:val="20"/>
                <w:color w:val="auto"/>
              </w:rPr>
            </w:pPr>
            <w:r>
              <w:rPr>
                <w:rFonts w:ascii="Arial" w:cs="Arial" w:eastAsia="Arial" w:hAnsi="Arial"/>
                <w:sz w:val="15"/>
                <w:szCs w:val="15"/>
                <w:color w:val="auto"/>
              </w:rPr>
              <w:t>50.0</w:t>
            </w:r>
          </w:p>
        </w:tc>
        <w:tc>
          <w:tcPr>
            <w:tcW w:w="1300" w:type="dxa"/>
            <w:vAlign w:val="bottom"/>
          </w:tcPr>
          <w:p>
            <w:pPr>
              <w:jc w:val="right"/>
              <w:spacing w:after="0"/>
              <w:rPr>
                <w:sz w:val="20"/>
                <w:szCs w:val="20"/>
                <w:color w:val="auto"/>
              </w:rPr>
            </w:pPr>
            <w:r>
              <w:rPr>
                <w:rFonts w:ascii="Arial" w:cs="Arial" w:eastAsia="Arial" w:hAnsi="Arial"/>
                <w:sz w:val="15"/>
                <w:szCs w:val="15"/>
                <w:color w:val="auto"/>
              </w:rPr>
              <w:t>3,604.5</w:t>
            </w:r>
          </w:p>
        </w:tc>
        <w:tc>
          <w:tcPr>
            <w:tcW w:w="0" w:type="dxa"/>
            <w:vAlign w:val="bottom"/>
          </w:tcPr>
          <w:p>
            <w:pPr>
              <w:spacing w:after="0"/>
              <w:rPr>
                <w:sz w:val="1"/>
                <w:szCs w:val="1"/>
                <w:color w:val="auto"/>
              </w:rPr>
            </w:pPr>
          </w:p>
        </w:tc>
      </w:tr>
      <w:tr>
        <w:trPr>
          <w:trHeight w:val="33"/>
        </w:trPr>
        <w:tc>
          <w:tcPr>
            <w:tcW w:w="358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gridSpan w:val="2"/>
          </w:tcPr>
          <w:p>
            <w:pPr>
              <w:spacing w:after="0"/>
              <w:rPr>
                <w:sz w:val="2"/>
                <w:szCs w:val="2"/>
                <w:color w:val="auto"/>
              </w:rPr>
            </w:pPr>
          </w:p>
        </w:tc>
        <w:tc>
          <w:tcPr>
            <w:tcW w:w="1280" w:type="dxa"/>
            <w:vAlign w:val="bottom"/>
            <w:tcBorders>
              <w:bottom w:val="single" w:sz="8" w:color="DADAE7"/>
            </w:tcBorders>
            <w:gridSpan w:val="2"/>
          </w:tcPr>
          <w:p>
            <w:pPr>
              <w:spacing w:after="0"/>
              <w:rPr>
                <w:sz w:val="2"/>
                <w:szCs w:val="2"/>
                <w:color w:val="auto"/>
              </w:rPr>
            </w:pPr>
          </w:p>
        </w:tc>
        <w:tc>
          <w:tcPr>
            <w:tcW w:w="1300" w:type="dxa"/>
            <w:vAlign w:val="bottom"/>
            <w:tcBorders>
              <w:bottom w:val="single" w:sz="8" w:color="DADAE7"/>
            </w:tcBorders>
            <w:gridSpan w:val="2"/>
          </w:tcPr>
          <w:p>
            <w:pPr>
              <w:spacing w:after="0"/>
              <w:rPr>
                <w:sz w:val="2"/>
                <w:szCs w:val="2"/>
                <w:color w:val="auto"/>
              </w:rPr>
            </w:pPr>
          </w:p>
        </w:tc>
        <w:tc>
          <w:tcPr>
            <w:tcW w:w="1300" w:type="dxa"/>
            <w:vAlign w:val="bottom"/>
            <w:tcBorders>
              <w:bottom w:val="single" w:sz="8" w:color="DADAE7"/>
            </w:tcBorders>
            <w:gridSpan w:val="2"/>
          </w:tcPr>
          <w:p>
            <w:pPr>
              <w:spacing w:after="0"/>
              <w:rPr>
                <w:sz w:val="2"/>
                <w:szCs w:val="2"/>
                <w:color w:val="auto"/>
              </w:rPr>
            </w:pPr>
          </w:p>
        </w:tc>
        <w:tc>
          <w:tcPr>
            <w:tcW w:w="1300" w:type="dxa"/>
            <w:vAlign w:val="bottom"/>
            <w:tcBorders>
              <w:bottom w:val="single" w:sz="8" w:color="DADAE7"/>
            </w:tcBorders>
            <w:gridSpan w:val="2"/>
          </w:tcPr>
          <w:p>
            <w:pPr>
              <w:spacing w:after="0"/>
              <w:rPr>
                <w:sz w:val="2"/>
                <w:szCs w:val="2"/>
                <w:color w:val="auto"/>
              </w:rPr>
            </w:pPr>
          </w:p>
        </w:tc>
        <w:tc>
          <w:tcPr>
            <w:tcW w:w="1300" w:type="dxa"/>
            <w:vAlign w:val="bottom"/>
            <w:tcBorders>
              <w:bottom w:val="single" w:sz="8" w:color="DADAE7"/>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rPr>
                <w:sz w:val="20"/>
                <w:szCs w:val="20"/>
                <w:color w:val="auto"/>
              </w:rPr>
            </w:pPr>
            <w:r>
              <w:rPr>
                <w:rFonts w:ascii="Arial" w:cs="Arial" w:eastAsia="Arial" w:hAnsi="Arial"/>
                <w:sz w:val="15"/>
                <w:szCs w:val="15"/>
                <w:color w:val="auto"/>
              </w:rPr>
              <w:t>Lease liabilities</w:t>
            </w: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3.7</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10.3</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52.9</w:t>
            </w:r>
          </w:p>
        </w:tc>
        <w:tc>
          <w:tcPr>
            <w:tcW w:w="1300" w:type="dxa"/>
            <w:vAlign w:val="bottom"/>
            <w:gridSpan w:val="2"/>
          </w:tcPr>
          <w:p>
            <w:pPr>
              <w:jc w:val="right"/>
              <w:ind w:right="6"/>
              <w:spacing w:after="0"/>
              <w:rPr>
                <w:sz w:val="20"/>
                <w:szCs w:val="20"/>
                <w:color w:val="auto"/>
              </w:rPr>
            </w:pPr>
            <w:r>
              <w:rPr>
                <w:rFonts w:ascii="Arial" w:cs="Arial" w:eastAsia="Arial" w:hAnsi="Arial"/>
                <w:sz w:val="15"/>
                <w:szCs w:val="15"/>
                <w:color w:val="auto"/>
              </w:rPr>
              <w:t>37.4</w:t>
            </w:r>
          </w:p>
        </w:tc>
        <w:tc>
          <w:tcPr>
            <w:tcW w:w="1300" w:type="dxa"/>
            <w:vAlign w:val="bottom"/>
          </w:tcPr>
          <w:p>
            <w:pPr>
              <w:jc w:val="right"/>
              <w:spacing w:after="0"/>
              <w:rPr>
                <w:sz w:val="20"/>
                <w:szCs w:val="20"/>
                <w:color w:val="auto"/>
              </w:rPr>
            </w:pPr>
            <w:r>
              <w:rPr>
                <w:rFonts w:ascii="Arial" w:cs="Arial" w:eastAsia="Arial" w:hAnsi="Arial"/>
                <w:sz w:val="15"/>
                <w:szCs w:val="15"/>
                <w:color w:val="auto"/>
              </w:rPr>
              <w:t>104.3</w:t>
            </w:r>
          </w:p>
        </w:tc>
        <w:tc>
          <w:tcPr>
            <w:tcW w:w="0" w:type="dxa"/>
            <w:vAlign w:val="bottom"/>
          </w:tcPr>
          <w:p>
            <w:pPr>
              <w:spacing w:after="0"/>
              <w:rPr>
                <w:sz w:val="1"/>
                <w:szCs w:val="1"/>
                <w:color w:val="auto"/>
              </w:rPr>
            </w:pPr>
          </w:p>
        </w:tc>
      </w:tr>
      <w:tr>
        <w:trPr>
          <w:trHeight w:val="33"/>
        </w:trPr>
        <w:tc>
          <w:tcPr>
            <w:tcW w:w="3580" w:type="dxa"/>
            <w:vAlign w:val="bottom"/>
            <w:tcBorders>
              <w:bottom w:val="single" w:sz="8" w:color="793690"/>
            </w:tcBorders>
          </w:tcPr>
          <w:p>
            <w:pPr>
              <w:spacing w:after="0"/>
              <w:rPr>
                <w:sz w:val="2"/>
                <w:szCs w:val="2"/>
                <w:color w:val="auto"/>
              </w:rPr>
            </w:pPr>
          </w:p>
        </w:tc>
        <w:tc>
          <w:tcPr>
            <w:tcW w:w="1120" w:type="dxa"/>
            <w:vAlign w:val="bottom"/>
            <w:tcBorders>
              <w:bottom w:val="single" w:sz="8" w:color="793690"/>
            </w:tcBorders>
          </w:tcPr>
          <w:p>
            <w:pPr>
              <w:spacing w:after="0"/>
              <w:rPr>
                <w:sz w:val="2"/>
                <w:szCs w:val="2"/>
                <w:color w:val="auto"/>
              </w:rPr>
            </w:pPr>
          </w:p>
        </w:tc>
        <w:tc>
          <w:tcPr>
            <w:tcW w:w="40" w:type="dxa"/>
            <w:vAlign w:val="bottom"/>
            <w:tcBorders>
              <w:bottom w:val="single" w:sz="8" w:color="793690"/>
            </w:tcBorders>
          </w:tcPr>
          <w:p>
            <w:pPr>
              <w:spacing w:after="0"/>
              <w:rPr>
                <w:sz w:val="2"/>
                <w:szCs w:val="2"/>
                <w:color w:val="auto"/>
              </w:rPr>
            </w:pPr>
          </w:p>
        </w:tc>
        <w:tc>
          <w:tcPr>
            <w:tcW w:w="1280" w:type="dxa"/>
            <w:vAlign w:val="bottom"/>
            <w:tcBorders>
              <w:bottom w:val="single" w:sz="8" w:color="793690"/>
            </w:tcBorders>
            <w:gridSpan w:val="2"/>
          </w:tcPr>
          <w:p>
            <w:pPr>
              <w:spacing w:after="0"/>
              <w:rPr>
                <w:sz w:val="2"/>
                <w:szCs w:val="2"/>
                <w:color w:val="auto"/>
              </w:rPr>
            </w:pPr>
          </w:p>
        </w:tc>
        <w:tc>
          <w:tcPr>
            <w:tcW w:w="1300" w:type="dxa"/>
            <w:vAlign w:val="bottom"/>
            <w:tcBorders>
              <w:bottom w:val="single" w:sz="8" w:color="793690"/>
            </w:tcBorders>
            <w:gridSpan w:val="2"/>
          </w:tcPr>
          <w:p>
            <w:pPr>
              <w:spacing w:after="0"/>
              <w:rPr>
                <w:sz w:val="2"/>
                <w:szCs w:val="2"/>
                <w:color w:val="auto"/>
              </w:rPr>
            </w:pPr>
          </w:p>
        </w:tc>
        <w:tc>
          <w:tcPr>
            <w:tcW w:w="1300" w:type="dxa"/>
            <w:vAlign w:val="bottom"/>
            <w:tcBorders>
              <w:bottom w:val="single" w:sz="8" w:color="793690"/>
            </w:tcBorders>
            <w:gridSpan w:val="2"/>
          </w:tcPr>
          <w:p>
            <w:pPr>
              <w:spacing w:after="0"/>
              <w:rPr>
                <w:sz w:val="2"/>
                <w:szCs w:val="2"/>
                <w:color w:val="auto"/>
              </w:rPr>
            </w:pPr>
          </w:p>
        </w:tc>
        <w:tc>
          <w:tcPr>
            <w:tcW w:w="1300" w:type="dxa"/>
            <w:vAlign w:val="bottom"/>
            <w:tcBorders>
              <w:bottom w:val="single" w:sz="8" w:color="793690"/>
            </w:tcBorders>
            <w:gridSpan w:val="2"/>
          </w:tcPr>
          <w:p>
            <w:pPr>
              <w:spacing w:after="0"/>
              <w:rPr>
                <w:sz w:val="2"/>
                <w:szCs w:val="2"/>
                <w:color w:val="auto"/>
              </w:rPr>
            </w:pPr>
          </w:p>
        </w:tc>
        <w:tc>
          <w:tcPr>
            <w:tcW w:w="1300" w:type="dxa"/>
            <w:vAlign w:val="bottom"/>
            <w:tcBorders>
              <w:bottom w:val="single" w:sz="8" w:color="793690"/>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13,303.7</w:t>
            </w:r>
          </w:p>
        </w:tc>
        <w:tc>
          <w:tcPr>
            <w:tcW w:w="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6,299.8</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902.1</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1,490.1</w:t>
            </w:r>
          </w:p>
        </w:tc>
        <w:tc>
          <w:tcPr>
            <w:tcW w:w="1300" w:type="dxa"/>
            <w:vAlign w:val="bottom"/>
            <w:gridSpan w:val="2"/>
          </w:tcPr>
          <w:p>
            <w:pPr>
              <w:jc w:val="right"/>
              <w:ind w:right="6"/>
              <w:spacing w:after="0"/>
              <w:rPr>
                <w:sz w:val="20"/>
                <w:szCs w:val="20"/>
                <w:color w:val="auto"/>
              </w:rPr>
            </w:pPr>
            <w:r>
              <w:rPr>
                <w:rFonts w:ascii="Arial" w:cs="Arial" w:eastAsia="Arial" w:hAnsi="Arial"/>
                <w:sz w:val="15"/>
                <w:szCs w:val="15"/>
                <w:color w:val="auto"/>
              </w:rPr>
              <w:t>87.4</w:t>
            </w:r>
          </w:p>
        </w:tc>
        <w:tc>
          <w:tcPr>
            <w:tcW w:w="1300" w:type="dxa"/>
            <w:vAlign w:val="bottom"/>
          </w:tcPr>
          <w:p>
            <w:pPr>
              <w:jc w:val="right"/>
              <w:spacing w:after="0"/>
              <w:rPr>
                <w:sz w:val="20"/>
                <w:szCs w:val="20"/>
                <w:color w:val="auto"/>
              </w:rPr>
            </w:pPr>
            <w:r>
              <w:rPr>
                <w:rFonts w:ascii="Arial" w:cs="Arial" w:eastAsia="Arial" w:hAnsi="Arial"/>
                <w:sz w:val="15"/>
                <w:szCs w:val="15"/>
                <w:color w:val="auto"/>
              </w:rPr>
              <w:t>22,083.1</w:t>
            </w:r>
          </w:p>
        </w:tc>
        <w:tc>
          <w:tcPr>
            <w:tcW w:w="0" w:type="dxa"/>
            <w:vAlign w:val="bottom"/>
          </w:tcPr>
          <w:p>
            <w:pPr>
              <w:spacing w:after="0"/>
              <w:rPr>
                <w:sz w:val="1"/>
                <w:szCs w:val="1"/>
                <w:color w:val="auto"/>
              </w:rPr>
            </w:pPr>
          </w:p>
        </w:tc>
      </w:tr>
      <w:tr>
        <w:trPr>
          <w:trHeight w:val="33"/>
        </w:trPr>
        <w:tc>
          <w:tcPr>
            <w:tcW w:w="3580" w:type="dxa"/>
            <w:vAlign w:val="bottom"/>
            <w:tcBorders>
              <w:bottom w:val="single" w:sz="8" w:color="793690"/>
            </w:tcBorders>
          </w:tcPr>
          <w:p>
            <w:pPr>
              <w:spacing w:after="0"/>
              <w:rPr>
                <w:sz w:val="2"/>
                <w:szCs w:val="2"/>
                <w:color w:val="auto"/>
              </w:rPr>
            </w:pPr>
          </w:p>
        </w:tc>
        <w:tc>
          <w:tcPr>
            <w:tcW w:w="1120" w:type="dxa"/>
            <w:vAlign w:val="bottom"/>
            <w:tcBorders>
              <w:bottom w:val="single" w:sz="8" w:color="793690"/>
            </w:tcBorders>
          </w:tcPr>
          <w:p>
            <w:pPr>
              <w:spacing w:after="0"/>
              <w:rPr>
                <w:sz w:val="2"/>
                <w:szCs w:val="2"/>
                <w:color w:val="auto"/>
              </w:rPr>
            </w:pPr>
          </w:p>
        </w:tc>
        <w:tc>
          <w:tcPr>
            <w:tcW w:w="40" w:type="dxa"/>
            <w:vAlign w:val="bottom"/>
            <w:tcBorders>
              <w:bottom w:val="single" w:sz="8" w:color="793690"/>
            </w:tcBorders>
          </w:tcPr>
          <w:p>
            <w:pPr>
              <w:spacing w:after="0"/>
              <w:rPr>
                <w:sz w:val="2"/>
                <w:szCs w:val="2"/>
                <w:color w:val="auto"/>
              </w:rPr>
            </w:pPr>
          </w:p>
        </w:tc>
        <w:tc>
          <w:tcPr>
            <w:tcW w:w="140" w:type="dxa"/>
            <w:vAlign w:val="bottom"/>
            <w:tcBorders>
              <w:bottom w:val="single" w:sz="8" w:color="793690"/>
            </w:tcBorders>
          </w:tcPr>
          <w:p>
            <w:pPr>
              <w:spacing w:after="0"/>
              <w:rPr>
                <w:sz w:val="2"/>
                <w:szCs w:val="2"/>
                <w:color w:val="auto"/>
              </w:rPr>
            </w:pPr>
          </w:p>
        </w:tc>
        <w:tc>
          <w:tcPr>
            <w:tcW w:w="1140" w:type="dxa"/>
            <w:vAlign w:val="bottom"/>
            <w:tcBorders>
              <w:bottom w:val="single" w:sz="8" w:color="793690"/>
            </w:tcBorders>
          </w:tcPr>
          <w:p>
            <w:pPr>
              <w:spacing w:after="0"/>
              <w:rPr>
                <w:sz w:val="2"/>
                <w:szCs w:val="2"/>
                <w:color w:val="auto"/>
              </w:rPr>
            </w:pPr>
          </w:p>
        </w:tc>
        <w:tc>
          <w:tcPr>
            <w:tcW w:w="160" w:type="dxa"/>
            <w:vAlign w:val="bottom"/>
            <w:tcBorders>
              <w:bottom w:val="single" w:sz="8" w:color="793690"/>
            </w:tcBorders>
          </w:tcPr>
          <w:p>
            <w:pPr>
              <w:spacing w:after="0"/>
              <w:rPr>
                <w:sz w:val="2"/>
                <w:szCs w:val="2"/>
                <w:color w:val="auto"/>
              </w:rPr>
            </w:pPr>
          </w:p>
        </w:tc>
        <w:tc>
          <w:tcPr>
            <w:tcW w:w="1140" w:type="dxa"/>
            <w:vAlign w:val="bottom"/>
            <w:tcBorders>
              <w:bottom w:val="single" w:sz="8" w:color="793690"/>
            </w:tcBorders>
          </w:tcPr>
          <w:p>
            <w:pPr>
              <w:spacing w:after="0"/>
              <w:rPr>
                <w:sz w:val="2"/>
                <w:szCs w:val="2"/>
                <w:color w:val="auto"/>
              </w:rPr>
            </w:pPr>
          </w:p>
        </w:tc>
        <w:tc>
          <w:tcPr>
            <w:tcW w:w="160" w:type="dxa"/>
            <w:vAlign w:val="bottom"/>
            <w:tcBorders>
              <w:bottom w:val="single" w:sz="8" w:color="793690"/>
            </w:tcBorders>
          </w:tcPr>
          <w:p>
            <w:pPr>
              <w:spacing w:after="0"/>
              <w:rPr>
                <w:sz w:val="2"/>
                <w:szCs w:val="2"/>
                <w:color w:val="auto"/>
              </w:rPr>
            </w:pPr>
          </w:p>
        </w:tc>
        <w:tc>
          <w:tcPr>
            <w:tcW w:w="1140" w:type="dxa"/>
            <w:vAlign w:val="bottom"/>
            <w:tcBorders>
              <w:bottom w:val="single" w:sz="8" w:color="793690"/>
            </w:tcBorders>
          </w:tcPr>
          <w:p>
            <w:pPr>
              <w:spacing w:after="0"/>
              <w:rPr>
                <w:sz w:val="2"/>
                <w:szCs w:val="2"/>
                <w:color w:val="auto"/>
              </w:rPr>
            </w:pPr>
          </w:p>
        </w:tc>
        <w:tc>
          <w:tcPr>
            <w:tcW w:w="140" w:type="dxa"/>
            <w:vAlign w:val="bottom"/>
            <w:tcBorders>
              <w:bottom w:val="single" w:sz="8" w:color="793690"/>
            </w:tcBorders>
          </w:tcPr>
          <w:p>
            <w:pPr>
              <w:spacing w:after="0"/>
              <w:rPr>
                <w:sz w:val="2"/>
                <w:szCs w:val="2"/>
                <w:color w:val="auto"/>
              </w:rPr>
            </w:pPr>
          </w:p>
        </w:tc>
        <w:tc>
          <w:tcPr>
            <w:tcW w:w="1160" w:type="dxa"/>
            <w:vAlign w:val="bottom"/>
            <w:tcBorders>
              <w:bottom w:val="single" w:sz="8" w:color="793690"/>
            </w:tcBorders>
          </w:tcPr>
          <w:p>
            <w:pPr>
              <w:spacing w:after="0"/>
              <w:rPr>
                <w:sz w:val="2"/>
                <w:szCs w:val="2"/>
                <w:color w:val="auto"/>
              </w:rPr>
            </w:pPr>
          </w:p>
        </w:tc>
        <w:tc>
          <w:tcPr>
            <w:tcW w:w="1300" w:type="dxa"/>
            <w:vAlign w:val="bottom"/>
            <w:tcBorders>
              <w:bottom w:val="single" w:sz="8" w:color="79369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right="680"/>
        <w:spacing w:after="0" w:line="283" w:lineRule="auto"/>
        <w:rPr>
          <w:sz w:val="20"/>
          <w:szCs w:val="20"/>
          <w:color w:val="auto"/>
        </w:rPr>
      </w:pPr>
      <w:r>
        <w:rPr>
          <w:rFonts w:ascii="Arial" w:cs="Arial" w:eastAsia="Arial" w:hAnsi="Arial"/>
          <w:sz w:val="15"/>
          <w:szCs w:val="15"/>
          <w:color w:val="auto"/>
        </w:rPr>
        <w:t>Amounts due to exchanges, clearing houses and other counterparties, amounts payable to clients, trade payables and other creditors are aggregated on the statement of financial position in trade and other payables and disaggregated in note 11.</w:t>
      </w:r>
    </w:p>
    <w:p>
      <w:pPr>
        <w:sectPr>
          <w:pgSz w:w="11900" w:h="16838" w:orient="portrait"/>
          <w:cols w:equalWidth="0" w:num="1">
            <w:col w:w="11240"/>
          </w:cols>
          <w:pgMar w:left="320" w:top="13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22</w:t>
      </w:r>
    </w:p>
    <w:p>
      <w:pPr>
        <w:sectPr>
          <w:pgSz w:w="11900" w:h="16838" w:orient="portrait"/>
          <w:cols w:equalWidth="0" w:num="1">
            <w:col w:w="11240"/>
          </w:cols>
          <w:pgMar w:left="320" w:top="1353"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22"/>
          <w:szCs w:val="22"/>
          <w:b w:val="1"/>
          <w:bCs w:val="1"/>
          <w:color w:val="793690"/>
        </w:rPr>
        <w:t xml:space="preserve">Notes to the Unaudited Condensed Consolidated Financial Statements </w:t>
      </w:r>
      <w:r>
        <w:rPr>
          <w:rFonts w:ascii="Arial" w:cs="Arial" w:eastAsia="Arial" w:hAnsi="Arial"/>
          <w:sz w:val="22"/>
          <w:szCs w:val="22"/>
          <w:color w:val="793690"/>
        </w:rPr>
        <w:t>(continued)</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793690"/>
        </w:rPr>
        <w:t xml:space="preserve">13 Financial Instruments </w:t>
      </w:r>
      <w:r>
        <w:rPr>
          <w:rFonts w:ascii="Arial" w:cs="Arial" w:eastAsia="Arial" w:hAnsi="Arial"/>
          <w:sz w:val="18"/>
          <w:szCs w:val="18"/>
          <w:color w:val="793690"/>
        </w:rPr>
        <w:t>(continued)</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(b) Liquidity risk </w:t>
      </w:r>
      <w:r>
        <w:rPr>
          <w:rFonts w:ascii="Arial" w:cs="Arial" w:eastAsia="Arial" w:hAnsi="Arial"/>
          <w:sz w:val="15"/>
          <w:szCs w:val="15"/>
          <w:color w:val="auto"/>
        </w:rPr>
        <w:t>(continued)</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Shown below is the Group’s contractual maturity for non-derivative financial assets: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80" w:type="dxa"/>
            <w:vAlign w:val="bottom"/>
          </w:tcPr>
          <w:p>
            <w:pPr>
              <w:spacing w:after="0"/>
              <w:rPr>
                <w:sz w:val="13"/>
                <w:szCs w:val="13"/>
                <w:color w:val="auto"/>
              </w:rPr>
            </w:pPr>
          </w:p>
        </w:tc>
        <w:tc>
          <w:tcPr>
            <w:tcW w:w="1120" w:type="dxa"/>
            <w:vAlign w:val="bottom"/>
            <w:shd w:val="clear" w:color="auto" w:fill="F4EFF6"/>
          </w:tcPr>
          <w:p>
            <w:pPr>
              <w:spacing w:after="0"/>
              <w:rPr>
                <w:sz w:val="13"/>
                <w:szCs w:val="13"/>
                <w:color w:val="auto"/>
              </w:rPr>
            </w:pPr>
          </w:p>
        </w:tc>
        <w:tc>
          <w:tcPr>
            <w:tcW w:w="40" w:type="dxa"/>
            <w:vAlign w:val="bottom"/>
            <w:shd w:val="clear" w:color="auto" w:fill="F4EFF6"/>
          </w:tcPr>
          <w:p>
            <w:pPr>
              <w:spacing w:after="0"/>
              <w:rPr>
                <w:sz w:val="13"/>
                <w:szCs w:val="13"/>
                <w:color w:val="auto"/>
              </w:rPr>
            </w:pPr>
          </w:p>
        </w:tc>
        <w:tc>
          <w:tcPr>
            <w:tcW w:w="140" w:type="dxa"/>
            <w:vAlign w:val="bottom"/>
            <w:shd w:val="clear" w:color="auto" w:fill="F4EFF6"/>
          </w:tcPr>
          <w:p>
            <w:pPr>
              <w:spacing w:after="0"/>
              <w:rPr>
                <w:sz w:val="13"/>
                <w:szCs w:val="13"/>
                <w:color w:val="auto"/>
              </w:rPr>
            </w:pPr>
          </w:p>
        </w:tc>
        <w:tc>
          <w:tcPr>
            <w:tcW w:w="11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Less than 3</w:t>
            </w:r>
          </w:p>
        </w:tc>
        <w:tc>
          <w:tcPr>
            <w:tcW w:w="160" w:type="dxa"/>
            <w:vAlign w:val="bottom"/>
            <w:shd w:val="clear" w:color="auto" w:fill="F4EFF6"/>
          </w:tcPr>
          <w:p>
            <w:pPr>
              <w:spacing w:after="0"/>
              <w:rPr>
                <w:sz w:val="13"/>
                <w:szCs w:val="13"/>
                <w:color w:val="auto"/>
              </w:rPr>
            </w:pPr>
          </w:p>
        </w:tc>
        <w:tc>
          <w:tcPr>
            <w:tcW w:w="11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 to 12</w:t>
            </w:r>
          </w:p>
        </w:tc>
        <w:tc>
          <w:tcPr>
            <w:tcW w:w="160" w:type="dxa"/>
            <w:vAlign w:val="bottom"/>
            <w:shd w:val="clear" w:color="auto" w:fill="F4EFF6"/>
          </w:tcPr>
          <w:p>
            <w:pPr>
              <w:spacing w:after="0"/>
              <w:rPr>
                <w:sz w:val="13"/>
                <w:szCs w:val="13"/>
                <w:color w:val="auto"/>
              </w:rPr>
            </w:pPr>
          </w:p>
        </w:tc>
        <w:tc>
          <w:tcPr>
            <w:tcW w:w="11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1 to 5</w:t>
            </w:r>
          </w:p>
        </w:tc>
        <w:tc>
          <w:tcPr>
            <w:tcW w:w="140" w:type="dxa"/>
            <w:vAlign w:val="bottom"/>
            <w:shd w:val="clear" w:color="auto" w:fill="F4EFF6"/>
          </w:tcPr>
          <w:p>
            <w:pPr>
              <w:spacing w:after="0"/>
              <w:rPr>
                <w:sz w:val="13"/>
                <w:szCs w:val="13"/>
                <w:color w:val="auto"/>
              </w:rPr>
            </w:pPr>
          </w:p>
        </w:tc>
        <w:tc>
          <w:tcPr>
            <w:tcW w:w="1480" w:type="dxa"/>
            <w:vAlign w:val="bottom"/>
            <w:shd w:val="clear" w:color="auto" w:fill="F4EFF6"/>
          </w:tcPr>
          <w:p>
            <w:pPr>
              <w:spacing w:after="0"/>
              <w:rPr>
                <w:sz w:val="13"/>
                <w:szCs w:val="13"/>
                <w:color w:val="auto"/>
              </w:rPr>
            </w:pPr>
          </w:p>
        </w:tc>
        <w:tc>
          <w:tcPr>
            <w:tcW w:w="980" w:type="dxa"/>
            <w:vAlign w:val="bottom"/>
            <w:shd w:val="clear" w:color="auto" w:fill="F4EFF6"/>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160" w:type="dxa"/>
            <w:vAlign w:val="bottom"/>
            <w:gridSpan w:val="2"/>
            <w:shd w:val="clear" w:color="auto" w:fill="F4EFF6"/>
          </w:tcPr>
          <w:p>
            <w:pPr>
              <w:jc w:val="right"/>
              <w:ind w:right="20"/>
              <w:spacing w:after="0"/>
              <w:rPr>
                <w:sz w:val="20"/>
                <w:szCs w:val="20"/>
                <w:color w:val="auto"/>
              </w:rPr>
            </w:pPr>
            <w:r>
              <w:rPr>
                <w:rFonts w:ascii="Arial" w:cs="Arial" w:eastAsia="Arial" w:hAnsi="Arial"/>
                <w:sz w:val="13"/>
                <w:szCs w:val="13"/>
                <w:b w:val="1"/>
                <w:bCs w:val="1"/>
                <w:color w:val="auto"/>
              </w:rPr>
              <w:t>On demand</w:t>
            </w:r>
          </w:p>
        </w:tc>
        <w:tc>
          <w:tcPr>
            <w:tcW w:w="140" w:type="dxa"/>
            <w:vAlign w:val="bottom"/>
            <w:shd w:val="clear" w:color="auto" w:fill="F4EFF6"/>
          </w:tcPr>
          <w:p>
            <w:pPr>
              <w:spacing w:after="0"/>
              <w:rPr>
                <w:sz w:val="12"/>
                <w:szCs w:val="12"/>
                <w:color w:val="auto"/>
              </w:rPr>
            </w:pPr>
          </w:p>
        </w:tc>
        <w:tc>
          <w:tcPr>
            <w:tcW w:w="11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months</w:t>
            </w:r>
          </w:p>
        </w:tc>
        <w:tc>
          <w:tcPr>
            <w:tcW w:w="160" w:type="dxa"/>
            <w:vAlign w:val="bottom"/>
            <w:shd w:val="clear" w:color="auto" w:fill="F4EFF6"/>
          </w:tcPr>
          <w:p>
            <w:pPr>
              <w:spacing w:after="0"/>
              <w:rPr>
                <w:sz w:val="12"/>
                <w:szCs w:val="12"/>
                <w:color w:val="auto"/>
              </w:rPr>
            </w:pPr>
          </w:p>
        </w:tc>
        <w:tc>
          <w:tcPr>
            <w:tcW w:w="11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months</w:t>
            </w:r>
          </w:p>
        </w:tc>
        <w:tc>
          <w:tcPr>
            <w:tcW w:w="160" w:type="dxa"/>
            <w:vAlign w:val="bottom"/>
            <w:shd w:val="clear" w:color="auto" w:fill="F4EFF6"/>
          </w:tcPr>
          <w:p>
            <w:pPr>
              <w:spacing w:after="0"/>
              <w:rPr>
                <w:sz w:val="12"/>
                <w:szCs w:val="12"/>
                <w:color w:val="auto"/>
              </w:rPr>
            </w:pPr>
          </w:p>
        </w:tc>
        <w:tc>
          <w:tcPr>
            <w:tcW w:w="11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years</w:t>
            </w:r>
          </w:p>
        </w:tc>
        <w:tc>
          <w:tcPr>
            <w:tcW w:w="140" w:type="dxa"/>
            <w:vAlign w:val="bottom"/>
            <w:shd w:val="clear" w:color="auto" w:fill="F4EFF6"/>
          </w:tcPr>
          <w:p>
            <w:pPr>
              <w:spacing w:after="0"/>
              <w:rPr>
                <w:sz w:val="12"/>
                <w:szCs w:val="12"/>
                <w:color w:val="auto"/>
              </w:rPr>
            </w:pPr>
          </w:p>
        </w:tc>
        <w:tc>
          <w:tcPr>
            <w:tcW w:w="1480" w:type="dxa"/>
            <w:vAlign w:val="bottom"/>
            <w:shd w:val="clear" w:color="auto" w:fill="F4EFF6"/>
          </w:tcPr>
          <w:p>
            <w:pPr>
              <w:jc w:val="right"/>
              <w:ind w:right="265"/>
              <w:spacing w:after="0"/>
              <w:rPr>
                <w:sz w:val="20"/>
                <w:szCs w:val="20"/>
                <w:color w:val="auto"/>
              </w:rPr>
            </w:pPr>
            <w:r>
              <w:rPr>
                <w:rFonts w:ascii="Arial" w:cs="Arial" w:eastAsia="Arial" w:hAnsi="Arial"/>
                <w:sz w:val="13"/>
                <w:szCs w:val="13"/>
                <w:b w:val="1"/>
                <w:bCs w:val="1"/>
                <w:color w:val="auto"/>
              </w:rPr>
              <w:t>More than 5 years</w:t>
            </w:r>
          </w:p>
        </w:tc>
        <w:tc>
          <w:tcPr>
            <w:tcW w:w="98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7"/>
        </w:trPr>
        <w:tc>
          <w:tcPr>
            <w:tcW w:w="3580" w:type="dxa"/>
            <w:vAlign w:val="bottom"/>
          </w:tcPr>
          <w:p>
            <w:pPr>
              <w:ind w:left="20"/>
              <w:spacing w:after="0"/>
              <w:rPr>
                <w:sz w:val="20"/>
                <w:szCs w:val="20"/>
                <w:color w:val="auto"/>
              </w:rPr>
            </w:pPr>
            <w:r>
              <w:rPr>
                <w:rFonts w:ascii="Arial" w:cs="Arial" w:eastAsia="Arial" w:hAnsi="Arial"/>
                <w:sz w:val="13"/>
                <w:szCs w:val="13"/>
                <w:b w:val="1"/>
                <w:bCs w:val="1"/>
                <w:color w:val="auto"/>
              </w:rPr>
              <w:t>30 June 2025</w:t>
            </w:r>
          </w:p>
        </w:tc>
        <w:tc>
          <w:tcPr>
            <w:tcW w:w="1160" w:type="dxa"/>
            <w:vAlign w:val="bottom"/>
            <w:tcBorders>
              <w:bottom w:val="single" w:sz="8" w:color="F4EFF6"/>
            </w:tcBorders>
            <w:gridSpan w:val="2"/>
            <w:shd w:val="clear" w:color="auto" w:fill="F4EFF6"/>
          </w:tcPr>
          <w:p>
            <w:pPr>
              <w:jc w:val="right"/>
              <w:ind w:right="20"/>
              <w:spacing w:after="0"/>
              <w:rPr>
                <w:sz w:val="20"/>
                <w:szCs w:val="20"/>
                <w:color w:val="auto"/>
              </w:rPr>
            </w:pPr>
            <w:r>
              <w:rPr>
                <w:rFonts w:ascii="Arial" w:cs="Arial" w:eastAsia="Arial" w:hAnsi="Arial"/>
                <w:sz w:val="13"/>
                <w:szCs w:val="13"/>
                <w:b w:val="1"/>
                <w:bCs w:val="1"/>
                <w:color w:val="auto"/>
              </w:rPr>
              <w:t>$m</w:t>
            </w:r>
          </w:p>
        </w:tc>
        <w:tc>
          <w:tcPr>
            <w:tcW w:w="140" w:type="dxa"/>
            <w:vAlign w:val="bottom"/>
            <w:tcBorders>
              <w:bottom w:val="single" w:sz="8" w:color="F4EFF6"/>
            </w:tcBorders>
            <w:shd w:val="clear" w:color="auto" w:fill="F4EFF6"/>
          </w:tcPr>
          <w:p>
            <w:pPr>
              <w:spacing w:after="0"/>
              <w:rPr>
                <w:sz w:val="18"/>
                <w:szCs w:val="18"/>
                <w:color w:val="auto"/>
              </w:rPr>
            </w:pPr>
          </w:p>
        </w:tc>
        <w:tc>
          <w:tcPr>
            <w:tcW w:w="114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60" w:type="dxa"/>
            <w:vAlign w:val="bottom"/>
            <w:tcBorders>
              <w:bottom w:val="single" w:sz="8" w:color="F4EFF6"/>
            </w:tcBorders>
            <w:shd w:val="clear" w:color="auto" w:fill="F4EFF6"/>
          </w:tcPr>
          <w:p>
            <w:pPr>
              <w:spacing w:after="0"/>
              <w:rPr>
                <w:sz w:val="18"/>
                <w:szCs w:val="18"/>
                <w:color w:val="auto"/>
              </w:rPr>
            </w:pPr>
          </w:p>
        </w:tc>
        <w:tc>
          <w:tcPr>
            <w:tcW w:w="114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60" w:type="dxa"/>
            <w:vAlign w:val="bottom"/>
            <w:tcBorders>
              <w:bottom w:val="single" w:sz="8" w:color="F4EFF6"/>
            </w:tcBorders>
            <w:shd w:val="clear" w:color="auto" w:fill="F4EFF6"/>
          </w:tcPr>
          <w:p>
            <w:pPr>
              <w:spacing w:after="0"/>
              <w:rPr>
                <w:sz w:val="18"/>
                <w:szCs w:val="18"/>
                <w:color w:val="auto"/>
              </w:rPr>
            </w:pPr>
          </w:p>
        </w:tc>
        <w:tc>
          <w:tcPr>
            <w:tcW w:w="114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40" w:type="dxa"/>
            <w:vAlign w:val="bottom"/>
            <w:tcBorders>
              <w:bottom w:val="single" w:sz="8" w:color="F4EFF6"/>
            </w:tcBorders>
            <w:shd w:val="clear" w:color="auto" w:fill="F4EFF6"/>
          </w:tcPr>
          <w:p>
            <w:pPr>
              <w:spacing w:after="0"/>
              <w:rPr>
                <w:sz w:val="18"/>
                <w:szCs w:val="18"/>
                <w:color w:val="auto"/>
              </w:rPr>
            </w:pPr>
          </w:p>
        </w:tc>
        <w:tc>
          <w:tcPr>
            <w:tcW w:w="1480" w:type="dxa"/>
            <w:vAlign w:val="bottom"/>
            <w:tcBorders>
              <w:bottom w:val="single" w:sz="8" w:color="F4EFF6"/>
            </w:tcBorders>
            <w:shd w:val="clear" w:color="auto" w:fill="F4EFF6"/>
          </w:tcPr>
          <w:p>
            <w:pPr>
              <w:jc w:val="right"/>
              <w:ind w:right="265"/>
              <w:spacing w:after="0"/>
              <w:rPr>
                <w:sz w:val="20"/>
                <w:szCs w:val="20"/>
                <w:color w:val="auto"/>
              </w:rPr>
            </w:pPr>
            <w:r>
              <w:rPr>
                <w:rFonts w:ascii="Arial" w:cs="Arial" w:eastAsia="Arial" w:hAnsi="Arial"/>
                <w:sz w:val="13"/>
                <w:szCs w:val="13"/>
                <w:b w:val="1"/>
                <w:bCs w:val="1"/>
                <w:color w:val="auto"/>
              </w:rPr>
              <w:t>$m</w:t>
            </w:r>
          </w:p>
        </w:tc>
        <w:tc>
          <w:tcPr>
            <w:tcW w:w="98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0" w:type="dxa"/>
            <w:vAlign w:val="bottom"/>
          </w:tcPr>
          <w:p>
            <w:pPr>
              <w:spacing w:after="0"/>
              <w:rPr>
                <w:sz w:val="1"/>
                <w:szCs w:val="1"/>
                <w:color w:val="auto"/>
              </w:rPr>
            </w:pPr>
          </w:p>
        </w:tc>
      </w:tr>
      <w:tr>
        <w:trPr>
          <w:trHeight w:val="237"/>
        </w:trPr>
        <w:tc>
          <w:tcPr>
            <w:tcW w:w="358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Treasury instruments</w:t>
            </w:r>
          </w:p>
        </w:tc>
        <w:tc>
          <w:tcPr>
            <w:tcW w:w="112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9.5</w:t>
            </w:r>
          </w:p>
        </w:tc>
        <w:tc>
          <w:tcPr>
            <w:tcW w:w="40" w:type="dxa"/>
            <w:vAlign w:val="bottom"/>
            <w:tcBorders>
              <w:top w:val="single" w:sz="8" w:color="793690"/>
              <w:bottom w:val="single" w:sz="8" w:color="F4EFF6"/>
            </w:tcBorders>
            <w:shd w:val="clear" w:color="auto" w:fill="F4EFF6"/>
          </w:tcPr>
          <w:p>
            <w:pPr>
              <w:spacing w:after="0"/>
              <w:rPr>
                <w:sz w:val="20"/>
                <w:szCs w:val="20"/>
                <w:color w:val="auto"/>
              </w:rPr>
            </w:pPr>
          </w:p>
        </w:tc>
        <w:tc>
          <w:tcPr>
            <w:tcW w:w="1280" w:type="dxa"/>
            <w:vAlign w:val="bottom"/>
            <w:tcBorders>
              <w:top w:val="single" w:sz="8" w:color="793690"/>
              <w:bottom w:val="single" w:sz="8" w:color="F4EFF6"/>
            </w:tcBorders>
            <w:gridSpan w:val="2"/>
            <w:shd w:val="clear" w:color="auto" w:fill="F4EFF6"/>
          </w:tcPr>
          <w:p>
            <w:pPr>
              <w:jc w:val="right"/>
              <w:spacing w:after="0"/>
              <w:rPr>
                <w:sz w:val="20"/>
                <w:szCs w:val="20"/>
                <w:color w:val="auto"/>
              </w:rPr>
            </w:pPr>
            <w:r>
              <w:rPr>
                <w:rFonts w:ascii="Arial" w:cs="Arial" w:eastAsia="Arial" w:hAnsi="Arial"/>
                <w:sz w:val="15"/>
                <w:szCs w:val="15"/>
                <w:b w:val="1"/>
                <w:bCs w:val="1"/>
                <w:color w:val="auto"/>
              </w:rPr>
              <w:t>2,856.8</w:t>
            </w:r>
          </w:p>
        </w:tc>
        <w:tc>
          <w:tcPr>
            <w:tcW w:w="1300" w:type="dxa"/>
            <w:vAlign w:val="bottom"/>
            <w:tcBorders>
              <w:top w:val="single" w:sz="8" w:color="793690"/>
              <w:bottom w:val="single" w:sz="8" w:color="F4EFF6"/>
            </w:tcBorders>
            <w:gridSpan w:val="2"/>
            <w:shd w:val="clear" w:color="auto" w:fill="F4EFF6"/>
          </w:tcPr>
          <w:p>
            <w:pPr>
              <w:jc w:val="right"/>
              <w:spacing w:after="0"/>
              <w:rPr>
                <w:sz w:val="20"/>
                <w:szCs w:val="20"/>
                <w:color w:val="auto"/>
              </w:rPr>
            </w:pPr>
            <w:r>
              <w:rPr>
                <w:rFonts w:ascii="Arial" w:cs="Arial" w:eastAsia="Arial" w:hAnsi="Arial"/>
                <w:sz w:val="15"/>
                <w:szCs w:val="15"/>
                <w:b w:val="1"/>
                <w:bCs w:val="1"/>
                <w:color w:val="auto"/>
              </w:rPr>
              <w:t>204.1</w:t>
            </w:r>
          </w:p>
        </w:tc>
        <w:tc>
          <w:tcPr>
            <w:tcW w:w="1300" w:type="dxa"/>
            <w:vAlign w:val="bottom"/>
            <w:tcBorders>
              <w:top w:val="single" w:sz="8" w:color="793690"/>
              <w:bottom w:val="single" w:sz="8" w:color="F4EFF6"/>
            </w:tcBorders>
            <w:gridSpan w:val="2"/>
            <w:shd w:val="clear" w:color="auto" w:fill="F4EFF6"/>
          </w:tcPr>
          <w:p>
            <w:pPr>
              <w:jc w:val="right"/>
              <w:spacing w:after="0"/>
              <w:rPr>
                <w:sz w:val="20"/>
                <w:szCs w:val="20"/>
                <w:color w:val="auto"/>
              </w:rPr>
            </w:pPr>
            <w:r>
              <w:rPr>
                <w:rFonts w:ascii="Arial" w:cs="Arial" w:eastAsia="Arial" w:hAnsi="Arial"/>
                <w:sz w:val="15"/>
                <w:szCs w:val="15"/>
                <w:b w:val="1"/>
                <w:bCs w:val="1"/>
                <w:color w:val="auto"/>
              </w:rPr>
              <w:t>350.1</w:t>
            </w:r>
          </w:p>
        </w:tc>
        <w:tc>
          <w:tcPr>
            <w:tcW w:w="1620" w:type="dxa"/>
            <w:vAlign w:val="bottom"/>
            <w:tcBorders>
              <w:top w:val="single" w:sz="8" w:color="793690"/>
              <w:bottom w:val="single" w:sz="8" w:color="F4EFF6"/>
            </w:tcBorders>
            <w:gridSpan w:val="2"/>
            <w:shd w:val="clear" w:color="auto" w:fill="F4EFF6"/>
          </w:tcPr>
          <w:p>
            <w:pPr>
              <w:jc w:val="right"/>
              <w:ind w:right="325"/>
              <w:spacing w:after="0"/>
              <w:rPr>
                <w:sz w:val="20"/>
                <w:szCs w:val="20"/>
                <w:color w:val="auto"/>
              </w:rPr>
            </w:pPr>
            <w:r>
              <w:rPr>
                <w:rFonts w:ascii="Arial" w:cs="Arial" w:eastAsia="Arial" w:hAnsi="Arial"/>
                <w:sz w:val="15"/>
                <w:szCs w:val="15"/>
                <w:b w:val="1"/>
                <w:bCs w:val="1"/>
                <w:color w:val="auto"/>
              </w:rPr>
              <w:t>7.5</w:t>
            </w:r>
          </w:p>
        </w:tc>
        <w:tc>
          <w:tcPr>
            <w:tcW w:w="98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3,428.0</w:t>
            </w:r>
          </w:p>
        </w:tc>
        <w:tc>
          <w:tcPr>
            <w:tcW w:w="0" w:type="dxa"/>
            <w:vAlign w:val="bottom"/>
          </w:tcPr>
          <w:p>
            <w:pPr>
              <w:spacing w:after="0"/>
              <w:rPr>
                <w:sz w:val="1"/>
                <w:szCs w:val="1"/>
                <w:color w:val="auto"/>
              </w:rPr>
            </w:pPr>
          </w:p>
        </w:tc>
      </w:tr>
      <w:tr>
        <w:trPr>
          <w:trHeight w:val="237"/>
        </w:trPr>
        <w:tc>
          <w:tcPr>
            <w:tcW w:w="35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Fixed income securities</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105.4</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480" w:type="dxa"/>
            <w:vAlign w:val="bottom"/>
            <w:tcBorders>
              <w:top w:val="single" w:sz="8" w:color="DADAE7"/>
              <w:bottom w:val="single" w:sz="8" w:color="F4EFF6"/>
            </w:tcBorders>
            <w:shd w:val="clear" w:color="auto" w:fill="F4EFF6"/>
          </w:tcPr>
          <w:p>
            <w:pPr>
              <w:jc w:val="right"/>
              <w:ind w:right="325"/>
              <w:spacing w:after="0"/>
              <w:rPr>
                <w:sz w:val="20"/>
                <w:szCs w:val="20"/>
                <w:color w:val="auto"/>
              </w:rPr>
            </w:pPr>
            <w:r>
              <w:rPr>
                <w:rFonts w:ascii="Arial" w:cs="Arial" w:eastAsia="Arial" w:hAnsi="Arial"/>
                <w:sz w:val="15"/>
                <w:szCs w:val="15"/>
                <w:b w:val="1"/>
                <w:bCs w:val="1"/>
                <w:color w:val="auto"/>
              </w:rPr>
              <w:t>—</w:t>
            </w:r>
          </w:p>
        </w:tc>
        <w:tc>
          <w:tcPr>
            <w:tcW w:w="9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105.4</w:t>
            </w:r>
          </w:p>
        </w:tc>
        <w:tc>
          <w:tcPr>
            <w:tcW w:w="0" w:type="dxa"/>
            <w:vAlign w:val="bottom"/>
          </w:tcPr>
          <w:p>
            <w:pPr>
              <w:spacing w:after="0"/>
              <w:rPr>
                <w:sz w:val="1"/>
                <w:szCs w:val="1"/>
                <w:color w:val="auto"/>
              </w:rPr>
            </w:pPr>
          </w:p>
        </w:tc>
      </w:tr>
      <w:tr>
        <w:trPr>
          <w:trHeight w:val="236"/>
        </w:trPr>
        <w:tc>
          <w:tcPr>
            <w:tcW w:w="35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Equity instruments</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6,038.4</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480" w:type="dxa"/>
            <w:vAlign w:val="bottom"/>
            <w:tcBorders>
              <w:top w:val="single" w:sz="8" w:color="DADAE7"/>
              <w:bottom w:val="single" w:sz="8" w:color="F4EFF6"/>
            </w:tcBorders>
            <w:shd w:val="clear" w:color="auto" w:fill="F4EFF6"/>
          </w:tcPr>
          <w:p>
            <w:pPr>
              <w:jc w:val="right"/>
              <w:ind w:right="325"/>
              <w:spacing w:after="0"/>
              <w:rPr>
                <w:sz w:val="20"/>
                <w:szCs w:val="20"/>
                <w:color w:val="auto"/>
              </w:rPr>
            </w:pPr>
            <w:r>
              <w:rPr>
                <w:rFonts w:ascii="Arial" w:cs="Arial" w:eastAsia="Arial" w:hAnsi="Arial"/>
                <w:sz w:val="15"/>
                <w:szCs w:val="15"/>
                <w:b w:val="1"/>
                <w:bCs w:val="1"/>
                <w:color w:val="auto"/>
              </w:rPr>
              <w:t>—</w:t>
            </w:r>
          </w:p>
        </w:tc>
        <w:tc>
          <w:tcPr>
            <w:tcW w:w="9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6,038.4</w:t>
            </w:r>
          </w:p>
        </w:tc>
        <w:tc>
          <w:tcPr>
            <w:tcW w:w="0" w:type="dxa"/>
            <w:vAlign w:val="bottom"/>
          </w:tcPr>
          <w:p>
            <w:pPr>
              <w:spacing w:after="0"/>
              <w:rPr>
                <w:sz w:val="1"/>
                <w:szCs w:val="1"/>
                <w:color w:val="auto"/>
              </w:rPr>
            </w:pPr>
          </w:p>
        </w:tc>
      </w:tr>
      <w:tr>
        <w:trPr>
          <w:trHeight w:val="237"/>
        </w:trPr>
        <w:tc>
          <w:tcPr>
            <w:tcW w:w="35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Stock borrowing</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2,495.1</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480" w:type="dxa"/>
            <w:vAlign w:val="bottom"/>
            <w:tcBorders>
              <w:top w:val="single" w:sz="8" w:color="DADAE7"/>
              <w:bottom w:val="single" w:sz="8" w:color="F4EFF6"/>
            </w:tcBorders>
            <w:shd w:val="clear" w:color="auto" w:fill="F4EFF6"/>
          </w:tcPr>
          <w:p>
            <w:pPr>
              <w:jc w:val="right"/>
              <w:ind w:right="325"/>
              <w:spacing w:after="0"/>
              <w:rPr>
                <w:sz w:val="20"/>
                <w:szCs w:val="20"/>
                <w:color w:val="auto"/>
              </w:rPr>
            </w:pPr>
            <w:r>
              <w:rPr>
                <w:rFonts w:ascii="Arial" w:cs="Arial" w:eastAsia="Arial" w:hAnsi="Arial"/>
                <w:sz w:val="15"/>
                <w:szCs w:val="15"/>
                <w:b w:val="1"/>
                <w:bCs w:val="1"/>
                <w:color w:val="auto"/>
              </w:rPr>
              <w:t>—</w:t>
            </w:r>
          </w:p>
        </w:tc>
        <w:tc>
          <w:tcPr>
            <w:tcW w:w="9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2,495.1</w:t>
            </w:r>
          </w:p>
        </w:tc>
        <w:tc>
          <w:tcPr>
            <w:tcW w:w="0" w:type="dxa"/>
            <w:vAlign w:val="bottom"/>
          </w:tcPr>
          <w:p>
            <w:pPr>
              <w:spacing w:after="0"/>
              <w:rPr>
                <w:sz w:val="1"/>
                <w:szCs w:val="1"/>
                <w:color w:val="auto"/>
              </w:rPr>
            </w:pPr>
          </w:p>
        </w:tc>
      </w:tr>
      <w:tr>
        <w:trPr>
          <w:trHeight w:val="237"/>
        </w:trPr>
        <w:tc>
          <w:tcPr>
            <w:tcW w:w="35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Reverse repurchase agreements</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6.8</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2,600.4</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480" w:type="dxa"/>
            <w:vAlign w:val="bottom"/>
            <w:tcBorders>
              <w:top w:val="single" w:sz="8" w:color="DADAE7"/>
              <w:bottom w:val="single" w:sz="8" w:color="F4EFF6"/>
            </w:tcBorders>
            <w:shd w:val="clear" w:color="auto" w:fill="F4EFF6"/>
          </w:tcPr>
          <w:p>
            <w:pPr>
              <w:jc w:val="right"/>
              <w:ind w:right="325"/>
              <w:spacing w:after="0"/>
              <w:rPr>
                <w:sz w:val="20"/>
                <w:szCs w:val="20"/>
                <w:color w:val="auto"/>
              </w:rPr>
            </w:pPr>
            <w:r>
              <w:rPr>
                <w:rFonts w:ascii="Arial" w:cs="Arial" w:eastAsia="Arial" w:hAnsi="Arial"/>
                <w:sz w:val="15"/>
                <w:szCs w:val="15"/>
                <w:b w:val="1"/>
                <w:bCs w:val="1"/>
                <w:color w:val="auto"/>
              </w:rPr>
              <w:t>—</w:t>
            </w:r>
          </w:p>
        </w:tc>
        <w:tc>
          <w:tcPr>
            <w:tcW w:w="9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2,607.2</w:t>
            </w:r>
          </w:p>
        </w:tc>
        <w:tc>
          <w:tcPr>
            <w:tcW w:w="0" w:type="dxa"/>
            <w:vAlign w:val="bottom"/>
          </w:tcPr>
          <w:p>
            <w:pPr>
              <w:spacing w:after="0"/>
              <w:rPr>
                <w:sz w:val="1"/>
                <w:szCs w:val="1"/>
                <w:color w:val="auto"/>
              </w:rPr>
            </w:pPr>
          </w:p>
        </w:tc>
      </w:tr>
      <w:tr>
        <w:trPr>
          <w:trHeight w:val="179"/>
        </w:trPr>
        <w:tc>
          <w:tcPr>
            <w:tcW w:w="35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Amounts due from exchanges, clearing houses and</w:t>
            </w:r>
          </w:p>
        </w:tc>
        <w:tc>
          <w:tcPr>
            <w:tcW w:w="1120" w:type="dxa"/>
            <w:vAlign w:val="bottom"/>
            <w:tcBorders>
              <w:top w:val="single" w:sz="8" w:color="DADAE7"/>
            </w:tcBorders>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4,925.0</w:t>
            </w:r>
          </w:p>
        </w:tc>
        <w:tc>
          <w:tcPr>
            <w:tcW w:w="40" w:type="dxa"/>
            <w:vAlign w:val="bottom"/>
            <w:tcBorders>
              <w:top w:val="single" w:sz="8" w:color="DADAE7"/>
            </w:tcBorders>
            <w:shd w:val="clear" w:color="auto" w:fill="F4EFF6"/>
          </w:tcPr>
          <w:p>
            <w:pPr>
              <w:spacing w:after="0"/>
              <w:rPr>
                <w:sz w:val="15"/>
                <w:szCs w:val="15"/>
                <w:color w:val="auto"/>
              </w:rPr>
            </w:pPr>
          </w:p>
        </w:tc>
        <w:tc>
          <w:tcPr>
            <w:tcW w:w="140" w:type="dxa"/>
            <w:vAlign w:val="bottom"/>
            <w:tcBorders>
              <w:top w:val="single" w:sz="8" w:color="DADAE7"/>
            </w:tcBorders>
            <w:shd w:val="clear" w:color="auto" w:fill="F4EFF6"/>
          </w:tcPr>
          <w:p>
            <w:pPr>
              <w:spacing w:after="0"/>
              <w:rPr>
                <w:sz w:val="15"/>
                <w:szCs w:val="15"/>
                <w:color w:val="auto"/>
              </w:rPr>
            </w:pPr>
          </w:p>
        </w:tc>
        <w:tc>
          <w:tcPr>
            <w:tcW w:w="1140" w:type="dxa"/>
            <w:vAlign w:val="bottom"/>
            <w:tcBorders>
              <w:top w:val="single" w:sz="8" w:color="DADAE7"/>
            </w:tcBorders>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Borders>
              <w:top w:val="single" w:sz="8" w:color="DADAE7"/>
            </w:tcBorders>
            <w:shd w:val="clear" w:color="auto" w:fill="F4EFF6"/>
          </w:tcPr>
          <w:p>
            <w:pPr>
              <w:spacing w:after="0"/>
              <w:rPr>
                <w:sz w:val="15"/>
                <w:szCs w:val="15"/>
                <w:color w:val="auto"/>
              </w:rPr>
            </w:pPr>
          </w:p>
        </w:tc>
        <w:tc>
          <w:tcPr>
            <w:tcW w:w="1140" w:type="dxa"/>
            <w:vAlign w:val="bottom"/>
            <w:tcBorders>
              <w:top w:val="single" w:sz="8" w:color="DADAE7"/>
            </w:tcBorders>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Borders>
              <w:top w:val="single" w:sz="8" w:color="DADAE7"/>
            </w:tcBorders>
            <w:shd w:val="clear" w:color="auto" w:fill="F4EFF6"/>
          </w:tcPr>
          <w:p>
            <w:pPr>
              <w:spacing w:after="0"/>
              <w:rPr>
                <w:sz w:val="15"/>
                <w:szCs w:val="15"/>
                <w:color w:val="auto"/>
              </w:rPr>
            </w:pPr>
          </w:p>
        </w:tc>
        <w:tc>
          <w:tcPr>
            <w:tcW w:w="1140" w:type="dxa"/>
            <w:vAlign w:val="bottom"/>
            <w:tcBorders>
              <w:top w:val="single" w:sz="8" w:color="DADAE7"/>
            </w:tcBorders>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Borders>
              <w:top w:val="single" w:sz="8" w:color="DADAE7"/>
            </w:tcBorders>
            <w:shd w:val="clear" w:color="auto" w:fill="F4EFF6"/>
          </w:tcPr>
          <w:p>
            <w:pPr>
              <w:spacing w:after="0"/>
              <w:rPr>
                <w:sz w:val="15"/>
                <w:szCs w:val="15"/>
                <w:color w:val="auto"/>
              </w:rPr>
            </w:pPr>
          </w:p>
        </w:tc>
        <w:tc>
          <w:tcPr>
            <w:tcW w:w="1480" w:type="dxa"/>
            <w:vAlign w:val="bottom"/>
            <w:tcBorders>
              <w:top w:val="single" w:sz="8" w:color="DADAE7"/>
            </w:tcBorders>
            <w:vMerge w:val="restart"/>
            <w:shd w:val="clear" w:color="auto" w:fill="F4EFF6"/>
          </w:tcPr>
          <w:p>
            <w:pPr>
              <w:jc w:val="right"/>
              <w:ind w:right="325"/>
              <w:spacing w:after="0"/>
              <w:rPr>
                <w:sz w:val="20"/>
                <w:szCs w:val="20"/>
                <w:color w:val="auto"/>
              </w:rPr>
            </w:pPr>
            <w:r>
              <w:rPr>
                <w:rFonts w:ascii="Arial" w:cs="Arial" w:eastAsia="Arial" w:hAnsi="Arial"/>
                <w:sz w:val="15"/>
                <w:szCs w:val="15"/>
                <w:b w:val="1"/>
                <w:bCs w:val="1"/>
                <w:color w:val="auto"/>
              </w:rPr>
              <w:t>—</w:t>
            </w:r>
          </w:p>
        </w:tc>
        <w:tc>
          <w:tcPr>
            <w:tcW w:w="980" w:type="dxa"/>
            <w:vAlign w:val="bottom"/>
            <w:tcBorders>
              <w:top w:val="single" w:sz="8" w:color="DADAE7"/>
            </w:tcBorders>
            <w:vMerge w:val="restart"/>
            <w:shd w:val="clear" w:color="auto" w:fill="F4EFF6"/>
          </w:tcPr>
          <w:p>
            <w:pPr>
              <w:jc w:val="right"/>
              <w:spacing w:after="0"/>
              <w:rPr>
                <w:sz w:val="20"/>
                <w:szCs w:val="20"/>
                <w:color w:val="auto"/>
              </w:rPr>
            </w:pPr>
            <w:r>
              <w:rPr>
                <w:rFonts w:ascii="Arial" w:cs="Arial" w:eastAsia="Arial" w:hAnsi="Arial"/>
                <w:sz w:val="15"/>
                <w:szCs w:val="15"/>
                <w:b w:val="1"/>
                <w:bCs w:val="1"/>
                <w:color w:val="auto"/>
              </w:rPr>
              <w:t>4,925.0</w:t>
            </w:r>
          </w:p>
        </w:tc>
        <w:tc>
          <w:tcPr>
            <w:tcW w:w="0" w:type="dxa"/>
            <w:vAlign w:val="bottom"/>
          </w:tcPr>
          <w:p>
            <w:pPr>
              <w:spacing w:after="0"/>
              <w:rPr>
                <w:sz w:val="1"/>
                <w:szCs w:val="1"/>
                <w:color w:val="auto"/>
              </w:rPr>
            </w:pPr>
          </w:p>
        </w:tc>
      </w:tr>
      <w:tr>
        <w:trPr>
          <w:trHeight w:val="233"/>
        </w:trPr>
        <w:tc>
          <w:tcPr>
            <w:tcW w:w="3580" w:type="dxa"/>
            <w:vAlign w:val="bottom"/>
          </w:tcPr>
          <w:p>
            <w:pPr>
              <w:ind w:left="20"/>
              <w:spacing w:after="0"/>
              <w:rPr>
                <w:sz w:val="20"/>
                <w:szCs w:val="20"/>
                <w:color w:val="auto"/>
              </w:rPr>
            </w:pPr>
            <w:r>
              <w:rPr>
                <w:rFonts w:ascii="Arial" w:cs="Arial" w:eastAsia="Arial" w:hAnsi="Arial"/>
                <w:sz w:val="15"/>
                <w:szCs w:val="15"/>
                <w:color w:val="auto"/>
              </w:rPr>
              <w:t>other counterparties</w:t>
            </w:r>
          </w:p>
        </w:tc>
        <w:tc>
          <w:tcPr>
            <w:tcW w:w="1120" w:type="dxa"/>
            <w:vAlign w:val="bottom"/>
            <w:tcBorders>
              <w:bottom w:val="single" w:sz="8" w:color="F4EFF6"/>
            </w:tcBorders>
            <w:vMerge w:val="continue"/>
            <w:shd w:val="clear" w:color="auto" w:fill="F4EFF6"/>
          </w:tcPr>
          <w:p>
            <w:pPr>
              <w:spacing w:after="0"/>
              <w:rPr>
                <w:sz w:val="20"/>
                <w:szCs w:val="20"/>
                <w:color w:val="auto"/>
              </w:rPr>
            </w:pPr>
          </w:p>
        </w:tc>
        <w:tc>
          <w:tcPr>
            <w:tcW w:w="40" w:type="dxa"/>
            <w:vAlign w:val="bottom"/>
            <w:tcBorders>
              <w:bottom w:val="single" w:sz="8" w:color="F4EFF6"/>
            </w:tcBorders>
            <w:shd w:val="clear" w:color="auto" w:fill="F4EFF6"/>
          </w:tcPr>
          <w:p>
            <w:pPr>
              <w:spacing w:after="0"/>
              <w:rPr>
                <w:sz w:val="20"/>
                <w:szCs w:val="20"/>
                <w:color w:val="auto"/>
              </w:rPr>
            </w:pPr>
          </w:p>
        </w:tc>
        <w:tc>
          <w:tcPr>
            <w:tcW w:w="140" w:type="dxa"/>
            <w:vAlign w:val="bottom"/>
            <w:tcBorders>
              <w:bottom w:val="single" w:sz="8" w:color="F4EFF6"/>
            </w:tcBorders>
            <w:shd w:val="clear" w:color="auto" w:fill="F4EFF6"/>
          </w:tcPr>
          <w:p>
            <w:pPr>
              <w:spacing w:after="0"/>
              <w:rPr>
                <w:sz w:val="20"/>
                <w:szCs w:val="20"/>
                <w:color w:val="auto"/>
              </w:rPr>
            </w:pPr>
          </w:p>
        </w:tc>
        <w:tc>
          <w:tcPr>
            <w:tcW w:w="1140" w:type="dxa"/>
            <w:vAlign w:val="bottom"/>
            <w:tcBorders>
              <w:bottom w:val="single" w:sz="8" w:color="F4EFF6"/>
            </w:tcBorders>
            <w:vMerge w:val="continue"/>
            <w:shd w:val="clear" w:color="auto" w:fill="F4EFF6"/>
          </w:tcPr>
          <w:p>
            <w:pPr>
              <w:spacing w:after="0"/>
              <w:rPr>
                <w:sz w:val="20"/>
                <w:szCs w:val="20"/>
                <w:color w:val="auto"/>
              </w:rPr>
            </w:pPr>
          </w:p>
        </w:tc>
        <w:tc>
          <w:tcPr>
            <w:tcW w:w="160" w:type="dxa"/>
            <w:vAlign w:val="bottom"/>
            <w:tcBorders>
              <w:bottom w:val="single" w:sz="8" w:color="F4EFF6"/>
            </w:tcBorders>
            <w:shd w:val="clear" w:color="auto" w:fill="F4EFF6"/>
          </w:tcPr>
          <w:p>
            <w:pPr>
              <w:spacing w:after="0"/>
              <w:rPr>
                <w:sz w:val="20"/>
                <w:szCs w:val="20"/>
                <w:color w:val="auto"/>
              </w:rPr>
            </w:pPr>
          </w:p>
        </w:tc>
        <w:tc>
          <w:tcPr>
            <w:tcW w:w="1140" w:type="dxa"/>
            <w:vAlign w:val="bottom"/>
            <w:tcBorders>
              <w:bottom w:val="single" w:sz="8" w:color="F4EFF6"/>
            </w:tcBorders>
            <w:vMerge w:val="continue"/>
            <w:shd w:val="clear" w:color="auto" w:fill="F4EFF6"/>
          </w:tcPr>
          <w:p>
            <w:pPr>
              <w:spacing w:after="0"/>
              <w:rPr>
                <w:sz w:val="20"/>
                <w:szCs w:val="20"/>
                <w:color w:val="auto"/>
              </w:rPr>
            </w:pPr>
          </w:p>
        </w:tc>
        <w:tc>
          <w:tcPr>
            <w:tcW w:w="160" w:type="dxa"/>
            <w:vAlign w:val="bottom"/>
            <w:tcBorders>
              <w:bottom w:val="single" w:sz="8" w:color="F4EFF6"/>
            </w:tcBorders>
            <w:shd w:val="clear" w:color="auto" w:fill="F4EFF6"/>
          </w:tcPr>
          <w:p>
            <w:pPr>
              <w:spacing w:after="0"/>
              <w:rPr>
                <w:sz w:val="20"/>
                <w:szCs w:val="20"/>
                <w:color w:val="auto"/>
              </w:rPr>
            </w:pPr>
          </w:p>
        </w:tc>
        <w:tc>
          <w:tcPr>
            <w:tcW w:w="1140" w:type="dxa"/>
            <w:vAlign w:val="bottom"/>
            <w:tcBorders>
              <w:bottom w:val="single" w:sz="8" w:color="F4EFF6"/>
            </w:tcBorders>
            <w:vMerge w:val="continue"/>
            <w:shd w:val="clear" w:color="auto" w:fill="F4EFF6"/>
          </w:tcPr>
          <w:p>
            <w:pPr>
              <w:spacing w:after="0"/>
              <w:rPr>
                <w:sz w:val="20"/>
                <w:szCs w:val="20"/>
                <w:color w:val="auto"/>
              </w:rPr>
            </w:pPr>
          </w:p>
        </w:tc>
        <w:tc>
          <w:tcPr>
            <w:tcW w:w="140" w:type="dxa"/>
            <w:vAlign w:val="bottom"/>
            <w:tcBorders>
              <w:bottom w:val="single" w:sz="8" w:color="F4EFF6"/>
            </w:tcBorders>
            <w:shd w:val="clear" w:color="auto" w:fill="F4EFF6"/>
          </w:tcPr>
          <w:p>
            <w:pPr>
              <w:spacing w:after="0"/>
              <w:rPr>
                <w:sz w:val="20"/>
                <w:szCs w:val="20"/>
                <w:color w:val="auto"/>
              </w:rPr>
            </w:pPr>
          </w:p>
        </w:tc>
        <w:tc>
          <w:tcPr>
            <w:tcW w:w="1480" w:type="dxa"/>
            <w:vAlign w:val="bottom"/>
            <w:tcBorders>
              <w:bottom w:val="single" w:sz="8" w:color="F4EFF6"/>
            </w:tcBorders>
            <w:vMerge w:val="continue"/>
            <w:shd w:val="clear" w:color="auto" w:fill="F4EFF6"/>
          </w:tcPr>
          <w:p>
            <w:pPr>
              <w:spacing w:after="0"/>
              <w:rPr>
                <w:sz w:val="20"/>
                <w:szCs w:val="20"/>
                <w:color w:val="auto"/>
              </w:rPr>
            </w:pPr>
          </w:p>
        </w:tc>
        <w:tc>
          <w:tcPr>
            <w:tcW w:w="980" w:type="dxa"/>
            <w:vAlign w:val="bottom"/>
            <w:tcBorders>
              <w:bottom w:val="single" w:sz="8" w:color="F4EFF6"/>
            </w:tcBorders>
            <w:vMerge w:val="continue"/>
            <w:shd w:val="clear" w:color="auto" w:fill="F4EFF6"/>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Amounts due from Prime Brokers</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112.8</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480" w:type="dxa"/>
            <w:vAlign w:val="bottom"/>
            <w:tcBorders>
              <w:top w:val="single" w:sz="8" w:color="DADAE7"/>
              <w:bottom w:val="single" w:sz="8" w:color="F4EFF6"/>
            </w:tcBorders>
            <w:shd w:val="clear" w:color="auto" w:fill="F4EFF6"/>
          </w:tcPr>
          <w:p>
            <w:pPr>
              <w:jc w:val="right"/>
              <w:ind w:right="325"/>
              <w:spacing w:after="0"/>
              <w:rPr>
                <w:sz w:val="20"/>
                <w:szCs w:val="20"/>
                <w:color w:val="auto"/>
              </w:rPr>
            </w:pPr>
            <w:r>
              <w:rPr>
                <w:rFonts w:ascii="Arial" w:cs="Arial" w:eastAsia="Arial" w:hAnsi="Arial"/>
                <w:sz w:val="15"/>
                <w:szCs w:val="15"/>
                <w:b w:val="1"/>
                <w:bCs w:val="1"/>
                <w:color w:val="auto"/>
              </w:rPr>
              <w:t>—</w:t>
            </w:r>
          </w:p>
        </w:tc>
        <w:tc>
          <w:tcPr>
            <w:tcW w:w="9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112.8</w:t>
            </w:r>
          </w:p>
        </w:tc>
        <w:tc>
          <w:tcPr>
            <w:tcW w:w="0" w:type="dxa"/>
            <w:vAlign w:val="bottom"/>
          </w:tcPr>
          <w:p>
            <w:pPr>
              <w:spacing w:after="0"/>
              <w:rPr>
                <w:sz w:val="1"/>
                <w:szCs w:val="1"/>
                <w:color w:val="auto"/>
              </w:rPr>
            </w:pPr>
          </w:p>
        </w:tc>
      </w:tr>
      <w:tr>
        <w:trPr>
          <w:trHeight w:val="237"/>
        </w:trPr>
        <w:tc>
          <w:tcPr>
            <w:tcW w:w="35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Amounts receivable from clients</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2,639.8</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480" w:type="dxa"/>
            <w:vAlign w:val="bottom"/>
            <w:tcBorders>
              <w:top w:val="single" w:sz="8" w:color="DADAE7"/>
              <w:bottom w:val="single" w:sz="8" w:color="F4EFF6"/>
            </w:tcBorders>
            <w:shd w:val="clear" w:color="auto" w:fill="F4EFF6"/>
          </w:tcPr>
          <w:p>
            <w:pPr>
              <w:jc w:val="right"/>
              <w:ind w:right="325"/>
              <w:spacing w:after="0"/>
              <w:rPr>
                <w:sz w:val="20"/>
                <w:szCs w:val="20"/>
                <w:color w:val="auto"/>
              </w:rPr>
            </w:pPr>
            <w:r>
              <w:rPr>
                <w:rFonts w:ascii="Arial" w:cs="Arial" w:eastAsia="Arial" w:hAnsi="Arial"/>
                <w:sz w:val="15"/>
                <w:szCs w:val="15"/>
                <w:b w:val="1"/>
                <w:bCs w:val="1"/>
                <w:color w:val="auto"/>
              </w:rPr>
              <w:t>—</w:t>
            </w:r>
          </w:p>
        </w:tc>
        <w:tc>
          <w:tcPr>
            <w:tcW w:w="9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2,639.8</w:t>
            </w:r>
          </w:p>
        </w:tc>
        <w:tc>
          <w:tcPr>
            <w:tcW w:w="0" w:type="dxa"/>
            <w:vAlign w:val="bottom"/>
          </w:tcPr>
          <w:p>
            <w:pPr>
              <w:spacing w:after="0"/>
              <w:rPr>
                <w:sz w:val="1"/>
                <w:szCs w:val="1"/>
                <w:color w:val="auto"/>
              </w:rPr>
            </w:pPr>
          </w:p>
        </w:tc>
      </w:tr>
      <w:tr>
        <w:trPr>
          <w:trHeight w:val="237"/>
        </w:trPr>
        <w:tc>
          <w:tcPr>
            <w:tcW w:w="35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Trade debtors</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84.7</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2,212.8</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34.8</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480" w:type="dxa"/>
            <w:vAlign w:val="bottom"/>
            <w:tcBorders>
              <w:top w:val="single" w:sz="8" w:color="DADAE7"/>
              <w:bottom w:val="single" w:sz="8" w:color="F4EFF6"/>
            </w:tcBorders>
            <w:shd w:val="clear" w:color="auto" w:fill="F4EFF6"/>
          </w:tcPr>
          <w:p>
            <w:pPr>
              <w:jc w:val="right"/>
              <w:ind w:right="325"/>
              <w:spacing w:after="0"/>
              <w:rPr>
                <w:sz w:val="20"/>
                <w:szCs w:val="20"/>
                <w:color w:val="auto"/>
              </w:rPr>
            </w:pPr>
            <w:r>
              <w:rPr>
                <w:rFonts w:ascii="Arial" w:cs="Arial" w:eastAsia="Arial" w:hAnsi="Arial"/>
                <w:sz w:val="15"/>
                <w:szCs w:val="15"/>
                <w:b w:val="1"/>
                <w:bCs w:val="1"/>
                <w:color w:val="auto"/>
              </w:rPr>
              <w:t>—</w:t>
            </w:r>
          </w:p>
        </w:tc>
        <w:tc>
          <w:tcPr>
            <w:tcW w:w="9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2,332.3</w:t>
            </w:r>
          </w:p>
        </w:tc>
        <w:tc>
          <w:tcPr>
            <w:tcW w:w="0" w:type="dxa"/>
            <w:vAlign w:val="bottom"/>
          </w:tcPr>
          <w:p>
            <w:pPr>
              <w:spacing w:after="0"/>
              <w:rPr>
                <w:sz w:val="1"/>
                <w:szCs w:val="1"/>
                <w:color w:val="auto"/>
              </w:rPr>
            </w:pPr>
          </w:p>
        </w:tc>
      </w:tr>
      <w:tr>
        <w:trPr>
          <w:trHeight w:val="236"/>
        </w:trPr>
        <w:tc>
          <w:tcPr>
            <w:tcW w:w="35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Default funds and deposits</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185.2</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220.5</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22.9</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480" w:type="dxa"/>
            <w:vAlign w:val="bottom"/>
            <w:tcBorders>
              <w:top w:val="single" w:sz="8" w:color="DADAE7"/>
              <w:bottom w:val="single" w:sz="8" w:color="F4EFF6"/>
            </w:tcBorders>
            <w:shd w:val="clear" w:color="auto" w:fill="F4EFF6"/>
          </w:tcPr>
          <w:p>
            <w:pPr>
              <w:jc w:val="right"/>
              <w:ind w:right="325"/>
              <w:spacing w:after="0"/>
              <w:rPr>
                <w:sz w:val="20"/>
                <w:szCs w:val="20"/>
                <w:color w:val="auto"/>
              </w:rPr>
            </w:pPr>
            <w:r>
              <w:rPr>
                <w:rFonts w:ascii="Arial" w:cs="Arial" w:eastAsia="Arial" w:hAnsi="Arial"/>
                <w:sz w:val="15"/>
                <w:szCs w:val="15"/>
                <w:b w:val="1"/>
                <w:bCs w:val="1"/>
                <w:color w:val="auto"/>
              </w:rPr>
              <w:t>—</w:t>
            </w:r>
          </w:p>
        </w:tc>
        <w:tc>
          <w:tcPr>
            <w:tcW w:w="9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428.6</w:t>
            </w:r>
          </w:p>
        </w:tc>
        <w:tc>
          <w:tcPr>
            <w:tcW w:w="0" w:type="dxa"/>
            <w:vAlign w:val="bottom"/>
          </w:tcPr>
          <w:p>
            <w:pPr>
              <w:spacing w:after="0"/>
              <w:rPr>
                <w:sz w:val="1"/>
                <w:szCs w:val="1"/>
                <w:color w:val="auto"/>
              </w:rPr>
            </w:pPr>
          </w:p>
        </w:tc>
      </w:tr>
      <w:tr>
        <w:trPr>
          <w:trHeight w:val="237"/>
        </w:trPr>
        <w:tc>
          <w:tcPr>
            <w:tcW w:w="35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Loans receivable</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163.3</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86.0</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0.2</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480" w:type="dxa"/>
            <w:vAlign w:val="bottom"/>
            <w:tcBorders>
              <w:top w:val="single" w:sz="8" w:color="DADAE7"/>
              <w:bottom w:val="single" w:sz="8" w:color="F4EFF6"/>
            </w:tcBorders>
            <w:shd w:val="clear" w:color="auto" w:fill="F4EFF6"/>
          </w:tcPr>
          <w:p>
            <w:pPr>
              <w:jc w:val="right"/>
              <w:ind w:right="325"/>
              <w:spacing w:after="0"/>
              <w:rPr>
                <w:sz w:val="20"/>
                <w:szCs w:val="20"/>
                <w:color w:val="auto"/>
              </w:rPr>
            </w:pPr>
            <w:r>
              <w:rPr>
                <w:rFonts w:ascii="Arial" w:cs="Arial" w:eastAsia="Arial" w:hAnsi="Arial"/>
                <w:sz w:val="15"/>
                <w:szCs w:val="15"/>
                <w:b w:val="1"/>
                <w:bCs w:val="1"/>
                <w:color w:val="auto"/>
              </w:rPr>
              <w:t>—</w:t>
            </w:r>
          </w:p>
        </w:tc>
        <w:tc>
          <w:tcPr>
            <w:tcW w:w="9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249.5</w:t>
            </w:r>
          </w:p>
        </w:tc>
        <w:tc>
          <w:tcPr>
            <w:tcW w:w="0" w:type="dxa"/>
            <w:vAlign w:val="bottom"/>
          </w:tcPr>
          <w:p>
            <w:pPr>
              <w:spacing w:after="0"/>
              <w:rPr>
                <w:sz w:val="1"/>
                <w:szCs w:val="1"/>
                <w:color w:val="auto"/>
              </w:rPr>
            </w:pPr>
          </w:p>
        </w:tc>
      </w:tr>
      <w:tr>
        <w:trPr>
          <w:trHeight w:val="237"/>
        </w:trPr>
        <w:tc>
          <w:tcPr>
            <w:tcW w:w="35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Other debtors</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51.1</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8.7</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3.5</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0.4</w:t>
            </w: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480" w:type="dxa"/>
            <w:vAlign w:val="bottom"/>
            <w:tcBorders>
              <w:top w:val="single" w:sz="8" w:color="DADAE7"/>
              <w:bottom w:val="single" w:sz="8" w:color="F4EFF6"/>
            </w:tcBorders>
            <w:shd w:val="clear" w:color="auto" w:fill="F4EFF6"/>
          </w:tcPr>
          <w:p>
            <w:pPr>
              <w:jc w:val="right"/>
              <w:ind w:right="325"/>
              <w:spacing w:after="0"/>
              <w:rPr>
                <w:sz w:val="20"/>
                <w:szCs w:val="20"/>
                <w:color w:val="auto"/>
              </w:rPr>
            </w:pPr>
            <w:r>
              <w:rPr>
                <w:rFonts w:ascii="Arial" w:cs="Arial" w:eastAsia="Arial" w:hAnsi="Arial"/>
                <w:sz w:val="15"/>
                <w:szCs w:val="15"/>
                <w:b w:val="1"/>
                <w:bCs w:val="1"/>
                <w:color w:val="auto"/>
              </w:rPr>
              <w:t>1.1</w:t>
            </w:r>
          </w:p>
        </w:tc>
        <w:tc>
          <w:tcPr>
            <w:tcW w:w="9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64.8</w:t>
            </w:r>
          </w:p>
        </w:tc>
        <w:tc>
          <w:tcPr>
            <w:tcW w:w="0" w:type="dxa"/>
            <w:vAlign w:val="bottom"/>
          </w:tcPr>
          <w:p>
            <w:pPr>
              <w:spacing w:after="0"/>
              <w:rPr>
                <w:sz w:val="1"/>
                <w:szCs w:val="1"/>
                <w:color w:val="auto"/>
              </w:rPr>
            </w:pPr>
          </w:p>
        </w:tc>
      </w:tr>
      <w:tr>
        <w:trPr>
          <w:trHeight w:val="237"/>
        </w:trPr>
        <w:tc>
          <w:tcPr>
            <w:tcW w:w="35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Cash and cash equivalents</w:t>
            </w:r>
          </w:p>
        </w:tc>
        <w:tc>
          <w:tcPr>
            <w:tcW w:w="11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3,375.3</w:t>
            </w:r>
          </w:p>
        </w:tc>
        <w:tc>
          <w:tcPr>
            <w:tcW w:w="40" w:type="dxa"/>
            <w:vAlign w:val="bottom"/>
            <w:tcBorders>
              <w:top w:val="single" w:sz="8" w:color="DADAE7"/>
              <w:bottom w:val="single" w:sz="8" w:color="F4EFF6"/>
            </w:tcBorders>
            <w:shd w:val="clear" w:color="auto" w:fill="F4EFF6"/>
          </w:tcPr>
          <w:p>
            <w:pPr>
              <w:spacing w:after="0"/>
              <w:rPr>
                <w:sz w:val="20"/>
                <w:szCs w:val="20"/>
                <w:color w:val="auto"/>
              </w:rPr>
            </w:pP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Borders>
              <w:top w:val="single" w:sz="8" w:color="DADAE7"/>
              <w:bottom w:val="single" w:sz="8" w:color="F4EFF6"/>
            </w:tcBorders>
            <w:shd w:val="clear" w:color="auto" w:fill="F4EFF6"/>
          </w:tcPr>
          <w:p>
            <w:pPr>
              <w:spacing w:after="0"/>
              <w:rPr>
                <w:sz w:val="20"/>
                <w:szCs w:val="20"/>
                <w:color w:val="auto"/>
              </w:rPr>
            </w:pPr>
          </w:p>
        </w:tc>
        <w:tc>
          <w:tcPr>
            <w:tcW w:w="11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Borders>
              <w:top w:val="single" w:sz="8" w:color="DADAE7"/>
              <w:bottom w:val="single" w:sz="8" w:color="F4EFF6"/>
            </w:tcBorders>
            <w:shd w:val="clear" w:color="auto" w:fill="F4EFF6"/>
          </w:tcPr>
          <w:p>
            <w:pPr>
              <w:spacing w:after="0"/>
              <w:rPr>
                <w:sz w:val="20"/>
                <w:szCs w:val="20"/>
                <w:color w:val="auto"/>
              </w:rPr>
            </w:pPr>
          </w:p>
        </w:tc>
        <w:tc>
          <w:tcPr>
            <w:tcW w:w="1480" w:type="dxa"/>
            <w:vAlign w:val="bottom"/>
            <w:tcBorders>
              <w:top w:val="single" w:sz="8" w:color="DADAE7"/>
              <w:bottom w:val="single" w:sz="8" w:color="F4EFF6"/>
            </w:tcBorders>
            <w:shd w:val="clear" w:color="auto" w:fill="F4EFF6"/>
          </w:tcPr>
          <w:p>
            <w:pPr>
              <w:jc w:val="right"/>
              <w:ind w:right="325"/>
              <w:spacing w:after="0"/>
              <w:rPr>
                <w:sz w:val="20"/>
                <w:szCs w:val="20"/>
                <w:color w:val="auto"/>
              </w:rPr>
            </w:pPr>
            <w:r>
              <w:rPr>
                <w:rFonts w:ascii="Arial" w:cs="Arial" w:eastAsia="Arial" w:hAnsi="Arial"/>
                <w:sz w:val="15"/>
                <w:szCs w:val="15"/>
                <w:b w:val="1"/>
                <w:bCs w:val="1"/>
                <w:color w:val="auto"/>
              </w:rPr>
              <w:t>—</w:t>
            </w:r>
          </w:p>
        </w:tc>
        <w:tc>
          <w:tcPr>
            <w:tcW w:w="9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3,375.3</w:t>
            </w:r>
          </w:p>
        </w:tc>
        <w:tc>
          <w:tcPr>
            <w:tcW w:w="0" w:type="dxa"/>
            <w:vAlign w:val="bottom"/>
          </w:tcPr>
          <w:p>
            <w:pPr>
              <w:spacing w:after="0"/>
              <w:rPr>
                <w:sz w:val="1"/>
                <w:szCs w:val="1"/>
                <w:color w:val="auto"/>
              </w:rPr>
            </w:pPr>
          </w:p>
        </w:tc>
      </w:tr>
      <w:tr>
        <w:trPr>
          <w:trHeight w:val="236"/>
        </w:trPr>
        <w:tc>
          <w:tcPr>
            <w:tcW w:w="3580" w:type="dxa"/>
            <w:vAlign w:val="bottom"/>
            <w:tcBorders>
              <w:top w:val="single" w:sz="8" w:color="793690"/>
            </w:tcBorders>
          </w:tcPr>
          <w:p>
            <w:pPr>
              <w:spacing w:after="0"/>
              <w:rPr>
                <w:sz w:val="20"/>
                <w:szCs w:val="20"/>
                <w:color w:val="auto"/>
              </w:rPr>
            </w:pPr>
          </w:p>
        </w:tc>
        <w:tc>
          <w:tcPr>
            <w:tcW w:w="112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20,192.4</w:t>
            </w:r>
          </w:p>
        </w:tc>
        <w:tc>
          <w:tcPr>
            <w:tcW w:w="40" w:type="dxa"/>
            <w:vAlign w:val="bottom"/>
            <w:tcBorders>
              <w:top w:val="single" w:sz="8" w:color="793690"/>
              <w:bottom w:val="single" w:sz="8" w:color="F4EFF6"/>
            </w:tcBorders>
            <w:shd w:val="clear" w:color="auto" w:fill="F4EFF6"/>
          </w:tcPr>
          <w:p>
            <w:pPr>
              <w:spacing w:after="0"/>
              <w:rPr>
                <w:sz w:val="20"/>
                <w:szCs w:val="20"/>
                <w:color w:val="auto"/>
              </w:rPr>
            </w:pPr>
          </w:p>
        </w:tc>
        <w:tc>
          <w:tcPr>
            <w:tcW w:w="140" w:type="dxa"/>
            <w:vAlign w:val="bottom"/>
            <w:tcBorders>
              <w:top w:val="single" w:sz="8" w:color="793690"/>
              <w:bottom w:val="single" w:sz="8" w:color="F4EFF6"/>
            </w:tcBorders>
            <w:shd w:val="clear" w:color="auto" w:fill="F4EFF6"/>
          </w:tcPr>
          <w:p>
            <w:pPr>
              <w:spacing w:after="0"/>
              <w:rPr>
                <w:sz w:val="20"/>
                <w:szCs w:val="20"/>
                <w:color w:val="auto"/>
              </w:rPr>
            </w:pPr>
          </w:p>
        </w:tc>
        <w:tc>
          <w:tcPr>
            <w:tcW w:w="11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7,985.2</w:t>
            </w:r>
          </w:p>
        </w:tc>
        <w:tc>
          <w:tcPr>
            <w:tcW w:w="160" w:type="dxa"/>
            <w:vAlign w:val="bottom"/>
            <w:tcBorders>
              <w:top w:val="single" w:sz="8" w:color="793690"/>
              <w:bottom w:val="single" w:sz="8" w:color="F4EFF6"/>
            </w:tcBorders>
            <w:shd w:val="clear" w:color="auto" w:fill="F4EFF6"/>
          </w:tcPr>
          <w:p>
            <w:pPr>
              <w:spacing w:after="0"/>
              <w:rPr>
                <w:sz w:val="20"/>
                <w:szCs w:val="20"/>
                <w:color w:val="auto"/>
              </w:rPr>
            </w:pPr>
          </w:p>
        </w:tc>
        <w:tc>
          <w:tcPr>
            <w:tcW w:w="11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265.5</w:t>
            </w:r>
          </w:p>
        </w:tc>
        <w:tc>
          <w:tcPr>
            <w:tcW w:w="160" w:type="dxa"/>
            <w:vAlign w:val="bottom"/>
            <w:tcBorders>
              <w:top w:val="single" w:sz="8" w:color="793690"/>
              <w:bottom w:val="single" w:sz="8" w:color="F4EFF6"/>
            </w:tcBorders>
            <w:shd w:val="clear" w:color="auto" w:fill="F4EFF6"/>
          </w:tcPr>
          <w:p>
            <w:pPr>
              <w:spacing w:after="0"/>
              <w:rPr>
                <w:sz w:val="20"/>
                <w:szCs w:val="20"/>
                <w:color w:val="auto"/>
              </w:rPr>
            </w:pPr>
          </w:p>
        </w:tc>
        <w:tc>
          <w:tcPr>
            <w:tcW w:w="114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350.5</w:t>
            </w:r>
          </w:p>
        </w:tc>
        <w:tc>
          <w:tcPr>
            <w:tcW w:w="140" w:type="dxa"/>
            <w:vAlign w:val="bottom"/>
            <w:tcBorders>
              <w:top w:val="single" w:sz="8" w:color="793690"/>
              <w:bottom w:val="single" w:sz="8" w:color="F4EFF6"/>
            </w:tcBorders>
            <w:shd w:val="clear" w:color="auto" w:fill="F4EFF6"/>
          </w:tcPr>
          <w:p>
            <w:pPr>
              <w:spacing w:after="0"/>
              <w:rPr>
                <w:sz w:val="20"/>
                <w:szCs w:val="20"/>
                <w:color w:val="auto"/>
              </w:rPr>
            </w:pPr>
          </w:p>
        </w:tc>
        <w:tc>
          <w:tcPr>
            <w:tcW w:w="1480" w:type="dxa"/>
            <w:vAlign w:val="bottom"/>
            <w:tcBorders>
              <w:top w:val="single" w:sz="8" w:color="793690"/>
              <w:bottom w:val="single" w:sz="8" w:color="F4EFF6"/>
            </w:tcBorders>
            <w:shd w:val="clear" w:color="auto" w:fill="F4EFF6"/>
          </w:tcPr>
          <w:p>
            <w:pPr>
              <w:jc w:val="right"/>
              <w:ind w:right="325"/>
              <w:spacing w:after="0"/>
              <w:rPr>
                <w:sz w:val="20"/>
                <w:szCs w:val="20"/>
                <w:color w:val="auto"/>
              </w:rPr>
            </w:pPr>
            <w:r>
              <w:rPr>
                <w:rFonts w:ascii="Arial" w:cs="Arial" w:eastAsia="Arial" w:hAnsi="Arial"/>
                <w:sz w:val="15"/>
                <w:szCs w:val="15"/>
                <w:b w:val="1"/>
                <w:bCs w:val="1"/>
                <w:color w:val="auto"/>
              </w:rPr>
              <w:t>8.6</w:t>
            </w:r>
          </w:p>
        </w:tc>
        <w:tc>
          <w:tcPr>
            <w:tcW w:w="98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28,802.2</w:t>
            </w:r>
          </w:p>
        </w:tc>
        <w:tc>
          <w:tcPr>
            <w:tcW w:w="0" w:type="dxa"/>
            <w:vAlign w:val="bottom"/>
          </w:tcPr>
          <w:p>
            <w:pPr>
              <w:spacing w:after="0"/>
              <w:rPr>
                <w:sz w:val="1"/>
                <w:szCs w:val="1"/>
                <w:color w:val="auto"/>
              </w:rPr>
            </w:pPr>
          </w:p>
        </w:tc>
      </w:tr>
      <w:tr>
        <w:trPr>
          <w:trHeight w:val="300"/>
        </w:trPr>
        <w:tc>
          <w:tcPr>
            <w:tcW w:w="3580" w:type="dxa"/>
            <w:vAlign w:val="bottom"/>
            <w:tcBorders>
              <w:top w:val="single" w:sz="8" w:color="793690"/>
            </w:tcBorders>
          </w:tcPr>
          <w:p>
            <w:pPr>
              <w:spacing w:after="0"/>
              <w:rPr>
                <w:sz w:val="24"/>
                <w:szCs w:val="24"/>
                <w:color w:val="auto"/>
              </w:rPr>
            </w:pPr>
          </w:p>
        </w:tc>
        <w:tc>
          <w:tcPr>
            <w:tcW w:w="1120" w:type="dxa"/>
            <w:vAlign w:val="bottom"/>
            <w:tcBorders>
              <w:top w:val="single" w:sz="8" w:color="793690"/>
            </w:tcBorders>
          </w:tcPr>
          <w:p>
            <w:pPr>
              <w:spacing w:after="0"/>
              <w:rPr>
                <w:sz w:val="24"/>
                <w:szCs w:val="24"/>
                <w:color w:val="auto"/>
              </w:rPr>
            </w:pPr>
          </w:p>
        </w:tc>
        <w:tc>
          <w:tcPr>
            <w:tcW w:w="40" w:type="dxa"/>
            <w:vAlign w:val="bottom"/>
            <w:tcBorders>
              <w:top w:val="single" w:sz="8" w:color="793690"/>
            </w:tcBorders>
          </w:tcPr>
          <w:p>
            <w:pPr>
              <w:spacing w:after="0"/>
              <w:rPr>
                <w:sz w:val="24"/>
                <w:szCs w:val="24"/>
                <w:color w:val="auto"/>
              </w:rPr>
            </w:pPr>
          </w:p>
        </w:tc>
        <w:tc>
          <w:tcPr>
            <w:tcW w:w="140" w:type="dxa"/>
            <w:vAlign w:val="bottom"/>
            <w:tcBorders>
              <w:top w:val="single" w:sz="8" w:color="793690"/>
            </w:tcBorders>
          </w:tcPr>
          <w:p>
            <w:pPr>
              <w:spacing w:after="0"/>
              <w:rPr>
                <w:sz w:val="24"/>
                <w:szCs w:val="24"/>
                <w:color w:val="auto"/>
              </w:rPr>
            </w:pPr>
          </w:p>
        </w:tc>
        <w:tc>
          <w:tcPr>
            <w:tcW w:w="1140" w:type="dxa"/>
            <w:vAlign w:val="bottom"/>
            <w:tcBorders>
              <w:top w:val="single" w:sz="8" w:color="793690"/>
            </w:tcBorders>
          </w:tcPr>
          <w:p>
            <w:pPr>
              <w:jc w:val="right"/>
              <w:spacing w:after="0"/>
              <w:rPr>
                <w:sz w:val="20"/>
                <w:szCs w:val="20"/>
                <w:color w:val="auto"/>
              </w:rPr>
            </w:pPr>
            <w:r>
              <w:rPr>
                <w:rFonts w:ascii="Arial" w:cs="Arial" w:eastAsia="Arial" w:hAnsi="Arial"/>
                <w:sz w:val="13"/>
                <w:szCs w:val="13"/>
                <w:b w:val="1"/>
                <w:bCs w:val="1"/>
                <w:color w:val="auto"/>
              </w:rPr>
              <w:t>Less than 3</w:t>
            </w:r>
          </w:p>
        </w:tc>
        <w:tc>
          <w:tcPr>
            <w:tcW w:w="160" w:type="dxa"/>
            <w:vAlign w:val="bottom"/>
            <w:tcBorders>
              <w:top w:val="single" w:sz="8" w:color="793690"/>
            </w:tcBorders>
          </w:tcPr>
          <w:p>
            <w:pPr>
              <w:spacing w:after="0"/>
              <w:rPr>
                <w:sz w:val="24"/>
                <w:szCs w:val="24"/>
                <w:color w:val="auto"/>
              </w:rPr>
            </w:pPr>
          </w:p>
        </w:tc>
        <w:tc>
          <w:tcPr>
            <w:tcW w:w="1140" w:type="dxa"/>
            <w:vAlign w:val="bottom"/>
            <w:tcBorders>
              <w:top w:val="single" w:sz="8" w:color="793690"/>
            </w:tcBorders>
          </w:tcPr>
          <w:p>
            <w:pPr>
              <w:jc w:val="right"/>
              <w:spacing w:after="0"/>
              <w:rPr>
                <w:sz w:val="20"/>
                <w:szCs w:val="20"/>
                <w:color w:val="auto"/>
              </w:rPr>
            </w:pPr>
            <w:r>
              <w:rPr>
                <w:rFonts w:ascii="Arial" w:cs="Arial" w:eastAsia="Arial" w:hAnsi="Arial"/>
                <w:sz w:val="13"/>
                <w:szCs w:val="13"/>
                <w:b w:val="1"/>
                <w:bCs w:val="1"/>
                <w:color w:val="auto"/>
              </w:rPr>
              <w:t>3 to 12</w:t>
            </w:r>
          </w:p>
        </w:tc>
        <w:tc>
          <w:tcPr>
            <w:tcW w:w="160" w:type="dxa"/>
            <w:vAlign w:val="bottom"/>
            <w:tcBorders>
              <w:top w:val="single" w:sz="8" w:color="793690"/>
            </w:tcBorders>
          </w:tcPr>
          <w:p>
            <w:pPr>
              <w:spacing w:after="0"/>
              <w:rPr>
                <w:sz w:val="24"/>
                <w:szCs w:val="24"/>
                <w:color w:val="auto"/>
              </w:rPr>
            </w:pPr>
          </w:p>
        </w:tc>
        <w:tc>
          <w:tcPr>
            <w:tcW w:w="1140" w:type="dxa"/>
            <w:vAlign w:val="bottom"/>
            <w:tcBorders>
              <w:top w:val="single" w:sz="8" w:color="793690"/>
            </w:tcBorders>
          </w:tcPr>
          <w:p>
            <w:pPr>
              <w:jc w:val="right"/>
              <w:spacing w:after="0"/>
              <w:rPr>
                <w:sz w:val="20"/>
                <w:szCs w:val="20"/>
                <w:color w:val="auto"/>
              </w:rPr>
            </w:pPr>
            <w:r>
              <w:rPr>
                <w:rFonts w:ascii="Arial" w:cs="Arial" w:eastAsia="Arial" w:hAnsi="Arial"/>
                <w:sz w:val="13"/>
                <w:szCs w:val="13"/>
                <w:b w:val="1"/>
                <w:bCs w:val="1"/>
                <w:color w:val="auto"/>
              </w:rPr>
              <w:t>1 to 5</w:t>
            </w:r>
          </w:p>
        </w:tc>
        <w:tc>
          <w:tcPr>
            <w:tcW w:w="140" w:type="dxa"/>
            <w:vAlign w:val="bottom"/>
            <w:tcBorders>
              <w:top w:val="single" w:sz="8" w:color="793690"/>
            </w:tcBorders>
          </w:tcPr>
          <w:p>
            <w:pPr>
              <w:spacing w:after="0"/>
              <w:rPr>
                <w:sz w:val="24"/>
                <w:szCs w:val="24"/>
                <w:color w:val="auto"/>
              </w:rPr>
            </w:pPr>
          </w:p>
        </w:tc>
        <w:tc>
          <w:tcPr>
            <w:tcW w:w="1480" w:type="dxa"/>
            <w:vAlign w:val="bottom"/>
            <w:tcBorders>
              <w:top w:val="single" w:sz="8" w:color="793690"/>
            </w:tcBorders>
          </w:tcPr>
          <w:p>
            <w:pPr>
              <w:spacing w:after="0"/>
              <w:rPr>
                <w:sz w:val="24"/>
                <w:szCs w:val="24"/>
                <w:color w:val="auto"/>
              </w:rPr>
            </w:pPr>
          </w:p>
        </w:tc>
        <w:tc>
          <w:tcPr>
            <w:tcW w:w="980" w:type="dxa"/>
            <w:vAlign w:val="bottom"/>
            <w:tcBorders>
              <w:top w:val="single" w:sz="8" w:color="793690"/>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On demand</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months</w:t>
            </w: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months</w:t>
            </w: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years</w:t>
            </w:r>
          </w:p>
        </w:tc>
        <w:tc>
          <w:tcPr>
            <w:tcW w:w="140" w:type="dxa"/>
            <w:vAlign w:val="bottom"/>
          </w:tcPr>
          <w:p>
            <w:pPr>
              <w:spacing w:after="0"/>
              <w:rPr>
                <w:sz w:val="14"/>
                <w:szCs w:val="14"/>
                <w:color w:val="auto"/>
              </w:rPr>
            </w:pPr>
          </w:p>
        </w:tc>
        <w:tc>
          <w:tcPr>
            <w:tcW w:w="1480" w:type="dxa"/>
            <w:vAlign w:val="bottom"/>
          </w:tcPr>
          <w:p>
            <w:pPr>
              <w:jc w:val="right"/>
              <w:ind w:right="265"/>
              <w:spacing w:after="0"/>
              <w:rPr>
                <w:sz w:val="20"/>
                <w:szCs w:val="20"/>
                <w:color w:val="auto"/>
              </w:rPr>
            </w:pPr>
            <w:r>
              <w:rPr>
                <w:rFonts w:ascii="Arial" w:cs="Arial" w:eastAsia="Arial" w:hAnsi="Arial"/>
                <w:sz w:val="13"/>
                <w:szCs w:val="13"/>
                <w:b w:val="1"/>
                <w:bCs w:val="1"/>
                <w:color w:val="auto"/>
              </w:rPr>
              <w:t>More than 5 years</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2"/>
        </w:trPr>
        <w:tc>
          <w:tcPr>
            <w:tcW w:w="3580" w:type="dxa"/>
            <w:vAlign w:val="bottom"/>
          </w:tcPr>
          <w:p>
            <w:pPr>
              <w:ind w:left="20"/>
              <w:spacing w:after="0"/>
              <w:rPr>
                <w:sz w:val="20"/>
                <w:szCs w:val="20"/>
                <w:color w:val="auto"/>
              </w:rPr>
            </w:pPr>
            <w:r>
              <w:rPr>
                <w:rFonts w:ascii="Arial" w:cs="Arial" w:eastAsia="Arial" w:hAnsi="Arial"/>
                <w:sz w:val="13"/>
                <w:szCs w:val="13"/>
                <w:b w:val="1"/>
                <w:bCs w:val="1"/>
                <w:color w:val="auto"/>
              </w:rPr>
              <w:t>31 December 2024</w:t>
            </w:r>
          </w:p>
        </w:tc>
        <w:tc>
          <w:tcPr>
            <w:tcW w:w="11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$m</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$m</w:t>
            </w: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$m</w:t>
            </w: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$m</w:t>
            </w:r>
          </w:p>
        </w:tc>
        <w:tc>
          <w:tcPr>
            <w:tcW w:w="140" w:type="dxa"/>
            <w:vAlign w:val="bottom"/>
          </w:tcPr>
          <w:p>
            <w:pPr>
              <w:spacing w:after="0"/>
              <w:rPr>
                <w:sz w:val="14"/>
                <w:szCs w:val="14"/>
                <w:color w:val="auto"/>
              </w:rPr>
            </w:pPr>
          </w:p>
        </w:tc>
        <w:tc>
          <w:tcPr>
            <w:tcW w:w="1480" w:type="dxa"/>
            <w:vAlign w:val="bottom"/>
          </w:tcPr>
          <w:p>
            <w:pPr>
              <w:jc w:val="right"/>
              <w:ind w:right="265"/>
              <w:spacing w:after="0"/>
              <w:rPr>
                <w:sz w:val="20"/>
                <w:szCs w:val="20"/>
                <w:color w:val="auto"/>
              </w:rPr>
            </w:pPr>
            <w:r>
              <w:rPr>
                <w:rFonts w:ascii="Arial" w:cs="Arial" w:eastAsia="Arial" w:hAnsi="Arial"/>
                <w:sz w:val="13"/>
                <w:szCs w:val="13"/>
                <w:b w:val="1"/>
                <w:bCs w:val="1"/>
                <w:color w:val="auto"/>
              </w:rPr>
              <w:t>$m</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$m</w:t>
            </w:r>
          </w:p>
        </w:tc>
        <w:tc>
          <w:tcPr>
            <w:tcW w:w="0" w:type="dxa"/>
            <w:vAlign w:val="bottom"/>
          </w:tcPr>
          <w:p>
            <w:pPr>
              <w:spacing w:after="0"/>
              <w:rPr>
                <w:sz w:val="1"/>
                <w:szCs w:val="1"/>
                <w:color w:val="auto"/>
              </w:rPr>
            </w:pPr>
          </w:p>
        </w:tc>
      </w:tr>
      <w:tr>
        <w:trPr>
          <w:trHeight w:val="22"/>
        </w:trPr>
        <w:tc>
          <w:tcPr>
            <w:tcW w:w="3580" w:type="dxa"/>
            <w:vAlign w:val="bottom"/>
            <w:tcBorders>
              <w:bottom w:val="single" w:sz="8" w:color="793690"/>
            </w:tcBorders>
          </w:tcPr>
          <w:p>
            <w:pPr>
              <w:spacing w:after="0" w:line="20" w:lineRule="exact"/>
              <w:rPr>
                <w:sz w:val="1"/>
                <w:szCs w:val="1"/>
                <w:color w:val="auto"/>
              </w:rPr>
            </w:pPr>
          </w:p>
        </w:tc>
        <w:tc>
          <w:tcPr>
            <w:tcW w:w="1120" w:type="dxa"/>
            <w:vAlign w:val="bottom"/>
            <w:tcBorders>
              <w:bottom w:val="single" w:sz="8" w:color="793690"/>
            </w:tcBorders>
          </w:tcPr>
          <w:p>
            <w:pPr>
              <w:spacing w:after="0" w:line="20" w:lineRule="exact"/>
              <w:rPr>
                <w:sz w:val="1"/>
                <w:szCs w:val="1"/>
                <w:color w:val="auto"/>
              </w:rPr>
            </w:pPr>
          </w:p>
        </w:tc>
        <w:tc>
          <w:tcPr>
            <w:tcW w:w="40" w:type="dxa"/>
            <w:vAlign w:val="bottom"/>
            <w:tcBorders>
              <w:bottom w:val="single" w:sz="8" w:color="793690"/>
            </w:tcBorders>
          </w:tcPr>
          <w:p>
            <w:pPr>
              <w:spacing w:after="0" w:line="20" w:lineRule="exact"/>
              <w:rPr>
                <w:sz w:val="1"/>
                <w:szCs w:val="1"/>
                <w:color w:val="auto"/>
              </w:rPr>
            </w:pPr>
          </w:p>
        </w:tc>
        <w:tc>
          <w:tcPr>
            <w:tcW w:w="1280" w:type="dxa"/>
            <w:vAlign w:val="bottom"/>
            <w:tcBorders>
              <w:bottom w:val="single" w:sz="8" w:color="793690"/>
            </w:tcBorders>
            <w:gridSpan w:val="2"/>
          </w:tcPr>
          <w:p>
            <w:pPr>
              <w:spacing w:after="0" w:line="20" w:lineRule="exact"/>
              <w:rPr>
                <w:sz w:val="1"/>
                <w:szCs w:val="1"/>
                <w:color w:val="auto"/>
              </w:rPr>
            </w:pPr>
          </w:p>
        </w:tc>
        <w:tc>
          <w:tcPr>
            <w:tcW w:w="1300" w:type="dxa"/>
            <w:vAlign w:val="bottom"/>
            <w:tcBorders>
              <w:bottom w:val="single" w:sz="8" w:color="793690"/>
            </w:tcBorders>
            <w:gridSpan w:val="2"/>
          </w:tcPr>
          <w:p>
            <w:pPr>
              <w:spacing w:after="0" w:line="20" w:lineRule="exact"/>
              <w:rPr>
                <w:sz w:val="1"/>
                <w:szCs w:val="1"/>
                <w:color w:val="auto"/>
              </w:rPr>
            </w:pPr>
          </w:p>
        </w:tc>
        <w:tc>
          <w:tcPr>
            <w:tcW w:w="1300" w:type="dxa"/>
            <w:vAlign w:val="bottom"/>
            <w:tcBorders>
              <w:bottom w:val="single" w:sz="8" w:color="793690"/>
            </w:tcBorders>
            <w:gridSpan w:val="2"/>
          </w:tcPr>
          <w:p>
            <w:pPr>
              <w:spacing w:after="0" w:line="20" w:lineRule="exact"/>
              <w:rPr>
                <w:sz w:val="1"/>
                <w:szCs w:val="1"/>
                <w:color w:val="auto"/>
              </w:rPr>
            </w:pPr>
          </w:p>
        </w:tc>
        <w:tc>
          <w:tcPr>
            <w:tcW w:w="140" w:type="dxa"/>
            <w:vAlign w:val="bottom"/>
            <w:tcBorders>
              <w:bottom w:val="single" w:sz="8" w:color="793690"/>
            </w:tcBorders>
          </w:tcPr>
          <w:p>
            <w:pPr>
              <w:spacing w:after="0" w:line="20" w:lineRule="exact"/>
              <w:rPr>
                <w:sz w:val="1"/>
                <w:szCs w:val="1"/>
                <w:color w:val="auto"/>
              </w:rPr>
            </w:pPr>
          </w:p>
        </w:tc>
        <w:tc>
          <w:tcPr>
            <w:tcW w:w="1480" w:type="dxa"/>
            <w:vAlign w:val="bottom"/>
            <w:tcBorders>
              <w:bottom w:val="single" w:sz="8" w:color="793690"/>
            </w:tcBorders>
          </w:tcPr>
          <w:p>
            <w:pPr>
              <w:spacing w:after="0" w:line="20" w:lineRule="exact"/>
              <w:rPr>
                <w:sz w:val="1"/>
                <w:szCs w:val="1"/>
                <w:color w:val="auto"/>
              </w:rPr>
            </w:pPr>
          </w:p>
        </w:tc>
        <w:tc>
          <w:tcPr>
            <w:tcW w:w="980" w:type="dxa"/>
            <w:vAlign w:val="bottom"/>
            <w:tcBorders>
              <w:bottom w:val="single" w:sz="8" w:color="79369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rPr>
                <w:sz w:val="20"/>
                <w:szCs w:val="20"/>
                <w:color w:val="auto"/>
              </w:rPr>
            </w:pPr>
            <w:r>
              <w:rPr>
                <w:rFonts w:ascii="Arial" w:cs="Arial" w:eastAsia="Arial" w:hAnsi="Arial"/>
                <w:sz w:val="15"/>
                <w:szCs w:val="15"/>
                <w:color w:val="auto"/>
              </w:rPr>
              <w:t>Treasury instruments</w:t>
            </w:r>
          </w:p>
        </w:tc>
        <w:tc>
          <w:tcPr>
            <w:tcW w:w="1120" w:type="dxa"/>
            <w:vAlign w:val="bottom"/>
          </w:tcPr>
          <w:p>
            <w:pPr>
              <w:jc w:val="right"/>
              <w:spacing w:after="0"/>
              <w:rPr>
                <w:sz w:val="20"/>
                <w:szCs w:val="20"/>
                <w:color w:val="auto"/>
              </w:rPr>
            </w:pPr>
            <w:r>
              <w:rPr>
                <w:rFonts w:ascii="Arial" w:cs="Arial" w:eastAsia="Arial" w:hAnsi="Arial"/>
                <w:sz w:val="15"/>
                <w:szCs w:val="15"/>
                <w:color w:val="auto"/>
              </w:rPr>
              <w:t>125.6</w:t>
            </w:r>
          </w:p>
        </w:tc>
        <w:tc>
          <w:tcPr>
            <w:tcW w:w="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2,638.6</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679.4</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125.1</w:t>
            </w:r>
          </w:p>
        </w:tc>
        <w:tc>
          <w:tcPr>
            <w:tcW w:w="140" w:type="dxa"/>
            <w:vAlign w:val="bottom"/>
          </w:tcPr>
          <w:p>
            <w:pPr>
              <w:spacing w:after="0"/>
              <w:rPr>
                <w:sz w:val="17"/>
                <w:szCs w:val="17"/>
                <w:color w:val="auto"/>
              </w:rPr>
            </w:pPr>
          </w:p>
        </w:tc>
        <w:tc>
          <w:tcPr>
            <w:tcW w:w="1480" w:type="dxa"/>
            <w:vAlign w:val="bottom"/>
          </w:tcPr>
          <w:p>
            <w:pPr>
              <w:jc w:val="right"/>
              <w:ind w:right="325"/>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3,568.7</w:t>
            </w:r>
          </w:p>
        </w:tc>
        <w:tc>
          <w:tcPr>
            <w:tcW w:w="0" w:type="dxa"/>
            <w:vAlign w:val="bottom"/>
          </w:tcPr>
          <w:p>
            <w:pPr>
              <w:spacing w:after="0"/>
              <w:rPr>
                <w:sz w:val="1"/>
                <w:szCs w:val="1"/>
                <w:color w:val="auto"/>
              </w:rPr>
            </w:pPr>
          </w:p>
        </w:tc>
      </w:tr>
      <w:tr>
        <w:trPr>
          <w:trHeight w:val="33"/>
        </w:trPr>
        <w:tc>
          <w:tcPr>
            <w:tcW w:w="3580" w:type="dxa"/>
            <w:vAlign w:val="bottom"/>
            <w:tcBorders>
              <w:bottom w:val="single" w:sz="8" w:color="DADAE7"/>
            </w:tcBorders>
          </w:tcPr>
          <w:p>
            <w:pPr>
              <w:spacing w:after="0"/>
              <w:rPr>
                <w:sz w:val="2"/>
                <w:szCs w:val="2"/>
                <w:color w:val="auto"/>
              </w:rPr>
            </w:pPr>
          </w:p>
        </w:tc>
        <w:tc>
          <w:tcPr>
            <w:tcW w:w="1120" w:type="dxa"/>
            <w:vAlign w:val="bottom"/>
            <w:tcBorders>
              <w:bottom w:val="single" w:sz="8" w:color="DADAE7"/>
            </w:tcBorders>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280" w:type="dxa"/>
            <w:vAlign w:val="bottom"/>
            <w:tcBorders>
              <w:bottom w:val="single" w:sz="8" w:color="DADAE7"/>
            </w:tcBorders>
            <w:gridSpan w:val="2"/>
          </w:tcPr>
          <w:p>
            <w:pPr>
              <w:spacing w:after="0"/>
              <w:rPr>
                <w:sz w:val="2"/>
                <w:szCs w:val="2"/>
                <w:color w:val="auto"/>
              </w:rPr>
            </w:pPr>
          </w:p>
        </w:tc>
        <w:tc>
          <w:tcPr>
            <w:tcW w:w="160" w:type="dxa"/>
            <w:vAlign w:val="bottom"/>
            <w:tcBorders>
              <w:bottom w:val="single" w:sz="8" w:color="DADAE7"/>
            </w:tcBorders>
          </w:tcPr>
          <w:p>
            <w:pPr>
              <w:spacing w:after="0"/>
              <w:rPr>
                <w:sz w:val="2"/>
                <w:szCs w:val="2"/>
                <w:color w:val="auto"/>
              </w:rPr>
            </w:pPr>
          </w:p>
        </w:tc>
        <w:tc>
          <w:tcPr>
            <w:tcW w:w="1140" w:type="dxa"/>
            <w:vAlign w:val="bottom"/>
            <w:tcBorders>
              <w:bottom w:val="single" w:sz="8" w:color="DADAE7"/>
            </w:tcBorders>
          </w:tcPr>
          <w:p>
            <w:pPr>
              <w:spacing w:after="0"/>
              <w:rPr>
                <w:sz w:val="2"/>
                <w:szCs w:val="2"/>
                <w:color w:val="auto"/>
              </w:rPr>
            </w:pPr>
          </w:p>
        </w:tc>
        <w:tc>
          <w:tcPr>
            <w:tcW w:w="160" w:type="dxa"/>
            <w:vAlign w:val="bottom"/>
            <w:tcBorders>
              <w:bottom w:val="single" w:sz="8" w:color="DADAE7"/>
            </w:tcBorders>
          </w:tcPr>
          <w:p>
            <w:pPr>
              <w:spacing w:after="0"/>
              <w:rPr>
                <w:sz w:val="2"/>
                <w:szCs w:val="2"/>
                <w:color w:val="auto"/>
              </w:rPr>
            </w:pPr>
          </w:p>
        </w:tc>
        <w:tc>
          <w:tcPr>
            <w:tcW w:w="114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480" w:type="dxa"/>
            <w:vAlign w:val="bottom"/>
            <w:tcBorders>
              <w:bottom w:val="single" w:sz="8" w:color="DADAE7"/>
            </w:tcBorders>
          </w:tcPr>
          <w:p>
            <w:pPr>
              <w:spacing w:after="0"/>
              <w:rPr>
                <w:sz w:val="2"/>
                <w:szCs w:val="2"/>
                <w:color w:val="auto"/>
              </w:rPr>
            </w:pPr>
          </w:p>
        </w:tc>
        <w:tc>
          <w:tcPr>
            <w:tcW w:w="980" w:type="dxa"/>
            <w:vAlign w:val="bottom"/>
            <w:tcBorders>
              <w:bottom w:val="single" w:sz="8" w:color="DADAE7"/>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580" w:type="dxa"/>
            <w:vAlign w:val="bottom"/>
          </w:tcPr>
          <w:p>
            <w:pPr>
              <w:ind w:left="20"/>
              <w:spacing w:after="0"/>
              <w:rPr>
                <w:sz w:val="20"/>
                <w:szCs w:val="20"/>
                <w:color w:val="auto"/>
              </w:rPr>
            </w:pPr>
            <w:r>
              <w:rPr>
                <w:rFonts w:ascii="Arial" w:cs="Arial" w:eastAsia="Arial" w:hAnsi="Arial"/>
                <w:sz w:val="15"/>
                <w:szCs w:val="15"/>
                <w:color w:val="auto"/>
              </w:rPr>
              <w:t>Fixed income securities</w:t>
            </w:r>
          </w:p>
        </w:tc>
        <w:tc>
          <w:tcPr>
            <w:tcW w:w="1120" w:type="dxa"/>
            <w:vAlign w:val="bottom"/>
          </w:tcPr>
          <w:p>
            <w:pPr>
              <w:jc w:val="right"/>
              <w:spacing w:after="0"/>
              <w:rPr>
                <w:sz w:val="20"/>
                <w:szCs w:val="20"/>
                <w:color w:val="auto"/>
              </w:rPr>
            </w:pPr>
            <w:r>
              <w:rPr>
                <w:rFonts w:ascii="Arial" w:cs="Arial" w:eastAsia="Arial" w:hAnsi="Arial"/>
                <w:sz w:val="15"/>
                <w:szCs w:val="15"/>
                <w:color w:val="auto"/>
              </w:rPr>
              <w:t>75.2</w:t>
            </w:r>
          </w:p>
        </w:tc>
        <w:tc>
          <w:tcPr>
            <w:tcW w:w="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12.5</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480" w:type="dxa"/>
            <w:vAlign w:val="bottom"/>
          </w:tcPr>
          <w:p>
            <w:pPr>
              <w:jc w:val="right"/>
              <w:ind w:right="325"/>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87.7</w:t>
            </w:r>
          </w:p>
        </w:tc>
        <w:tc>
          <w:tcPr>
            <w:tcW w:w="0" w:type="dxa"/>
            <w:vAlign w:val="bottom"/>
          </w:tcPr>
          <w:p>
            <w:pPr>
              <w:spacing w:after="0"/>
              <w:rPr>
                <w:sz w:val="1"/>
                <w:szCs w:val="1"/>
                <w:color w:val="auto"/>
              </w:rPr>
            </w:pPr>
          </w:p>
        </w:tc>
      </w:tr>
      <w:tr>
        <w:trPr>
          <w:trHeight w:val="33"/>
        </w:trPr>
        <w:tc>
          <w:tcPr>
            <w:tcW w:w="3580" w:type="dxa"/>
            <w:vAlign w:val="bottom"/>
            <w:tcBorders>
              <w:bottom w:val="single" w:sz="8" w:color="DADAE7"/>
            </w:tcBorders>
          </w:tcPr>
          <w:p>
            <w:pPr>
              <w:spacing w:after="0"/>
              <w:rPr>
                <w:sz w:val="2"/>
                <w:szCs w:val="2"/>
                <w:color w:val="auto"/>
              </w:rPr>
            </w:pPr>
          </w:p>
        </w:tc>
        <w:tc>
          <w:tcPr>
            <w:tcW w:w="1120" w:type="dxa"/>
            <w:vAlign w:val="bottom"/>
            <w:tcBorders>
              <w:bottom w:val="single" w:sz="8" w:color="DADAE7"/>
            </w:tcBorders>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280" w:type="dxa"/>
            <w:vAlign w:val="bottom"/>
            <w:tcBorders>
              <w:bottom w:val="single" w:sz="8" w:color="DADAE7"/>
            </w:tcBorders>
            <w:gridSpan w:val="2"/>
          </w:tcPr>
          <w:p>
            <w:pPr>
              <w:spacing w:after="0"/>
              <w:rPr>
                <w:sz w:val="2"/>
                <w:szCs w:val="2"/>
                <w:color w:val="auto"/>
              </w:rPr>
            </w:pPr>
          </w:p>
        </w:tc>
        <w:tc>
          <w:tcPr>
            <w:tcW w:w="160" w:type="dxa"/>
            <w:vAlign w:val="bottom"/>
            <w:tcBorders>
              <w:bottom w:val="single" w:sz="8" w:color="DADAE7"/>
            </w:tcBorders>
          </w:tcPr>
          <w:p>
            <w:pPr>
              <w:spacing w:after="0"/>
              <w:rPr>
                <w:sz w:val="2"/>
                <w:szCs w:val="2"/>
                <w:color w:val="auto"/>
              </w:rPr>
            </w:pPr>
          </w:p>
        </w:tc>
        <w:tc>
          <w:tcPr>
            <w:tcW w:w="1140" w:type="dxa"/>
            <w:vAlign w:val="bottom"/>
            <w:tcBorders>
              <w:bottom w:val="single" w:sz="8" w:color="DADAE7"/>
            </w:tcBorders>
          </w:tcPr>
          <w:p>
            <w:pPr>
              <w:spacing w:after="0"/>
              <w:rPr>
                <w:sz w:val="2"/>
                <w:szCs w:val="2"/>
                <w:color w:val="auto"/>
              </w:rPr>
            </w:pPr>
          </w:p>
        </w:tc>
        <w:tc>
          <w:tcPr>
            <w:tcW w:w="160" w:type="dxa"/>
            <w:vAlign w:val="bottom"/>
            <w:tcBorders>
              <w:bottom w:val="single" w:sz="8" w:color="DADAE7"/>
            </w:tcBorders>
          </w:tcPr>
          <w:p>
            <w:pPr>
              <w:spacing w:after="0"/>
              <w:rPr>
                <w:sz w:val="2"/>
                <w:szCs w:val="2"/>
                <w:color w:val="auto"/>
              </w:rPr>
            </w:pPr>
          </w:p>
        </w:tc>
        <w:tc>
          <w:tcPr>
            <w:tcW w:w="114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480" w:type="dxa"/>
            <w:vAlign w:val="bottom"/>
            <w:tcBorders>
              <w:bottom w:val="single" w:sz="8" w:color="DADAE7"/>
            </w:tcBorders>
          </w:tcPr>
          <w:p>
            <w:pPr>
              <w:spacing w:after="0"/>
              <w:rPr>
                <w:sz w:val="2"/>
                <w:szCs w:val="2"/>
                <w:color w:val="auto"/>
              </w:rPr>
            </w:pPr>
          </w:p>
        </w:tc>
        <w:tc>
          <w:tcPr>
            <w:tcW w:w="980" w:type="dxa"/>
            <w:vAlign w:val="bottom"/>
            <w:tcBorders>
              <w:bottom w:val="single" w:sz="8" w:color="DADAE7"/>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rPr>
                <w:sz w:val="20"/>
                <w:szCs w:val="20"/>
                <w:color w:val="auto"/>
              </w:rPr>
            </w:pPr>
            <w:r>
              <w:rPr>
                <w:rFonts w:ascii="Arial" w:cs="Arial" w:eastAsia="Arial" w:hAnsi="Arial"/>
                <w:sz w:val="15"/>
                <w:szCs w:val="15"/>
                <w:color w:val="auto"/>
              </w:rPr>
              <w:t>Equity instruments</w:t>
            </w:r>
          </w:p>
        </w:tc>
        <w:tc>
          <w:tcPr>
            <w:tcW w:w="1120" w:type="dxa"/>
            <w:vAlign w:val="bottom"/>
          </w:tcPr>
          <w:p>
            <w:pPr>
              <w:jc w:val="right"/>
              <w:spacing w:after="0"/>
              <w:rPr>
                <w:sz w:val="20"/>
                <w:szCs w:val="20"/>
                <w:color w:val="auto"/>
              </w:rPr>
            </w:pPr>
            <w:r>
              <w:rPr>
                <w:rFonts w:ascii="Arial" w:cs="Arial" w:eastAsia="Arial" w:hAnsi="Arial"/>
                <w:sz w:val="15"/>
                <w:szCs w:val="15"/>
                <w:color w:val="auto"/>
              </w:rPr>
              <w:t>4,464.3</w:t>
            </w:r>
          </w:p>
        </w:tc>
        <w:tc>
          <w:tcPr>
            <w:tcW w:w="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213.7</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480" w:type="dxa"/>
            <w:vAlign w:val="bottom"/>
          </w:tcPr>
          <w:p>
            <w:pPr>
              <w:jc w:val="right"/>
              <w:ind w:right="325"/>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4,678.0</w:t>
            </w:r>
          </w:p>
        </w:tc>
        <w:tc>
          <w:tcPr>
            <w:tcW w:w="0" w:type="dxa"/>
            <w:vAlign w:val="bottom"/>
          </w:tcPr>
          <w:p>
            <w:pPr>
              <w:spacing w:after="0"/>
              <w:rPr>
                <w:sz w:val="1"/>
                <w:szCs w:val="1"/>
                <w:color w:val="auto"/>
              </w:rPr>
            </w:pPr>
          </w:p>
        </w:tc>
      </w:tr>
      <w:tr>
        <w:trPr>
          <w:trHeight w:val="33"/>
        </w:trPr>
        <w:tc>
          <w:tcPr>
            <w:tcW w:w="3580" w:type="dxa"/>
            <w:vAlign w:val="bottom"/>
            <w:tcBorders>
              <w:bottom w:val="single" w:sz="8" w:color="DADAE7"/>
            </w:tcBorders>
          </w:tcPr>
          <w:p>
            <w:pPr>
              <w:spacing w:after="0"/>
              <w:rPr>
                <w:sz w:val="2"/>
                <w:szCs w:val="2"/>
                <w:color w:val="auto"/>
              </w:rPr>
            </w:pPr>
          </w:p>
        </w:tc>
        <w:tc>
          <w:tcPr>
            <w:tcW w:w="1120" w:type="dxa"/>
            <w:vAlign w:val="bottom"/>
            <w:tcBorders>
              <w:bottom w:val="single" w:sz="8" w:color="DADAE7"/>
            </w:tcBorders>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280" w:type="dxa"/>
            <w:vAlign w:val="bottom"/>
            <w:tcBorders>
              <w:bottom w:val="single" w:sz="8" w:color="DADAE7"/>
            </w:tcBorders>
            <w:gridSpan w:val="2"/>
          </w:tcPr>
          <w:p>
            <w:pPr>
              <w:spacing w:after="0"/>
              <w:rPr>
                <w:sz w:val="2"/>
                <w:szCs w:val="2"/>
                <w:color w:val="auto"/>
              </w:rPr>
            </w:pPr>
          </w:p>
        </w:tc>
        <w:tc>
          <w:tcPr>
            <w:tcW w:w="160" w:type="dxa"/>
            <w:vAlign w:val="bottom"/>
            <w:tcBorders>
              <w:bottom w:val="single" w:sz="8" w:color="DADAE7"/>
            </w:tcBorders>
          </w:tcPr>
          <w:p>
            <w:pPr>
              <w:spacing w:after="0"/>
              <w:rPr>
                <w:sz w:val="2"/>
                <w:szCs w:val="2"/>
                <w:color w:val="auto"/>
              </w:rPr>
            </w:pPr>
          </w:p>
        </w:tc>
        <w:tc>
          <w:tcPr>
            <w:tcW w:w="1140" w:type="dxa"/>
            <w:vAlign w:val="bottom"/>
            <w:tcBorders>
              <w:bottom w:val="single" w:sz="8" w:color="DADAE7"/>
            </w:tcBorders>
          </w:tcPr>
          <w:p>
            <w:pPr>
              <w:spacing w:after="0"/>
              <w:rPr>
                <w:sz w:val="2"/>
                <w:szCs w:val="2"/>
                <w:color w:val="auto"/>
              </w:rPr>
            </w:pPr>
          </w:p>
        </w:tc>
        <w:tc>
          <w:tcPr>
            <w:tcW w:w="160" w:type="dxa"/>
            <w:vAlign w:val="bottom"/>
            <w:tcBorders>
              <w:bottom w:val="single" w:sz="8" w:color="DADAE7"/>
            </w:tcBorders>
          </w:tcPr>
          <w:p>
            <w:pPr>
              <w:spacing w:after="0"/>
              <w:rPr>
                <w:sz w:val="2"/>
                <w:szCs w:val="2"/>
                <w:color w:val="auto"/>
              </w:rPr>
            </w:pPr>
          </w:p>
        </w:tc>
        <w:tc>
          <w:tcPr>
            <w:tcW w:w="114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480" w:type="dxa"/>
            <w:vAlign w:val="bottom"/>
            <w:tcBorders>
              <w:bottom w:val="single" w:sz="8" w:color="DADAE7"/>
            </w:tcBorders>
          </w:tcPr>
          <w:p>
            <w:pPr>
              <w:spacing w:after="0"/>
              <w:rPr>
                <w:sz w:val="2"/>
                <w:szCs w:val="2"/>
                <w:color w:val="auto"/>
              </w:rPr>
            </w:pPr>
          </w:p>
        </w:tc>
        <w:tc>
          <w:tcPr>
            <w:tcW w:w="980" w:type="dxa"/>
            <w:vAlign w:val="bottom"/>
            <w:tcBorders>
              <w:bottom w:val="single" w:sz="8" w:color="DADAE7"/>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rPr>
                <w:sz w:val="20"/>
                <w:szCs w:val="20"/>
                <w:color w:val="auto"/>
              </w:rPr>
            </w:pPr>
            <w:r>
              <w:rPr>
                <w:rFonts w:ascii="Arial" w:cs="Arial" w:eastAsia="Arial" w:hAnsi="Arial"/>
                <w:sz w:val="15"/>
                <w:szCs w:val="15"/>
                <w:color w:val="auto"/>
              </w:rPr>
              <w:t>Stock borrowing</w:t>
            </w:r>
          </w:p>
        </w:tc>
        <w:tc>
          <w:tcPr>
            <w:tcW w:w="1120" w:type="dxa"/>
            <w:vAlign w:val="bottom"/>
          </w:tcPr>
          <w:p>
            <w:pPr>
              <w:jc w:val="right"/>
              <w:spacing w:after="0"/>
              <w:rPr>
                <w:sz w:val="20"/>
                <w:szCs w:val="20"/>
                <w:color w:val="auto"/>
              </w:rPr>
            </w:pPr>
            <w:r>
              <w:rPr>
                <w:rFonts w:ascii="Arial" w:cs="Arial" w:eastAsia="Arial" w:hAnsi="Arial"/>
                <w:sz w:val="15"/>
                <w:szCs w:val="15"/>
                <w:color w:val="auto"/>
              </w:rPr>
              <w:t>1,577.9</w:t>
            </w:r>
          </w:p>
        </w:tc>
        <w:tc>
          <w:tcPr>
            <w:tcW w:w="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203.7</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480" w:type="dxa"/>
            <w:vAlign w:val="bottom"/>
          </w:tcPr>
          <w:p>
            <w:pPr>
              <w:jc w:val="right"/>
              <w:ind w:right="325"/>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1,781.6</w:t>
            </w:r>
          </w:p>
        </w:tc>
        <w:tc>
          <w:tcPr>
            <w:tcW w:w="0" w:type="dxa"/>
            <w:vAlign w:val="bottom"/>
          </w:tcPr>
          <w:p>
            <w:pPr>
              <w:spacing w:after="0"/>
              <w:rPr>
                <w:sz w:val="1"/>
                <w:szCs w:val="1"/>
                <w:color w:val="auto"/>
              </w:rPr>
            </w:pPr>
          </w:p>
        </w:tc>
      </w:tr>
      <w:tr>
        <w:trPr>
          <w:trHeight w:val="33"/>
        </w:trPr>
        <w:tc>
          <w:tcPr>
            <w:tcW w:w="3580" w:type="dxa"/>
            <w:vAlign w:val="bottom"/>
            <w:tcBorders>
              <w:bottom w:val="single" w:sz="8" w:color="DADAE7"/>
            </w:tcBorders>
          </w:tcPr>
          <w:p>
            <w:pPr>
              <w:spacing w:after="0"/>
              <w:rPr>
                <w:sz w:val="2"/>
                <w:szCs w:val="2"/>
                <w:color w:val="auto"/>
              </w:rPr>
            </w:pPr>
          </w:p>
        </w:tc>
        <w:tc>
          <w:tcPr>
            <w:tcW w:w="1120" w:type="dxa"/>
            <w:vAlign w:val="bottom"/>
            <w:tcBorders>
              <w:bottom w:val="single" w:sz="8" w:color="DADAE7"/>
            </w:tcBorders>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280" w:type="dxa"/>
            <w:vAlign w:val="bottom"/>
            <w:tcBorders>
              <w:bottom w:val="single" w:sz="8" w:color="DADAE7"/>
            </w:tcBorders>
            <w:gridSpan w:val="2"/>
          </w:tcPr>
          <w:p>
            <w:pPr>
              <w:spacing w:after="0"/>
              <w:rPr>
                <w:sz w:val="2"/>
                <w:szCs w:val="2"/>
                <w:color w:val="auto"/>
              </w:rPr>
            </w:pPr>
          </w:p>
        </w:tc>
        <w:tc>
          <w:tcPr>
            <w:tcW w:w="160" w:type="dxa"/>
            <w:vAlign w:val="bottom"/>
            <w:tcBorders>
              <w:bottom w:val="single" w:sz="8" w:color="DADAE7"/>
            </w:tcBorders>
          </w:tcPr>
          <w:p>
            <w:pPr>
              <w:spacing w:after="0"/>
              <w:rPr>
                <w:sz w:val="2"/>
                <w:szCs w:val="2"/>
                <w:color w:val="auto"/>
              </w:rPr>
            </w:pPr>
          </w:p>
        </w:tc>
        <w:tc>
          <w:tcPr>
            <w:tcW w:w="1140" w:type="dxa"/>
            <w:vAlign w:val="bottom"/>
            <w:tcBorders>
              <w:bottom w:val="single" w:sz="8" w:color="DADAE7"/>
            </w:tcBorders>
          </w:tcPr>
          <w:p>
            <w:pPr>
              <w:spacing w:after="0"/>
              <w:rPr>
                <w:sz w:val="2"/>
                <w:szCs w:val="2"/>
                <w:color w:val="auto"/>
              </w:rPr>
            </w:pPr>
          </w:p>
        </w:tc>
        <w:tc>
          <w:tcPr>
            <w:tcW w:w="160" w:type="dxa"/>
            <w:vAlign w:val="bottom"/>
            <w:tcBorders>
              <w:bottom w:val="single" w:sz="8" w:color="DADAE7"/>
            </w:tcBorders>
          </w:tcPr>
          <w:p>
            <w:pPr>
              <w:spacing w:after="0"/>
              <w:rPr>
                <w:sz w:val="2"/>
                <w:szCs w:val="2"/>
                <w:color w:val="auto"/>
              </w:rPr>
            </w:pPr>
          </w:p>
        </w:tc>
        <w:tc>
          <w:tcPr>
            <w:tcW w:w="114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480" w:type="dxa"/>
            <w:vAlign w:val="bottom"/>
            <w:tcBorders>
              <w:bottom w:val="single" w:sz="8" w:color="DADAE7"/>
            </w:tcBorders>
          </w:tcPr>
          <w:p>
            <w:pPr>
              <w:spacing w:after="0"/>
              <w:rPr>
                <w:sz w:val="2"/>
                <w:szCs w:val="2"/>
                <w:color w:val="auto"/>
              </w:rPr>
            </w:pPr>
          </w:p>
        </w:tc>
        <w:tc>
          <w:tcPr>
            <w:tcW w:w="980" w:type="dxa"/>
            <w:vAlign w:val="bottom"/>
            <w:tcBorders>
              <w:bottom w:val="single" w:sz="8" w:color="DADAE7"/>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rPr>
                <w:sz w:val="20"/>
                <w:szCs w:val="20"/>
                <w:color w:val="auto"/>
              </w:rPr>
            </w:pPr>
            <w:r>
              <w:rPr>
                <w:rFonts w:ascii="Arial" w:cs="Arial" w:eastAsia="Arial" w:hAnsi="Arial"/>
                <w:sz w:val="15"/>
                <w:szCs w:val="15"/>
                <w:color w:val="auto"/>
              </w:rPr>
              <w:t>Reverse repurchase agreements</w:t>
            </w:r>
          </w:p>
        </w:tc>
        <w:tc>
          <w:tcPr>
            <w:tcW w:w="1120" w:type="dxa"/>
            <w:vAlign w:val="bottom"/>
          </w:tcPr>
          <w:p>
            <w:pPr>
              <w:jc w:val="right"/>
              <w:spacing w:after="0"/>
              <w:rPr>
                <w:sz w:val="20"/>
                <w:szCs w:val="20"/>
                <w:color w:val="auto"/>
              </w:rPr>
            </w:pPr>
            <w:r>
              <w:rPr>
                <w:rFonts w:ascii="Arial" w:cs="Arial" w:eastAsia="Arial" w:hAnsi="Arial"/>
                <w:sz w:val="15"/>
                <w:szCs w:val="15"/>
                <w:color w:val="auto"/>
              </w:rPr>
              <w:t>213.0</w:t>
            </w:r>
          </w:p>
        </w:tc>
        <w:tc>
          <w:tcPr>
            <w:tcW w:w="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2,277.4</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480" w:type="dxa"/>
            <w:vAlign w:val="bottom"/>
          </w:tcPr>
          <w:p>
            <w:pPr>
              <w:jc w:val="right"/>
              <w:ind w:right="325"/>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2,490.4</w:t>
            </w:r>
          </w:p>
        </w:tc>
        <w:tc>
          <w:tcPr>
            <w:tcW w:w="0" w:type="dxa"/>
            <w:vAlign w:val="bottom"/>
          </w:tcPr>
          <w:p>
            <w:pPr>
              <w:spacing w:after="0"/>
              <w:rPr>
                <w:sz w:val="1"/>
                <w:szCs w:val="1"/>
                <w:color w:val="auto"/>
              </w:rPr>
            </w:pPr>
          </w:p>
        </w:tc>
      </w:tr>
      <w:tr>
        <w:trPr>
          <w:trHeight w:val="33"/>
        </w:trPr>
        <w:tc>
          <w:tcPr>
            <w:tcW w:w="3580" w:type="dxa"/>
            <w:vAlign w:val="bottom"/>
            <w:tcBorders>
              <w:bottom w:val="single" w:sz="8" w:color="DADAE7"/>
            </w:tcBorders>
          </w:tcPr>
          <w:p>
            <w:pPr>
              <w:spacing w:after="0"/>
              <w:rPr>
                <w:sz w:val="2"/>
                <w:szCs w:val="2"/>
                <w:color w:val="auto"/>
              </w:rPr>
            </w:pPr>
          </w:p>
        </w:tc>
        <w:tc>
          <w:tcPr>
            <w:tcW w:w="1120" w:type="dxa"/>
            <w:vAlign w:val="bottom"/>
            <w:tcBorders>
              <w:bottom w:val="single" w:sz="8" w:color="DADAE7"/>
            </w:tcBorders>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140" w:type="dxa"/>
            <w:vAlign w:val="bottom"/>
            <w:tcBorders>
              <w:bottom w:val="single" w:sz="8" w:color="DADAE7"/>
            </w:tcBorders>
          </w:tcPr>
          <w:p>
            <w:pPr>
              <w:spacing w:after="0"/>
              <w:rPr>
                <w:sz w:val="2"/>
                <w:szCs w:val="2"/>
                <w:color w:val="auto"/>
              </w:rPr>
            </w:pPr>
          </w:p>
        </w:tc>
        <w:tc>
          <w:tcPr>
            <w:tcW w:w="160" w:type="dxa"/>
            <w:vAlign w:val="bottom"/>
            <w:tcBorders>
              <w:bottom w:val="single" w:sz="8" w:color="DADAE7"/>
            </w:tcBorders>
          </w:tcPr>
          <w:p>
            <w:pPr>
              <w:spacing w:after="0"/>
              <w:rPr>
                <w:sz w:val="2"/>
                <w:szCs w:val="2"/>
                <w:color w:val="auto"/>
              </w:rPr>
            </w:pPr>
          </w:p>
        </w:tc>
        <w:tc>
          <w:tcPr>
            <w:tcW w:w="1140" w:type="dxa"/>
            <w:vAlign w:val="bottom"/>
            <w:tcBorders>
              <w:bottom w:val="single" w:sz="8" w:color="DADAE7"/>
            </w:tcBorders>
          </w:tcPr>
          <w:p>
            <w:pPr>
              <w:spacing w:after="0"/>
              <w:rPr>
                <w:sz w:val="2"/>
                <w:szCs w:val="2"/>
                <w:color w:val="auto"/>
              </w:rPr>
            </w:pPr>
          </w:p>
        </w:tc>
        <w:tc>
          <w:tcPr>
            <w:tcW w:w="160" w:type="dxa"/>
            <w:vAlign w:val="bottom"/>
            <w:tcBorders>
              <w:bottom w:val="single" w:sz="8" w:color="DADAE7"/>
            </w:tcBorders>
          </w:tcPr>
          <w:p>
            <w:pPr>
              <w:spacing w:after="0"/>
              <w:rPr>
                <w:sz w:val="2"/>
                <w:szCs w:val="2"/>
                <w:color w:val="auto"/>
              </w:rPr>
            </w:pPr>
          </w:p>
        </w:tc>
        <w:tc>
          <w:tcPr>
            <w:tcW w:w="114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480" w:type="dxa"/>
            <w:vAlign w:val="bottom"/>
            <w:tcBorders>
              <w:bottom w:val="single" w:sz="8" w:color="DADAE7"/>
            </w:tcBorders>
          </w:tcPr>
          <w:p>
            <w:pPr>
              <w:spacing w:after="0"/>
              <w:rPr>
                <w:sz w:val="2"/>
                <w:szCs w:val="2"/>
                <w:color w:val="auto"/>
              </w:rPr>
            </w:pPr>
          </w:p>
        </w:tc>
        <w:tc>
          <w:tcPr>
            <w:tcW w:w="980" w:type="dxa"/>
            <w:vAlign w:val="bottom"/>
            <w:tcBorders>
              <w:bottom w:val="single" w:sz="8" w:color="DADAE7"/>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580" w:type="dxa"/>
            <w:vAlign w:val="bottom"/>
          </w:tcPr>
          <w:p>
            <w:pPr>
              <w:ind w:left="20"/>
              <w:spacing w:after="0"/>
              <w:rPr>
                <w:sz w:val="20"/>
                <w:szCs w:val="20"/>
                <w:color w:val="auto"/>
              </w:rPr>
            </w:pPr>
            <w:r>
              <w:rPr>
                <w:rFonts w:ascii="Arial" w:cs="Arial" w:eastAsia="Arial" w:hAnsi="Arial"/>
                <w:sz w:val="15"/>
                <w:szCs w:val="15"/>
                <w:color w:val="auto"/>
              </w:rPr>
              <w:t>Amounts due from exchanges, clearing houses and</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3,215.5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80" w:type="dxa"/>
            <w:vAlign w:val="bottom"/>
            <w:vMerge w:val="restart"/>
          </w:tcPr>
          <w:p>
            <w:pPr>
              <w:jc w:val="right"/>
              <w:ind w:right="325"/>
              <w:spacing w:after="0"/>
              <w:rPr>
                <w:sz w:val="20"/>
                <w:szCs w:val="20"/>
                <w:color w:val="auto"/>
              </w:rPr>
            </w:pPr>
            <w:r>
              <w:rPr>
                <w:rFonts w:ascii="Arial" w:cs="Arial" w:eastAsia="Arial" w:hAnsi="Arial"/>
                <w:sz w:val="15"/>
                <w:szCs w:val="15"/>
                <w:color w:val="auto"/>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3,215.5</w:t>
            </w:r>
          </w:p>
        </w:tc>
        <w:tc>
          <w:tcPr>
            <w:tcW w:w="0" w:type="dxa"/>
            <w:vAlign w:val="bottom"/>
          </w:tcPr>
          <w:p>
            <w:pPr>
              <w:spacing w:after="0"/>
              <w:rPr>
                <w:sz w:val="1"/>
                <w:szCs w:val="1"/>
                <w:color w:val="auto"/>
              </w:rPr>
            </w:pPr>
          </w:p>
        </w:tc>
      </w:tr>
      <w:tr>
        <w:trPr>
          <w:trHeight w:val="213"/>
        </w:trPr>
        <w:tc>
          <w:tcPr>
            <w:tcW w:w="358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other counterparties</w:t>
            </w:r>
          </w:p>
        </w:tc>
        <w:tc>
          <w:tcPr>
            <w:tcW w:w="1120" w:type="dxa"/>
            <w:vAlign w:val="bottom"/>
            <w:tcBorders>
              <w:bottom w:val="single" w:sz="8" w:color="DADAE7"/>
            </w:tcBorders>
            <w:vMerge w:val="continue"/>
          </w:tcPr>
          <w:p>
            <w:pPr>
              <w:spacing w:after="0"/>
              <w:rPr>
                <w:sz w:val="18"/>
                <w:szCs w:val="18"/>
                <w:color w:val="auto"/>
              </w:rPr>
            </w:pPr>
          </w:p>
        </w:tc>
        <w:tc>
          <w:tcPr>
            <w:tcW w:w="40" w:type="dxa"/>
            <w:vAlign w:val="bottom"/>
            <w:tcBorders>
              <w:bottom w:val="single" w:sz="8" w:color="DADAE7"/>
            </w:tcBorders>
          </w:tcPr>
          <w:p>
            <w:pPr>
              <w:spacing w:after="0"/>
              <w:rPr>
                <w:sz w:val="18"/>
                <w:szCs w:val="18"/>
                <w:color w:val="auto"/>
              </w:rPr>
            </w:pPr>
          </w:p>
        </w:tc>
        <w:tc>
          <w:tcPr>
            <w:tcW w:w="140" w:type="dxa"/>
            <w:vAlign w:val="bottom"/>
            <w:tcBorders>
              <w:bottom w:val="single" w:sz="8" w:color="DADAE7"/>
            </w:tcBorders>
          </w:tcPr>
          <w:p>
            <w:pPr>
              <w:spacing w:after="0"/>
              <w:rPr>
                <w:sz w:val="18"/>
                <w:szCs w:val="18"/>
                <w:color w:val="auto"/>
              </w:rPr>
            </w:pPr>
          </w:p>
        </w:tc>
        <w:tc>
          <w:tcPr>
            <w:tcW w:w="1140" w:type="dxa"/>
            <w:vAlign w:val="bottom"/>
            <w:tcBorders>
              <w:bottom w:val="single" w:sz="8" w:color="DADAE7"/>
            </w:tcBorders>
            <w:vMerge w:val="continue"/>
          </w:tcPr>
          <w:p>
            <w:pPr>
              <w:spacing w:after="0"/>
              <w:rPr>
                <w:sz w:val="18"/>
                <w:szCs w:val="18"/>
                <w:color w:val="auto"/>
              </w:rPr>
            </w:pPr>
          </w:p>
        </w:tc>
        <w:tc>
          <w:tcPr>
            <w:tcW w:w="160" w:type="dxa"/>
            <w:vAlign w:val="bottom"/>
            <w:tcBorders>
              <w:bottom w:val="single" w:sz="8" w:color="DADAE7"/>
            </w:tcBorders>
          </w:tcPr>
          <w:p>
            <w:pPr>
              <w:spacing w:after="0"/>
              <w:rPr>
                <w:sz w:val="18"/>
                <w:szCs w:val="18"/>
                <w:color w:val="auto"/>
              </w:rPr>
            </w:pPr>
          </w:p>
        </w:tc>
        <w:tc>
          <w:tcPr>
            <w:tcW w:w="1140" w:type="dxa"/>
            <w:vAlign w:val="bottom"/>
            <w:tcBorders>
              <w:bottom w:val="single" w:sz="8" w:color="DADAE7"/>
            </w:tcBorders>
            <w:vMerge w:val="continue"/>
          </w:tcPr>
          <w:p>
            <w:pPr>
              <w:spacing w:after="0"/>
              <w:rPr>
                <w:sz w:val="18"/>
                <w:szCs w:val="18"/>
                <w:color w:val="auto"/>
              </w:rPr>
            </w:pPr>
          </w:p>
        </w:tc>
        <w:tc>
          <w:tcPr>
            <w:tcW w:w="160" w:type="dxa"/>
            <w:vAlign w:val="bottom"/>
            <w:tcBorders>
              <w:bottom w:val="single" w:sz="8" w:color="DADAE7"/>
            </w:tcBorders>
          </w:tcPr>
          <w:p>
            <w:pPr>
              <w:spacing w:after="0"/>
              <w:rPr>
                <w:sz w:val="18"/>
                <w:szCs w:val="18"/>
                <w:color w:val="auto"/>
              </w:rPr>
            </w:pPr>
          </w:p>
        </w:tc>
        <w:tc>
          <w:tcPr>
            <w:tcW w:w="1140" w:type="dxa"/>
            <w:vAlign w:val="bottom"/>
            <w:tcBorders>
              <w:bottom w:val="single" w:sz="8" w:color="DADAE7"/>
            </w:tcBorders>
            <w:vMerge w:val="continue"/>
          </w:tcPr>
          <w:p>
            <w:pPr>
              <w:spacing w:after="0"/>
              <w:rPr>
                <w:sz w:val="18"/>
                <w:szCs w:val="18"/>
                <w:color w:val="auto"/>
              </w:rPr>
            </w:pPr>
          </w:p>
        </w:tc>
        <w:tc>
          <w:tcPr>
            <w:tcW w:w="140" w:type="dxa"/>
            <w:vAlign w:val="bottom"/>
            <w:tcBorders>
              <w:bottom w:val="single" w:sz="8" w:color="DADAE7"/>
            </w:tcBorders>
          </w:tcPr>
          <w:p>
            <w:pPr>
              <w:spacing w:after="0"/>
              <w:rPr>
                <w:sz w:val="18"/>
                <w:szCs w:val="18"/>
                <w:color w:val="auto"/>
              </w:rPr>
            </w:pPr>
          </w:p>
        </w:tc>
        <w:tc>
          <w:tcPr>
            <w:tcW w:w="1480" w:type="dxa"/>
            <w:vAlign w:val="bottom"/>
            <w:tcBorders>
              <w:bottom w:val="single" w:sz="8" w:color="DADAE7"/>
            </w:tcBorders>
            <w:vMerge w:val="continue"/>
          </w:tcPr>
          <w:p>
            <w:pPr>
              <w:spacing w:after="0"/>
              <w:rPr>
                <w:sz w:val="18"/>
                <w:szCs w:val="18"/>
                <w:color w:val="auto"/>
              </w:rPr>
            </w:pPr>
          </w:p>
        </w:tc>
        <w:tc>
          <w:tcPr>
            <w:tcW w:w="980" w:type="dxa"/>
            <w:vAlign w:val="bottom"/>
            <w:tcBorders>
              <w:bottom w:val="single" w:sz="8" w:color="DADAE7"/>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Pr>
          <w:p>
            <w:pPr>
              <w:ind w:left="20"/>
              <w:spacing w:after="0"/>
              <w:rPr>
                <w:sz w:val="20"/>
                <w:szCs w:val="20"/>
                <w:color w:val="auto"/>
              </w:rPr>
            </w:pPr>
            <w:r>
              <w:rPr>
                <w:rFonts w:ascii="Arial" w:cs="Arial" w:eastAsia="Arial" w:hAnsi="Arial"/>
                <w:sz w:val="15"/>
                <w:szCs w:val="15"/>
                <w:color w:val="auto"/>
              </w:rPr>
              <w:t>Amounts due from Prime Brokers</w:t>
            </w:r>
          </w:p>
        </w:tc>
        <w:tc>
          <w:tcPr>
            <w:tcW w:w="1120" w:type="dxa"/>
            <w:vAlign w:val="bottom"/>
          </w:tcPr>
          <w:p>
            <w:pPr>
              <w:jc w:val="right"/>
              <w:spacing w:after="0"/>
              <w:rPr>
                <w:sz w:val="20"/>
                <w:szCs w:val="20"/>
                <w:color w:val="auto"/>
              </w:rPr>
            </w:pPr>
            <w:r>
              <w:rPr>
                <w:rFonts w:ascii="Arial" w:cs="Arial" w:eastAsia="Arial" w:hAnsi="Arial"/>
                <w:sz w:val="15"/>
                <w:szCs w:val="15"/>
                <w:color w:val="auto"/>
              </w:rPr>
              <w:t>101.5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480" w:type="dxa"/>
            <w:vAlign w:val="bottom"/>
          </w:tcPr>
          <w:p>
            <w:pPr>
              <w:jc w:val="right"/>
              <w:ind w:right="325"/>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101.5</w:t>
            </w:r>
          </w:p>
        </w:tc>
        <w:tc>
          <w:tcPr>
            <w:tcW w:w="0" w:type="dxa"/>
            <w:vAlign w:val="bottom"/>
          </w:tcPr>
          <w:p>
            <w:pPr>
              <w:spacing w:after="0"/>
              <w:rPr>
                <w:sz w:val="1"/>
                <w:szCs w:val="1"/>
                <w:color w:val="auto"/>
              </w:rPr>
            </w:pPr>
          </w:p>
        </w:tc>
      </w:tr>
      <w:tr>
        <w:trPr>
          <w:trHeight w:val="33"/>
        </w:trPr>
        <w:tc>
          <w:tcPr>
            <w:tcW w:w="3580" w:type="dxa"/>
            <w:vAlign w:val="bottom"/>
            <w:tcBorders>
              <w:bottom w:val="single" w:sz="8" w:color="DADAE7"/>
            </w:tcBorders>
          </w:tcPr>
          <w:p>
            <w:pPr>
              <w:spacing w:after="0"/>
              <w:rPr>
                <w:sz w:val="2"/>
                <w:szCs w:val="2"/>
                <w:color w:val="auto"/>
              </w:rPr>
            </w:pPr>
          </w:p>
        </w:tc>
        <w:tc>
          <w:tcPr>
            <w:tcW w:w="1120" w:type="dxa"/>
            <w:vAlign w:val="bottom"/>
            <w:tcBorders>
              <w:bottom w:val="single" w:sz="8" w:color="DADAE7"/>
            </w:tcBorders>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140" w:type="dxa"/>
            <w:vAlign w:val="bottom"/>
            <w:tcBorders>
              <w:bottom w:val="single" w:sz="8" w:color="DADAE7"/>
            </w:tcBorders>
          </w:tcPr>
          <w:p>
            <w:pPr>
              <w:spacing w:after="0"/>
              <w:rPr>
                <w:sz w:val="2"/>
                <w:szCs w:val="2"/>
                <w:color w:val="auto"/>
              </w:rPr>
            </w:pPr>
          </w:p>
        </w:tc>
        <w:tc>
          <w:tcPr>
            <w:tcW w:w="160" w:type="dxa"/>
            <w:vAlign w:val="bottom"/>
            <w:tcBorders>
              <w:bottom w:val="single" w:sz="8" w:color="DADAE7"/>
            </w:tcBorders>
          </w:tcPr>
          <w:p>
            <w:pPr>
              <w:spacing w:after="0"/>
              <w:rPr>
                <w:sz w:val="2"/>
                <w:szCs w:val="2"/>
                <w:color w:val="auto"/>
              </w:rPr>
            </w:pPr>
          </w:p>
        </w:tc>
        <w:tc>
          <w:tcPr>
            <w:tcW w:w="1140" w:type="dxa"/>
            <w:vAlign w:val="bottom"/>
            <w:tcBorders>
              <w:bottom w:val="single" w:sz="8" w:color="DADAE7"/>
            </w:tcBorders>
          </w:tcPr>
          <w:p>
            <w:pPr>
              <w:spacing w:after="0"/>
              <w:rPr>
                <w:sz w:val="2"/>
                <w:szCs w:val="2"/>
                <w:color w:val="auto"/>
              </w:rPr>
            </w:pPr>
          </w:p>
        </w:tc>
        <w:tc>
          <w:tcPr>
            <w:tcW w:w="160" w:type="dxa"/>
            <w:vAlign w:val="bottom"/>
            <w:tcBorders>
              <w:bottom w:val="single" w:sz="8" w:color="DADAE7"/>
            </w:tcBorders>
          </w:tcPr>
          <w:p>
            <w:pPr>
              <w:spacing w:after="0"/>
              <w:rPr>
                <w:sz w:val="2"/>
                <w:szCs w:val="2"/>
                <w:color w:val="auto"/>
              </w:rPr>
            </w:pPr>
          </w:p>
        </w:tc>
        <w:tc>
          <w:tcPr>
            <w:tcW w:w="114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480" w:type="dxa"/>
            <w:vAlign w:val="bottom"/>
            <w:tcBorders>
              <w:bottom w:val="single" w:sz="8" w:color="DADAE7"/>
            </w:tcBorders>
          </w:tcPr>
          <w:p>
            <w:pPr>
              <w:spacing w:after="0"/>
              <w:rPr>
                <w:sz w:val="2"/>
                <w:szCs w:val="2"/>
                <w:color w:val="auto"/>
              </w:rPr>
            </w:pPr>
          </w:p>
        </w:tc>
        <w:tc>
          <w:tcPr>
            <w:tcW w:w="980" w:type="dxa"/>
            <w:vAlign w:val="bottom"/>
            <w:tcBorders>
              <w:bottom w:val="single" w:sz="8" w:color="DADAE7"/>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rPr>
                <w:sz w:val="20"/>
                <w:szCs w:val="20"/>
                <w:color w:val="auto"/>
              </w:rPr>
            </w:pPr>
            <w:r>
              <w:rPr>
                <w:rFonts w:ascii="Arial" w:cs="Arial" w:eastAsia="Arial" w:hAnsi="Arial"/>
                <w:sz w:val="15"/>
                <w:szCs w:val="15"/>
                <w:color w:val="auto"/>
              </w:rPr>
              <w:t>Amounts receivable from clients</w:t>
            </w:r>
          </w:p>
        </w:tc>
        <w:tc>
          <w:tcPr>
            <w:tcW w:w="1120" w:type="dxa"/>
            <w:vAlign w:val="bottom"/>
          </w:tcPr>
          <w:p>
            <w:pPr>
              <w:jc w:val="right"/>
              <w:spacing w:after="0"/>
              <w:rPr>
                <w:sz w:val="20"/>
                <w:szCs w:val="20"/>
                <w:color w:val="auto"/>
              </w:rPr>
            </w:pPr>
            <w:r>
              <w:rPr>
                <w:rFonts w:ascii="Arial" w:cs="Arial" w:eastAsia="Arial" w:hAnsi="Arial"/>
                <w:sz w:val="15"/>
                <w:szCs w:val="15"/>
                <w:color w:val="auto"/>
              </w:rPr>
              <w:t>2,737.1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480" w:type="dxa"/>
            <w:vAlign w:val="bottom"/>
          </w:tcPr>
          <w:p>
            <w:pPr>
              <w:jc w:val="right"/>
              <w:ind w:right="325"/>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2,737.1</w:t>
            </w:r>
          </w:p>
        </w:tc>
        <w:tc>
          <w:tcPr>
            <w:tcW w:w="0" w:type="dxa"/>
            <w:vAlign w:val="bottom"/>
          </w:tcPr>
          <w:p>
            <w:pPr>
              <w:spacing w:after="0"/>
              <w:rPr>
                <w:sz w:val="1"/>
                <w:szCs w:val="1"/>
                <w:color w:val="auto"/>
              </w:rPr>
            </w:pPr>
          </w:p>
        </w:tc>
      </w:tr>
      <w:tr>
        <w:trPr>
          <w:trHeight w:val="33"/>
        </w:trPr>
        <w:tc>
          <w:tcPr>
            <w:tcW w:w="3580" w:type="dxa"/>
            <w:vAlign w:val="bottom"/>
            <w:tcBorders>
              <w:bottom w:val="single" w:sz="8" w:color="DADAE7"/>
            </w:tcBorders>
          </w:tcPr>
          <w:p>
            <w:pPr>
              <w:spacing w:after="0"/>
              <w:rPr>
                <w:sz w:val="2"/>
                <w:szCs w:val="2"/>
                <w:color w:val="auto"/>
              </w:rPr>
            </w:pPr>
          </w:p>
        </w:tc>
        <w:tc>
          <w:tcPr>
            <w:tcW w:w="1120" w:type="dxa"/>
            <w:vAlign w:val="bottom"/>
            <w:tcBorders>
              <w:bottom w:val="single" w:sz="8" w:color="DADAE7"/>
            </w:tcBorders>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280" w:type="dxa"/>
            <w:vAlign w:val="bottom"/>
            <w:tcBorders>
              <w:bottom w:val="single" w:sz="8" w:color="DADAE7"/>
            </w:tcBorders>
            <w:gridSpan w:val="2"/>
          </w:tcPr>
          <w:p>
            <w:pPr>
              <w:spacing w:after="0"/>
              <w:rPr>
                <w:sz w:val="2"/>
                <w:szCs w:val="2"/>
                <w:color w:val="auto"/>
              </w:rPr>
            </w:pPr>
          </w:p>
        </w:tc>
        <w:tc>
          <w:tcPr>
            <w:tcW w:w="1300" w:type="dxa"/>
            <w:vAlign w:val="bottom"/>
            <w:tcBorders>
              <w:bottom w:val="single" w:sz="8" w:color="DADAE7"/>
            </w:tcBorders>
            <w:gridSpan w:val="2"/>
          </w:tcPr>
          <w:p>
            <w:pPr>
              <w:spacing w:after="0"/>
              <w:rPr>
                <w:sz w:val="2"/>
                <w:szCs w:val="2"/>
                <w:color w:val="auto"/>
              </w:rPr>
            </w:pPr>
          </w:p>
        </w:tc>
        <w:tc>
          <w:tcPr>
            <w:tcW w:w="1300" w:type="dxa"/>
            <w:vAlign w:val="bottom"/>
            <w:tcBorders>
              <w:bottom w:val="single" w:sz="8" w:color="DADAE7"/>
            </w:tcBorders>
            <w:gridSpan w:val="2"/>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480" w:type="dxa"/>
            <w:vAlign w:val="bottom"/>
            <w:tcBorders>
              <w:bottom w:val="single" w:sz="8" w:color="DADAE7"/>
            </w:tcBorders>
          </w:tcPr>
          <w:p>
            <w:pPr>
              <w:spacing w:after="0"/>
              <w:rPr>
                <w:sz w:val="2"/>
                <w:szCs w:val="2"/>
                <w:color w:val="auto"/>
              </w:rPr>
            </w:pPr>
          </w:p>
        </w:tc>
        <w:tc>
          <w:tcPr>
            <w:tcW w:w="980" w:type="dxa"/>
            <w:vAlign w:val="bottom"/>
            <w:tcBorders>
              <w:bottom w:val="single" w:sz="8" w:color="DADAE7"/>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580" w:type="dxa"/>
            <w:vAlign w:val="bottom"/>
          </w:tcPr>
          <w:p>
            <w:pPr>
              <w:ind w:left="20"/>
              <w:spacing w:after="0"/>
              <w:rPr>
                <w:sz w:val="20"/>
                <w:szCs w:val="20"/>
                <w:color w:val="auto"/>
              </w:rPr>
            </w:pPr>
            <w:r>
              <w:rPr>
                <w:rFonts w:ascii="Arial" w:cs="Arial" w:eastAsia="Arial" w:hAnsi="Arial"/>
                <w:sz w:val="15"/>
                <w:szCs w:val="15"/>
                <w:color w:val="auto"/>
              </w:rPr>
              <w:t>Trade debtors</w:t>
            </w:r>
          </w:p>
        </w:tc>
        <w:tc>
          <w:tcPr>
            <w:tcW w:w="1120" w:type="dxa"/>
            <w:vAlign w:val="bottom"/>
          </w:tcPr>
          <w:p>
            <w:pPr>
              <w:jc w:val="right"/>
              <w:spacing w:after="0"/>
              <w:rPr>
                <w:sz w:val="20"/>
                <w:szCs w:val="20"/>
                <w:color w:val="auto"/>
              </w:rPr>
            </w:pPr>
            <w:r>
              <w:rPr>
                <w:rFonts w:ascii="Arial" w:cs="Arial" w:eastAsia="Arial" w:hAnsi="Arial"/>
                <w:sz w:val="15"/>
                <w:szCs w:val="15"/>
                <w:color w:val="auto"/>
              </w:rPr>
              <w:t>60.6</w:t>
            </w:r>
          </w:p>
        </w:tc>
        <w:tc>
          <w:tcPr>
            <w:tcW w:w="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251.7</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471.4</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2.1</w:t>
            </w:r>
          </w:p>
        </w:tc>
        <w:tc>
          <w:tcPr>
            <w:tcW w:w="140" w:type="dxa"/>
            <w:vAlign w:val="bottom"/>
          </w:tcPr>
          <w:p>
            <w:pPr>
              <w:spacing w:after="0"/>
              <w:rPr>
                <w:sz w:val="17"/>
                <w:szCs w:val="17"/>
                <w:color w:val="auto"/>
              </w:rPr>
            </w:pPr>
          </w:p>
        </w:tc>
        <w:tc>
          <w:tcPr>
            <w:tcW w:w="1480" w:type="dxa"/>
            <w:vAlign w:val="bottom"/>
          </w:tcPr>
          <w:p>
            <w:pPr>
              <w:jc w:val="right"/>
              <w:ind w:right="325"/>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785.8</w:t>
            </w:r>
          </w:p>
        </w:tc>
        <w:tc>
          <w:tcPr>
            <w:tcW w:w="0" w:type="dxa"/>
            <w:vAlign w:val="bottom"/>
          </w:tcPr>
          <w:p>
            <w:pPr>
              <w:spacing w:after="0"/>
              <w:rPr>
                <w:sz w:val="1"/>
                <w:szCs w:val="1"/>
                <w:color w:val="auto"/>
              </w:rPr>
            </w:pPr>
          </w:p>
        </w:tc>
      </w:tr>
      <w:tr>
        <w:trPr>
          <w:trHeight w:val="33"/>
        </w:trPr>
        <w:tc>
          <w:tcPr>
            <w:tcW w:w="3580" w:type="dxa"/>
            <w:vAlign w:val="bottom"/>
            <w:tcBorders>
              <w:bottom w:val="single" w:sz="8" w:color="DADAE7"/>
            </w:tcBorders>
          </w:tcPr>
          <w:p>
            <w:pPr>
              <w:spacing w:after="0"/>
              <w:rPr>
                <w:sz w:val="2"/>
                <w:szCs w:val="2"/>
                <w:color w:val="auto"/>
              </w:rPr>
            </w:pPr>
          </w:p>
        </w:tc>
        <w:tc>
          <w:tcPr>
            <w:tcW w:w="1120" w:type="dxa"/>
            <w:vAlign w:val="bottom"/>
            <w:tcBorders>
              <w:bottom w:val="single" w:sz="8" w:color="DADAE7"/>
            </w:tcBorders>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280" w:type="dxa"/>
            <w:vAlign w:val="bottom"/>
            <w:tcBorders>
              <w:bottom w:val="single" w:sz="8" w:color="DADAE7"/>
            </w:tcBorders>
            <w:gridSpan w:val="2"/>
          </w:tcPr>
          <w:p>
            <w:pPr>
              <w:spacing w:after="0"/>
              <w:rPr>
                <w:sz w:val="2"/>
                <w:szCs w:val="2"/>
                <w:color w:val="auto"/>
              </w:rPr>
            </w:pPr>
          </w:p>
        </w:tc>
        <w:tc>
          <w:tcPr>
            <w:tcW w:w="1300" w:type="dxa"/>
            <w:vAlign w:val="bottom"/>
            <w:tcBorders>
              <w:bottom w:val="single" w:sz="8" w:color="DADAE7"/>
            </w:tcBorders>
            <w:gridSpan w:val="2"/>
          </w:tcPr>
          <w:p>
            <w:pPr>
              <w:spacing w:after="0"/>
              <w:rPr>
                <w:sz w:val="2"/>
                <w:szCs w:val="2"/>
                <w:color w:val="auto"/>
              </w:rPr>
            </w:pPr>
          </w:p>
        </w:tc>
        <w:tc>
          <w:tcPr>
            <w:tcW w:w="1300" w:type="dxa"/>
            <w:vAlign w:val="bottom"/>
            <w:tcBorders>
              <w:bottom w:val="single" w:sz="8" w:color="DADAE7"/>
            </w:tcBorders>
            <w:gridSpan w:val="2"/>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480" w:type="dxa"/>
            <w:vAlign w:val="bottom"/>
            <w:tcBorders>
              <w:bottom w:val="single" w:sz="8" w:color="DADAE7"/>
            </w:tcBorders>
          </w:tcPr>
          <w:p>
            <w:pPr>
              <w:spacing w:after="0"/>
              <w:rPr>
                <w:sz w:val="2"/>
                <w:szCs w:val="2"/>
                <w:color w:val="auto"/>
              </w:rPr>
            </w:pPr>
          </w:p>
        </w:tc>
        <w:tc>
          <w:tcPr>
            <w:tcW w:w="980" w:type="dxa"/>
            <w:vAlign w:val="bottom"/>
            <w:tcBorders>
              <w:bottom w:val="single" w:sz="8" w:color="DADAE7"/>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rPr>
                <w:sz w:val="20"/>
                <w:szCs w:val="20"/>
                <w:color w:val="auto"/>
              </w:rPr>
            </w:pPr>
            <w:r>
              <w:rPr>
                <w:rFonts w:ascii="Arial" w:cs="Arial" w:eastAsia="Arial" w:hAnsi="Arial"/>
                <w:sz w:val="15"/>
                <w:szCs w:val="15"/>
                <w:color w:val="auto"/>
              </w:rPr>
              <w:t>Default funds and deposits</w:t>
            </w:r>
          </w:p>
        </w:tc>
        <w:tc>
          <w:tcPr>
            <w:tcW w:w="1120" w:type="dxa"/>
            <w:vAlign w:val="bottom"/>
          </w:tcPr>
          <w:p>
            <w:pPr>
              <w:jc w:val="right"/>
              <w:spacing w:after="0"/>
              <w:rPr>
                <w:sz w:val="20"/>
                <w:szCs w:val="20"/>
                <w:color w:val="auto"/>
              </w:rPr>
            </w:pPr>
            <w:r>
              <w:rPr>
                <w:rFonts w:ascii="Arial" w:cs="Arial" w:eastAsia="Arial" w:hAnsi="Arial"/>
                <w:sz w:val="15"/>
                <w:szCs w:val="15"/>
                <w:color w:val="auto"/>
              </w:rPr>
              <w:t>6.9</w:t>
            </w:r>
          </w:p>
        </w:tc>
        <w:tc>
          <w:tcPr>
            <w:tcW w:w="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416.4</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4.9</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45.9</w:t>
            </w:r>
          </w:p>
        </w:tc>
        <w:tc>
          <w:tcPr>
            <w:tcW w:w="140" w:type="dxa"/>
            <w:vAlign w:val="bottom"/>
          </w:tcPr>
          <w:p>
            <w:pPr>
              <w:spacing w:after="0"/>
              <w:rPr>
                <w:sz w:val="17"/>
                <w:szCs w:val="17"/>
                <w:color w:val="auto"/>
              </w:rPr>
            </w:pPr>
          </w:p>
        </w:tc>
        <w:tc>
          <w:tcPr>
            <w:tcW w:w="1480" w:type="dxa"/>
            <w:vAlign w:val="bottom"/>
          </w:tcPr>
          <w:p>
            <w:pPr>
              <w:jc w:val="right"/>
              <w:ind w:right="325"/>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474.1</w:t>
            </w:r>
          </w:p>
        </w:tc>
        <w:tc>
          <w:tcPr>
            <w:tcW w:w="0" w:type="dxa"/>
            <w:vAlign w:val="bottom"/>
          </w:tcPr>
          <w:p>
            <w:pPr>
              <w:spacing w:after="0"/>
              <w:rPr>
                <w:sz w:val="1"/>
                <w:szCs w:val="1"/>
                <w:color w:val="auto"/>
              </w:rPr>
            </w:pPr>
          </w:p>
        </w:tc>
      </w:tr>
      <w:tr>
        <w:trPr>
          <w:trHeight w:val="33"/>
        </w:trPr>
        <w:tc>
          <w:tcPr>
            <w:tcW w:w="3580" w:type="dxa"/>
            <w:vAlign w:val="bottom"/>
            <w:tcBorders>
              <w:bottom w:val="single" w:sz="8" w:color="DADAE7"/>
            </w:tcBorders>
          </w:tcPr>
          <w:p>
            <w:pPr>
              <w:spacing w:after="0"/>
              <w:rPr>
                <w:sz w:val="2"/>
                <w:szCs w:val="2"/>
                <w:color w:val="auto"/>
              </w:rPr>
            </w:pPr>
          </w:p>
        </w:tc>
        <w:tc>
          <w:tcPr>
            <w:tcW w:w="1120" w:type="dxa"/>
            <w:vAlign w:val="bottom"/>
            <w:tcBorders>
              <w:bottom w:val="single" w:sz="8" w:color="DADAE7"/>
            </w:tcBorders>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280" w:type="dxa"/>
            <w:vAlign w:val="bottom"/>
            <w:tcBorders>
              <w:bottom w:val="single" w:sz="8" w:color="DADAE7"/>
            </w:tcBorders>
            <w:gridSpan w:val="2"/>
          </w:tcPr>
          <w:p>
            <w:pPr>
              <w:spacing w:after="0"/>
              <w:rPr>
                <w:sz w:val="2"/>
                <w:szCs w:val="2"/>
                <w:color w:val="auto"/>
              </w:rPr>
            </w:pPr>
          </w:p>
        </w:tc>
        <w:tc>
          <w:tcPr>
            <w:tcW w:w="1300" w:type="dxa"/>
            <w:vAlign w:val="bottom"/>
            <w:tcBorders>
              <w:bottom w:val="single" w:sz="8" w:color="DADAE7"/>
            </w:tcBorders>
            <w:gridSpan w:val="2"/>
          </w:tcPr>
          <w:p>
            <w:pPr>
              <w:spacing w:after="0"/>
              <w:rPr>
                <w:sz w:val="2"/>
                <w:szCs w:val="2"/>
                <w:color w:val="auto"/>
              </w:rPr>
            </w:pPr>
          </w:p>
        </w:tc>
        <w:tc>
          <w:tcPr>
            <w:tcW w:w="160" w:type="dxa"/>
            <w:vAlign w:val="bottom"/>
            <w:tcBorders>
              <w:bottom w:val="single" w:sz="8" w:color="DADAE7"/>
            </w:tcBorders>
          </w:tcPr>
          <w:p>
            <w:pPr>
              <w:spacing w:after="0"/>
              <w:rPr>
                <w:sz w:val="2"/>
                <w:szCs w:val="2"/>
                <w:color w:val="auto"/>
              </w:rPr>
            </w:pPr>
          </w:p>
        </w:tc>
        <w:tc>
          <w:tcPr>
            <w:tcW w:w="114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480" w:type="dxa"/>
            <w:vAlign w:val="bottom"/>
            <w:tcBorders>
              <w:bottom w:val="single" w:sz="8" w:color="DADAE7"/>
            </w:tcBorders>
          </w:tcPr>
          <w:p>
            <w:pPr>
              <w:spacing w:after="0"/>
              <w:rPr>
                <w:sz w:val="2"/>
                <w:szCs w:val="2"/>
                <w:color w:val="auto"/>
              </w:rPr>
            </w:pPr>
          </w:p>
        </w:tc>
        <w:tc>
          <w:tcPr>
            <w:tcW w:w="980" w:type="dxa"/>
            <w:vAlign w:val="bottom"/>
            <w:tcBorders>
              <w:bottom w:val="single" w:sz="8" w:color="DADAE7"/>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rPr>
                <w:sz w:val="20"/>
                <w:szCs w:val="20"/>
                <w:color w:val="auto"/>
              </w:rPr>
            </w:pPr>
            <w:r>
              <w:rPr>
                <w:rFonts w:ascii="Arial" w:cs="Arial" w:eastAsia="Arial" w:hAnsi="Arial"/>
                <w:sz w:val="15"/>
                <w:szCs w:val="15"/>
                <w:color w:val="auto"/>
              </w:rPr>
              <w:t>Loans receivable</w:t>
            </w:r>
          </w:p>
        </w:tc>
        <w:tc>
          <w:tcPr>
            <w:tcW w:w="1120" w:type="dxa"/>
            <w:vAlign w:val="bottom"/>
          </w:tcPr>
          <w:p>
            <w:pPr>
              <w:jc w:val="right"/>
              <w:spacing w:after="0"/>
              <w:rPr>
                <w:sz w:val="20"/>
                <w:szCs w:val="20"/>
                <w:color w:val="auto"/>
              </w:rPr>
            </w:pPr>
            <w:r>
              <w:rPr>
                <w:rFonts w:ascii="Arial" w:cs="Arial" w:eastAsia="Arial" w:hAnsi="Arial"/>
                <w:sz w:val="15"/>
                <w:szCs w:val="15"/>
                <w:color w:val="auto"/>
              </w:rPr>
              <w:t>63.7</w:t>
            </w:r>
          </w:p>
        </w:tc>
        <w:tc>
          <w:tcPr>
            <w:tcW w:w="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25.7</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0.4</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480" w:type="dxa"/>
            <w:vAlign w:val="bottom"/>
          </w:tcPr>
          <w:p>
            <w:pPr>
              <w:jc w:val="right"/>
              <w:ind w:right="325"/>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89.8</w:t>
            </w:r>
          </w:p>
        </w:tc>
        <w:tc>
          <w:tcPr>
            <w:tcW w:w="0" w:type="dxa"/>
            <w:vAlign w:val="bottom"/>
          </w:tcPr>
          <w:p>
            <w:pPr>
              <w:spacing w:after="0"/>
              <w:rPr>
                <w:sz w:val="1"/>
                <w:szCs w:val="1"/>
                <w:color w:val="auto"/>
              </w:rPr>
            </w:pPr>
          </w:p>
        </w:tc>
      </w:tr>
      <w:tr>
        <w:trPr>
          <w:trHeight w:val="33"/>
        </w:trPr>
        <w:tc>
          <w:tcPr>
            <w:tcW w:w="3580" w:type="dxa"/>
            <w:vAlign w:val="bottom"/>
            <w:tcBorders>
              <w:bottom w:val="single" w:sz="8" w:color="DADAE7"/>
            </w:tcBorders>
          </w:tcPr>
          <w:p>
            <w:pPr>
              <w:spacing w:after="0"/>
              <w:rPr>
                <w:sz w:val="2"/>
                <w:szCs w:val="2"/>
                <w:color w:val="auto"/>
              </w:rPr>
            </w:pPr>
          </w:p>
        </w:tc>
        <w:tc>
          <w:tcPr>
            <w:tcW w:w="1120" w:type="dxa"/>
            <w:vAlign w:val="bottom"/>
            <w:tcBorders>
              <w:bottom w:val="single" w:sz="8" w:color="DADAE7"/>
            </w:tcBorders>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280" w:type="dxa"/>
            <w:vAlign w:val="bottom"/>
            <w:tcBorders>
              <w:bottom w:val="single" w:sz="8" w:color="DADAE7"/>
            </w:tcBorders>
            <w:gridSpan w:val="2"/>
          </w:tcPr>
          <w:p>
            <w:pPr>
              <w:spacing w:after="0"/>
              <w:rPr>
                <w:sz w:val="2"/>
                <w:szCs w:val="2"/>
                <w:color w:val="auto"/>
              </w:rPr>
            </w:pPr>
          </w:p>
        </w:tc>
        <w:tc>
          <w:tcPr>
            <w:tcW w:w="1300" w:type="dxa"/>
            <w:vAlign w:val="bottom"/>
            <w:tcBorders>
              <w:bottom w:val="single" w:sz="8" w:color="DADAE7"/>
            </w:tcBorders>
            <w:gridSpan w:val="2"/>
          </w:tcPr>
          <w:p>
            <w:pPr>
              <w:spacing w:after="0"/>
              <w:rPr>
                <w:sz w:val="2"/>
                <w:szCs w:val="2"/>
                <w:color w:val="auto"/>
              </w:rPr>
            </w:pPr>
          </w:p>
        </w:tc>
        <w:tc>
          <w:tcPr>
            <w:tcW w:w="1300" w:type="dxa"/>
            <w:vAlign w:val="bottom"/>
            <w:tcBorders>
              <w:bottom w:val="single" w:sz="8" w:color="DADAE7"/>
            </w:tcBorders>
            <w:gridSpan w:val="2"/>
          </w:tcPr>
          <w:p>
            <w:pPr>
              <w:spacing w:after="0"/>
              <w:rPr>
                <w:sz w:val="2"/>
                <w:szCs w:val="2"/>
                <w:color w:val="auto"/>
              </w:rPr>
            </w:pPr>
          </w:p>
        </w:tc>
        <w:tc>
          <w:tcPr>
            <w:tcW w:w="1620" w:type="dxa"/>
            <w:vAlign w:val="bottom"/>
            <w:tcBorders>
              <w:bottom w:val="single" w:sz="8" w:color="DADAE7"/>
            </w:tcBorders>
            <w:gridSpan w:val="2"/>
          </w:tcPr>
          <w:p>
            <w:pPr>
              <w:spacing w:after="0"/>
              <w:rPr>
                <w:sz w:val="2"/>
                <w:szCs w:val="2"/>
                <w:color w:val="auto"/>
              </w:rPr>
            </w:pPr>
          </w:p>
        </w:tc>
        <w:tc>
          <w:tcPr>
            <w:tcW w:w="980" w:type="dxa"/>
            <w:vAlign w:val="bottom"/>
            <w:tcBorders>
              <w:bottom w:val="single" w:sz="8" w:color="DADAE7"/>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rPr>
                <w:sz w:val="20"/>
                <w:szCs w:val="20"/>
                <w:color w:val="auto"/>
              </w:rPr>
            </w:pPr>
            <w:r>
              <w:rPr>
                <w:rFonts w:ascii="Arial" w:cs="Arial" w:eastAsia="Arial" w:hAnsi="Arial"/>
                <w:sz w:val="15"/>
                <w:szCs w:val="15"/>
                <w:color w:val="auto"/>
              </w:rPr>
              <w:t>Other debtors</w:t>
            </w:r>
          </w:p>
        </w:tc>
        <w:tc>
          <w:tcPr>
            <w:tcW w:w="1120" w:type="dxa"/>
            <w:vAlign w:val="bottom"/>
          </w:tcPr>
          <w:p>
            <w:pPr>
              <w:jc w:val="right"/>
              <w:spacing w:after="0"/>
              <w:rPr>
                <w:sz w:val="20"/>
                <w:szCs w:val="20"/>
                <w:color w:val="auto"/>
              </w:rPr>
            </w:pPr>
            <w:r>
              <w:rPr>
                <w:rFonts w:ascii="Arial" w:cs="Arial" w:eastAsia="Arial" w:hAnsi="Arial"/>
                <w:sz w:val="15"/>
                <w:szCs w:val="15"/>
                <w:color w:val="auto"/>
              </w:rPr>
              <w:t>32.8</w:t>
            </w:r>
          </w:p>
        </w:tc>
        <w:tc>
          <w:tcPr>
            <w:tcW w:w="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24.1</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1.5</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3.2</w:t>
            </w:r>
          </w:p>
        </w:tc>
        <w:tc>
          <w:tcPr>
            <w:tcW w:w="1620" w:type="dxa"/>
            <w:vAlign w:val="bottom"/>
            <w:gridSpan w:val="2"/>
          </w:tcPr>
          <w:p>
            <w:pPr>
              <w:jc w:val="right"/>
              <w:ind w:right="325"/>
              <w:spacing w:after="0"/>
              <w:rPr>
                <w:sz w:val="20"/>
                <w:szCs w:val="20"/>
                <w:color w:val="auto"/>
              </w:rPr>
            </w:pPr>
            <w:r>
              <w:rPr>
                <w:rFonts w:ascii="Arial" w:cs="Arial" w:eastAsia="Arial" w:hAnsi="Arial"/>
                <w:sz w:val="15"/>
                <w:szCs w:val="15"/>
                <w:color w:val="auto"/>
              </w:rPr>
              <w:t>1.4</w:t>
            </w:r>
          </w:p>
        </w:tc>
        <w:tc>
          <w:tcPr>
            <w:tcW w:w="980" w:type="dxa"/>
            <w:vAlign w:val="bottom"/>
          </w:tcPr>
          <w:p>
            <w:pPr>
              <w:jc w:val="right"/>
              <w:spacing w:after="0"/>
              <w:rPr>
                <w:sz w:val="20"/>
                <w:szCs w:val="20"/>
                <w:color w:val="auto"/>
              </w:rPr>
            </w:pPr>
            <w:r>
              <w:rPr>
                <w:rFonts w:ascii="Arial" w:cs="Arial" w:eastAsia="Arial" w:hAnsi="Arial"/>
                <w:sz w:val="15"/>
                <w:szCs w:val="15"/>
                <w:color w:val="auto"/>
              </w:rPr>
              <w:t>63.0</w:t>
            </w:r>
          </w:p>
        </w:tc>
        <w:tc>
          <w:tcPr>
            <w:tcW w:w="0" w:type="dxa"/>
            <w:vAlign w:val="bottom"/>
          </w:tcPr>
          <w:p>
            <w:pPr>
              <w:spacing w:after="0"/>
              <w:rPr>
                <w:sz w:val="1"/>
                <w:szCs w:val="1"/>
                <w:color w:val="auto"/>
              </w:rPr>
            </w:pPr>
          </w:p>
        </w:tc>
      </w:tr>
      <w:tr>
        <w:trPr>
          <w:trHeight w:val="33"/>
        </w:trPr>
        <w:tc>
          <w:tcPr>
            <w:tcW w:w="3580" w:type="dxa"/>
            <w:vAlign w:val="bottom"/>
            <w:tcBorders>
              <w:bottom w:val="single" w:sz="8" w:color="DADAE7"/>
            </w:tcBorders>
          </w:tcPr>
          <w:p>
            <w:pPr>
              <w:spacing w:after="0"/>
              <w:rPr>
                <w:sz w:val="2"/>
                <w:szCs w:val="2"/>
                <w:color w:val="auto"/>
              </w:rPr>
            </w:pPr>
          </w:p>
        </w:tc>
        <w:tc>
          <w:tcPr>
            <w:tcW w:w="1120" w:type="dxa"/>
            <w:vAlign w:val="bottom"/>
            <w:tcBorders>
              <w:bottom w:val="single" w:sz="8" w:color="DADAE7"/>
            </w:tcBorders>
          </w:tcPr>
          <w:p>
            <w:pPr>
              <w:spacing w:after="0"/>
              <w:rPr>
                <w:sz w:val="2"/>
                <w:szCs w:val="2"/>
                <w:color w:val="auto"/>
              </w:rPr>
            </w:pPr>
          </w:p>
        </w:tc>
        <w:tc>
          <w:tcPr>
            <w:tcW w:w="4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140" w:type="dxa"/>
            <w:vAlign w:val="bottom"/>
            <w:tcBorders>
              <w:bottom w:val="single" w:sz="8" w:color="DADAE7"/>
            </w:tcBorders>
          </w:tcPr>
          <w:p>
            <w:pPr>
              <w:spacing w:after="0"/>
              <w:rPr>
                <w:sz w:val="2"/>
                <w:szCs w:val="2"/>
                <w:color w:val="auto"/>
              </w:rPr>
            </w:pPr>
          </w:p>
        </w:tc>
        <w:tc>
          <w:tcPr>
            <w:tcW w:w="160" w:type="dxa"/>
            <w:vAlign w:val="bottom"/>
            <w:tcBorders>
              <w:bottom w:val="single" w:sz="8" w:color="DADAE7"/>
            </w:tcBorders>
          </w:tcPr>
          <w:p>
            <w:pPr>
              <w:spacing w:after="0"/>
              <w:rPr>
                <w:sz w:val="2"/>
                <w:szCs w:val="2"/>
                <w:color w:val="auto"/>
              </w:rPr>
            </w:pPr>
          </w:p>
        </w:tc>
        <w:tc>
          <w:tcPr>
            <w:tcW w:w="1140" w:type="dxa"/>
            <w:vAlign w:val="bottom"/>
            <w:tcBorders>
              <w:bottom w:val="single" w:sz="8" w:color="DADAE7"/>
            </w:tcBorders>
          </w:tcPr>
          <w:p>
            <w:pPr>
              <w:spacing w:after="0"/>
              <w:rPr>
                <w:sz w:val="2"/>
                <w:szCs w:val="2"/>
                <w:color w:val="auto"/>
              </w:rPr>
            </w:pPr>
          </w:p>
        </w:tc>
        <w:tc>
          <w:tcPr>
            <w:tcW w:w="160" w:type="dxa"/>
            <w:vAlign w:val="bottom"/>
            <w:tcBorders>
              <w:bottom w:val="single" w:sz="8" w:color="DADAE7"/>
            </w:tcBorders>
          </w:tcPr>
          <w:p>
            <w:pPr>
              <w:spacing w:after="0"/>
              <w:rPr>
                <w:sz w:val="2"/>
                <w:szCs w:val="2"/>
                <w:color w:val="auto"/>
              </w:rPr>
            </w:pPr>
          </w:p>
        </w:tc>
        <w:tc>
          <w:tcPr>
            <w:tcW w:w="114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480" w:type="dxa"/>
            <w:vAlign w:val="bottom"/>
            <w:tcBorders>
              <w:bottom w:val="single" w:sz="8" w:color="DADAE7"/>
            </w:tcBorders>
          </w:tcPr>
          <w:p>
            <w:pPr>
              <w:spacing w:after="0"/>
              <w:rPr>
                <w:sz w:val="2"/>
                <w:szCs w:val="2"/>
                <w:color w:val="auto"/>
              </w:rPr>
            </w:pPr>
          </w:p>
        </w:tc>
        <w:tc>
          <w:tcPr>
            <w:tcW w:w="980" w:type="dxa"/>
            <w:vAlign w:val="bottom"/>
            <w:tcBorders>
              <w:bottom w:val="single" w:sz="8" w:color="DADAE7"/>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rPr>
                <w:sz w:val="20"/>
                <w:szCs w:val="20"/>
                <w:color w:val="auto"/>
              </w:rPr>
            </w:pPr>
            <w:r>
              <w:rPr>
                <w:rFonts w:ascii="Arial" w:cs="Arial" w:eastAsia="Arial" w:hAnsi="Arial"/>
                <w:sz w:val="15"/>
                <w:szCs w:val="15"/>
                <w:color w:val="auto"/>
              </w:rPr>
              <w:t>Cash and cash equivalents</w:t>
            </w:r>
          </w:p>
        </w:tc>
        <w:tc>
          <w:tcPr>
            <w:tcW w:w="1120" w:type="dxa"/>
            <w:vAlign w:val="bottom"/>
          </w:tcPr>
          <w:p>
            <w:pPr>
              <w:jc w:val="right"/>
              <w:spacing w:after="0"/>
              <w:rPr>
                <w:sz w:val="20"/>
                <w:szCs w:val="20"/>
                <w:color w:val="auto"/>
              </w:rPr>
            </w:pPr>
            <w:r>
              <w:rPr>
                <w:rFonts w:ascii="Arial" w:cs="Arial" w:eastAsia="Arial" w:hAnsi="Arial"/>
                <w:sz w:val="15"/>
                <w:szCs w:val="15"/>
                <w:color w:val="auto"/>
              </w:rPr>
              <w:t>2,556.6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480" w:type="dxa"/>
            <w:vAlign w:val="bottom"/>
          </w:tcPr>
          <w:p>
            <w:pPr>
              <w:jc w:val="right"/>
              <w:ind w:right="325"/>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2,556.6</w:t>
            </w:r>
          </w:p>
        </w:tc>
        <w:tc>
          <w:tcPr>
            <w:tcW w:w="0" w:type="dxa"/>
            <w:vAlign w:val="bottom"/>
          </w:tcPr>
          <w:p>
            <w:pPr>
              <w:spacing w:after="0"/>
              <w:rPr>
                <w:sz w:val="1"/>
                <w:szCs w:val="1"/>
                <w:color w:val="auto"/>
              </w:rPr>
            </w:pPr>
          </w:p>
        </w:tc>
      </w:tr>
      <w:tr>
        <w:trPr>
          <w:trHeight w:val="33"/>
        </w:trPr>
        <w:tc>
          <w:tcPr>
            <w:tcW w:w="3580" w:type="dxa"/>
            <w:vAlign w:val="bottom"/>
            <w:tcBorders>
              <w:bottom w:val="single" w:sz="8" w:color="793690"/>
            </w:tcBorders>
          </w:tcPr>
          <w:p>
            <w:pPr>
              <w:spacing w:after="0"/>
              <w:rPr>
                <w:sz w:val="2"/>
                <w:szCs w:val="2"/>
                <w:color w:val="auto"/>
              </w:rPr>
            </w:pPr>
          </w:p>
        </w:tc>
        <w:tc>
          <w:tcPr>
            <w:tcW w:w="1120" w:type="dxa"/>
            <w:vAlign w:val="bottom"/>
            <w:tcBorders>
              <w:bottom w:val="single" w:sz="8" w:color="793690"/>
            </w:tcBorders>
          </w:tcPr>
          <w:p>
            <w:pPr>
              <w:spacing w:after="0"/>
              <w:rPr>
                <w:sz w:val="2"/>
                <w:szCs w:val="2"/>
                <w:color w:val="auto"/>
              </w:rPr>
            </w:pPr>
          </w:p>
        </w:tc>
        <w:tc>
          <w:tcPr>
            <w:tcW w:w="40" w:type="dxa"/>
            <w:vAlign w:val="bottom"/>
            <w:tcBorders>
              <w:bottom w:val="single" w:sz="8" w:color="793690"/>
            </w:tcBorders>
          </w:tcPr>
          <w:p>
            <w:pPr>
              <w:spacing w:after="0"/>
              <w:rPr>
                <w:sz w:val="2"/>
                <w:szCs w:val="2"/>
                <w:color w:val="auto"/>
              </w:rPr>
            </w:pPr>
          </w:p>
        </w:tc>
        <w:tc>
          <w:tcPr>
            <w:tcW w:w="1280" w:type="dxa"/>
            <w:vAlign w:val="bottom"/>
            <w:tcBorders>
              <w:bottom w:val="single" w:sz="8" w:color="793690"/>
            </w:tcBorders>
            <w:gridSpan w:val="2"/>
          </w:tcPr>
          <w:p>
            <w:pPr>
              <w:spacing w:after="0"/>
              <w:rPr>
                <w:sz w:val="2"/>
                <w:szCs w:val="2"/>
                <w:color w:val="auto"/>
              </w:rPr>
            </w:pPr>
          </w:p>
        </w:tc>
        <w:tc>
          <w:tcPr>
            <w:tcW w:w="1300" w:type="dxa"/>
            <w:vAlign w:val="bottom"/>
            <w:tcBorders>
              <w:bottom w:val="single" w:sz="8" w:color="793690"/>
            </w:tcBorders>
            <w:gridSpan w:val="2"/>
          </w:tcPr>
          <w:p>
            <w:pPr>
              <w:spacing w:after="0"/>
              <w:rPr>
                <w:sz w:val="2"/>
                <w:szCs w:val="2"/>
                <w:color w:val="auto"/>
              </w:rPr>
            </w:pPr>
          </w:p>
        </w:tc>
        <w:tc>
          <w:tcPr>
            <w:tcW w:w="1300" w:type="dxa"/>
            <w:vAlign w:val="bottom"/>
            <w:tcBorders>
              <w:bottom w:val="single" w:sz="8" w:color="793690"/>
            </w:tcBorders>
            <w:gridSpan w:val="2"/>
          </w:tcPr>
          <w:p>
            <w:pPr>
              <w:spacing w:after="0"/>
              <w:rPr>
                <w:sz w:val="2"/>
                <w:szCs w:val="2"/>
                <w:color w:val="auto"/>
              </w:rPr>
            </w:pPr>
          </w:p>
        </w:tc>
        <w:tc>
          <w:tcPr>
            <w:tcW w:w="1620" w:type="dxa"/>
            <w:vAlign w:val="bottom"/>
            <w:tcBorders>
              <w:bottom w:val="single" w:sz="8" w:color="793690"/>
            </w:tcBorders>
            <w:gridSpan w:val="2"/>
          </w:tcPr>
          <w:p>
            <w:pPr>
              <w:spacing w:after="0"/>
              <w:rPr>
                <w:sz w:val="2"/>
                <w:szCs w:val="2"/>
                <w:color w:val="auto"/>
              </w:rPr>
            </w:pPr>
          </w:p>
        </w:tc>
        <w:tc>
          <w:tcPr>
            <w:tcW w:w="980" w:type="dxa"/>
            <w:vAlign w:val="bottom"/>
            <w:tcBorders>
              <w:bottom w:val="single" w:sz="8" w:color="793690"/>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15,230.7</w:t>
            </w:r>
          </w:p>
        </w:tc>
        <w:tc>
          <w:tcPr>
            <w:tcW w:w="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6,063.8</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1,157.6</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176.3</w:t>
            </w:r>
          </w:p>
        </w:tc>
        <w:tc>
          <w:tcPr>
            <w:tcW w:w="1620" w:type="dxa"/>
            <w:vAlign w:val="bottom"/>
            <w:gridSpan w:val="2"/>
          </w:tcPr>
          <w:p>
            <w:pPr>
              <w:jc w:val="right"/>
              <w:ind w:right="325"/>
              <w:spacing w:after="0"/>
              <w:rPr>
                <w:sz w:val="20"/>
                <w:szCs w:val="20"/>
                <w:color w:val="auto"/>
              </w:rPr>
            </w:pPr>
            <w:r>
              <w:rPr>
                <w:rFonts w:ascii="Arial" w:cs="Arial" w:eastAsia="Arial" w:hAnsi="Arial"/>
                <w:sz w:val="15"/>
                <w:szCs w:val="15"/>
                <w:color w:val="auto"/>
              </w:rPr>
              <w:t>1.4</w:t>
            </w:r>
          </w:p>
        </w:tc>
        <w:tc>
          <w:tcPr>
            <w:tcW w:w="980" w:type="dxa"/>
            <w:vAlign w:val="bottom"/>
          </w:tcPr>
          <w:p>
            <w:pPr>
              <w:jc w:val="right"/>
              <w:spacing w:after="0"/>
              <w:rPr>
                <w:sz w:val="20"/>
                <w:szCs w:val="20"/>
                <w:color w:val="auto"/>
              </w:rPr>
            </w:pPr>
            <w:r>
              <w:rPr>
                <w:rFonts w:ascii="Arial" w:cs="Arial" w:eastAsia="Arial" w:hAnsi="Arial"/>
                <w:sz w:val="15"/>
                <w:szCs w:val="15"/>
                <w:color w:val="auto"/>
              </w:rPr>
              <w:t>22,629.8</w:t>
            </w:r>
          </w:p>
        </w:tc>
        <w:tc>
          <w:tcPr>
            <w:tcW w:w="0" w:type="dxa"/>
            <w:vAlign w:val="bottom"/>
          </w:tcPr>
          <w:p>
            <w:pPr>
              <w:spacing w:after="0"/>
              <w:rPr>
                <w:sz w:val="1"/>
                <w:szCs w:val="1"/>
                <w:color w:val="auto"/>
              </w:rPr>
            </w:pPr>
          </w:p>
        </w:tc>
      </w:tr>
      <w:tr>
        <w:trPr>
          <w:trHeight w:val="33"/>
        </w:trPr>
        <w:tc>
          <w:tcPr>
            <w:tcW w:w="3580" w:type="dxa"/>
            <w:vAlign w:val="bottom"/>
            <w:tcBorders>
              <w:bottom w:val="single" w:sz="8" w:color="793690"/>
            </w:tcBorders>
          </w:tcPr>
          <w:p>
            <w:pPr>
              <w:spacing w:after="0"/>
              <w:rPr>
                <w:sz w:val="2"/>
                <w:szCs w:val="2"/>
                <w:color w:val="auto"/>
              </w:rPr>
            </w:pPr>
          </w:p>
        </w:tc>
        <w:tc>
          <w:tcPr>
            <w:tcW w:w="1120" w:type="dxa"/>
            <w:vAlign w:val="bottom"/>
            <w:tcBorders>
              <w:bottom w:val="single" w:sz="8" w:color="793690"/>
            </w:tcBorders>
          </w:tcPr>
          <w:p>
            <w:pPr>
              <w:spacing w:after="0"/>
              <w:rPr>
                <w:sz w:val="2"/>
                <w:szCs w:val="2"/>
                <w:color w:val="auto"/>
              </w:rPr>
            </w:pPr>
          </w:p>
        </w:tc>
        <w:tc>
          <w:tcPr>
            <w:tcW w:w="40" w:type="dxa"/>
            <w:vAlign w:val="bottom"/>
            <w:tcBorders>
              <w:bottom w:val="single" w:sz="8" w:color="793690"/>
            </w:tcBorders>
          </w:tcPr>
          <w:p>
            <w:pPr>
              <w:spacing w:after="0"/>
              <w:rPr>
                <w:sz w:val="2"/>
                <w:szCs w:val="2"/>
                <w:color w:val="auto"/>
              </w:rPr>
            </w:pPr>
          </w:p>
        </w:tc>
        <w:tc>
          <w:tcPr>
            <w:tcW w:w="140" w:type="dxa"/>
            <w:vAlign w:val="bottom"/>
            <w:tcBorders>
              <w:bottom w:val="single" w:sz="8" w:color="793690"/>
            </w:tcBorders>
          </w:tcPr>
          <w:p>
            <w:pPr>
              <w:spacing w:after="0"/>
              <w:rPr>
                <w:sz w:val="2"/>
                <w:szCs w:val="2"/>
                <w:color w:val="auto"/>
              </w:rPr>
            </w:pPr>
          </w:p>
        </w:tc>
        <w:tc>
          <w:tcPr>
            <w:tcW w:w="1140" w:type="dxa"/>
            <w:vAlign w:val="bottom"/>
            <w:tcBorders>
              <w:bottom w:val="single" w:sz="8" w:color="793690"/>
            </w:tcBorders>
          </w:tcPr>
          <w:p>
            <w:pPr>
              <w:spacing w:after="0"/>
              <w:rPr>
                <w:sz w:val="2"/>
                <w:szCs w:val="2"/>
                <w:color w:val="auto"/>
              </w:rPr>
            </w:pPr>
          </w:p>
        </w:tc>
        <w:tc>
          <w:tcPr>
            <w:tcW w:w="160" w:type="dxa"/>
            <w:vAlign w:val="bottom"/>
            <w:tcBorders>
              <w:bottom w:val="single" w:sz="8" w:color="793690"/>
            </w:tcBorders>
          </w:tcPr>
          <w:p>
            <w:pPr>
              <w:spacing w:after="0"/>
              <w:rPr>
                <w:sz w:val="2"/>
                <w:szCs w:val="2"/>
                <w:color w:val="auto"/>
              </w:rPr>
            </w:pPr>
          </w:p>
        </w:tc>
        <w:tc>
          <w:tcPr>
            <w:tcW w:w="1140" w:type="dxa"/>
            <w:vAlign w:val="bottom"/>
            <w:tcBorders>
              <w:bottom w:val="single" w:sz="8" w:color="793690"/>
            </w:tcBorders>
          </w:tcPr>
          <w:p>
            <w:pPr>
              <w:spacing w:after="0"/>
              <w:rPr>
                <w:sz w:val="2"/>
                <w:szCs w:val="2"/>
                <w:color w:val="auto"/>
              </w:rPr>
            </w:pPr>
          </w:p>
        </w:tc>
        <w:tc>
          <w:tcPr>
            <w:tcW w:w="160" w:type="dxa"/>
            <w:vAlign w:val="bottom"/>
            <w:tcBorders>
              <w:bottom w:val="single" w:sz="8" w:color="793690"/>
            </w:tcBorders>
          </w:tcPr>
          <w:p>
            <w:pPr>
              <w:spacing w:after="0"/>
              <w:rPr>
                <w:sz w:val="2"/>
                <w:szCs w:val="2"/>
                <w:color w:val="auto"/>
              </w:rPr>
            </w:pPr>
          </w:p>
        </w:tc>
        <w:tc>
          <w:tcPr>
            <w:tcW w:w="1140" w:type="dxa"/>
            <w:vAlign w:val="bottom"/>
            <w:tcBorders>
              <w:bottom w:val="single" w:sz="8" w:color="793690"/>
            </w:tcBorders>
          </w:tcPr>
          <w:p>
            <w:pPr>
              <w:spacing w:after="0"/>
              <w:rPr>
                <w:sz w:val="2"/>
                <w:szCs w:val="2"/>
                <w:color w:val="auto"/>
              </w:rPr>
            </w:pPr>
          </w:p>
        </w:tc>
        <w:tc>
          <w:tcPr>
            <w:tcW w:w="140" w:type="dxa"/>
            <w:vAlign w:val="bottom"/>
            <w:tcBorders>
              <w:bottom w:val="single" w:sz="8" w:color="793690"/>
            </w:tcBorders>
          </w:tcPr>
          <w:p>
            <w:pPr>
              <w:spacing w:after="0"/>
              <w:rPr>
                <w:sz w:val="2"/>
                <w:szCs w:val="2"/>
                <w:color w:val="auto"/>
              </w:rPr>
            </w:pPr>
          </w:p>
        </w:tc>
        <w:tc>
          <w:tcPr>
            <w:tcW w:w="1480" w:type="dxa"/>
            <w:vAlign w:val="bottom"/>
            <w:tcBorders>
              <w:bottom w:val="single" w:sz="8" w:color="793690"/>
            </w:tcBorders>
          </w:tcPr>
          <w:p>
            <w:pPr>
              <w:spacing w:after="0"/>
              <w:rPr>
                <w:sz w:val="2"/>
                <w:szCs w:val="2"/>
                <w:color w:val="auto"/>
              </w:rPr>
            </w:pPr>
          </w:p>
        </w:tc>
        <w:tc>
          <w:tcPr>
            <w:tcW w:w="980" w:type="dxa"/>
            <w:vAlign w:val="bottom"/>
            <w:tcBorders>
              <w:bottom w:val="single" w:sz="8" w:color="79369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Both assets and liabilities are included to understand the Group’s liquidity risk management, as the liquidity is managed on a net asset and liability basis. Amounts due from exchanges, clearing houses and other counterparties, amounts receivable from clients, trade debtors, default funds and deposits, loans receivable and other debtors are aggregated on the statement of financial position in trade and other receivables and disaggregated in note 9.</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details the Group’s contractual maturity for derivative financial assets and derivative financial liabilities: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80" w:type="dxa"/>
            <w:vAlign w:val="bottom"/>
          </w:tcPr>
          <w:p>
            <w:pPr>
              <w:spacing w:after="0"/>
              <w:rPr>
                <w:sz w:val="13"/>
                <w:szCs w:val="13"/>
                <w:color w:val="auto"/>
              </w:rPr>
            </w:pPr>
          </w:p>
        </w:tc>
        <w:tc>
          <w:tcPr>
            <w:tcW w:w="1230" w:type="dxa"/>
            <w:vAlign w:val="bottom"/>
            <w:shd w:val="clear" w:color="auto" w:fill="F4EFF6"/>
          </w:tcPr>
          <w:p>
            <w:pPr>
              <w:spacing w:after="0"/>
              <w:rPr>
                <w:sz w:val="13"/>
                <w:szCs w:val="13"/>
                <w:color w:val="auto"/>
              </w:rPr>
            </w:pPr>
          </w:p>
        </w:tc>
        <w:tc>
          <w:tcPr>
            <w:tcW w:w="121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Less than 3</w:t>
            </w:r>
          </w:p>
        </w:tc>
        <w:tc>
          <w:tcPr>
            <w:tcW w:w="1680" w:type="dxa"/>
            <w:vAlign w:val="bottom"/>
            <w:shd w:val="clear" w:color="auto" w:fill="F4EFF6"/>
          </w:tcPr>
          <w:p>
            <w:pPr>
              <w:jc w:val="right"/>
              <w:ind w:right="330"/>
              <w:spacing w:after="0"/>
              <w:rPr>
                <w:sz w:val="20"/>
                <w:szCs w:val="20"/>
                <w:color w:val="auto"/>
              </w:rPr>
            </w:pPr>
            <w:r>
              <w:rPr>
                <w:rFonts w:ascii="Arial" w:cs="Arial" w:eastAsia="Arial" w:hAnsi="Arial"/>
                <w:sz w:val="13"/>
                <w:szCs w:val="13"/>
                <w:b w:val="1"/>
                <w:bCs w:val="1"/>
                <w:color w:val="auto"/>
              </w:rPr>
              <w:t>3 to 12</w:t>
            </w:r>
          </w:p>
        </w:tc>
        <w:tc>
          <w:tcPr>
            <w:tcW w:w="1280" w:type="dxa"/>
            <w:vAlign w:val="bottom"/>
            <w:shd w:val="clear" w:color="auto" w:fill="F4EFF6"/>
          </w:tcPr>
          <w:p>
            <w:pPr>
              <w:jc w:val="right"/>
              <w:ind w:right="310"/>
              <w:spacing w:after="0"/>
              <w:rPr>
                <w:sz w:val="20"/>
                <w:szCs w:val="20"/>
                <w:color w:val="auto"/>
              </w:rPr>
            </w:pPr>
            <w:r>
              <w:rPr>
                <w:rFonts w:ascii="Arial" w:cs="Arial" w:eastAsia="Arial" w:hAnsi="Arial"/>
                <w:sz w:val="13"/>
                <w:szCs w:val="13"/>
                <w:b w:val="1"/>
                <w:bCs w:val="1"/>
                <w:color w:val="auto"/>
              </w:rPr>
              <w:t>1 to 5</w:t>
            </w:r>
          </w:p>
        </w:tc>
        <w:tc>
          <w:tcPr>
            <w:tcW w:w="1260" w:type="dxa"/>
            <w:vAlign w:val="bottom"/>
            <w:shd w:val="clear" w:color="auto" w:fill="F4EFF6"/>
          </w:tcPr>
          <w:p>
            <w:pPr>
              <w:spacing w:after="0"/>
              <w:rPr>
                <w:sz w:val="13"/>
                <w:szCs w:val="13"/>
                <w:color w:val="auto"/>
              </w:rPr>
            </w:pPr>
          </w:p>
        </w:tc>
        <w:tc>
          <w:tcPr>
            <w:tcW w:w="980" w:type="dxa"/>
            <w:vAlign w:val="bottom"/>
            <w:shd w:val="clear" w:color="auto" w:fill="F4EFF6"/>
          </w:tcPr>
          <w:p>
            <w:pPr>
              <w:spacing w:after="0"/>
              <w:rPr>
                <w:sz w:val="13"/>
                <w:szCs w:val="13"/>
                <w:color w:val="auto"/>
              </w:rPr>
            </w:pPr>
          </w:p>
        </w:tc>
      </w:tr>
      <w:tr>
        <w:trPr>
          <w:trHeight w:val="172"/>
        </w:trPr>
        <w:tc>
          <w:tcPr>
            <w:tcW w:w="3580" w:type="dxa"/>
            <w:vAlign w:val="bottom"/>
          </w:tcPr>
          <w:p>
            <w:pPr>
              <w:ind w:left="20"/>
              <w:spacing w:after="0"/>
              <w:rPr>
                <w:sz w:val="20"/>
                <w:szCs w:val="20"/>
                <w:color w:val="auto"/>
              </w:rPr>
            </w:pPr>
            <w:r>
              <w:rPr>
                <w:rFonts w:ascii="Arial" w:cs="Arial" w:eastAsia="Arial" w:hAnsi="Arial"/>
                <w:sz w:val="13"/>
                <w:szCs w:val="13"/>
                <w:b w:val="1"/>
                <w:bCs w:val="1"/>
                <w:color w:val="auto"/>
              </w:rPr>
              <w:t>30 June 2025</w:t>
            </w:r>
          </w:p>
        </w:tc>
        <w:tc>
          <w:tcPr>
            <w:tcW w:w="1230" w:type="dxa"/>
            <w:vAlign w:val="bottom"/>
            <w:shd w:val="clear" w:color="auto" w:fill="F4EFF6"/>
          </w:tcPr>
          <w:p>
            <w:pPr>
              <w:jc w:val="right"/>
              <w:ind w:right="19"/>
              <w:spacing w:after="0"/>
              <w:rPr>
                <w:sz w:val="20"/>
                <w:szCs w:val="20"/>
                <w:color w:val="auto"/>
              </w:rPr>
            </w:pPr>
            <w:r>
              <w:rPr>
                <w:rFonts w:ascii="Arial" w:cs="Arial" w:eastAsia="Arial" w:hAnsi="Arial"/>
                <w:sz w:val="13"/>
                <w:szCs w:val="13"/>
                <w:b w:val="1"/>
                <w:bCs w:val="1"/>
                <w:color w:val="auto"/>
              </w:rPr>
              <w:t>On demand</w:t>
            </w:r>
          </w:p>
        </w:tc>
        <w:tc>
          <w:tcPr>
            <w:tcW w:w="121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months</w:t>
            </w:r>
          </w:p>
        </w:tc>
        <w:tc>
          <w:tcPr>
            <w:tcW w:w="1680" w:type="dxa"/>
            <w:vAlign w:val="bottom"/>
            <w:shd w:val="clear" w:color="auto" w:fill="F4EFF6"/>
          </w:tcPr>
          <w:p>
            <w:pPr>
              <w:jc w:val="right"/>
              <w:ind w:right="330"/>
              <w:spacing w:after="0"/>
              <w:rPr>
                <w:sz w:val="20"/>
                <w:szCs w:val="20"/>
                <w:color w:val="auto"/>
              </w:rPr>
            </w:pPr>
            <w:r>
              <w:rPr>
                <w:rFonts w:ascii="Arial" w:cs="Arial" w:eastAsia="Arial" w:hAnsi="Arial"/>
                <w:sz w:val="13"/>
                <w:szCs w:val="13"/>
                <w:b w:val="1"/>
                <w:bCs w:val="1"/>
                <w:color w:val="auto"/>
              </w:rPr>
              <w:t>months</w:t>
            </w:r>
          </w:p>
        </w:tc>
        <w:tc>
          <w:tcPr>
            <w:tcW w:w="1280" w:type="dxa"/>
            <w:vAlign w:val="bottom"/>
            <w:shd w:val="clear" w:color="auto" w:fill="F4EFF6"/>
          </w:tcPr>
          <w:p>
            <w:pPr>
              <w:jc w:val="right"/>
              <w:ind w:right="310"/>
              <w:spacing w:after="0"/>
              <w:rPr>
                <w:sz w:val="20"/>
                <w:szCs w:val="20"/>
                <w:color w:val="auto"/>
              </w:rPr>
            </w:pPr>
            <w:r>
              <w:rPr>
                <w:rFonts w:ascii="Arial" w:cs="Arial" w:eastAsia="Arial" w:hAnsi="Arial"/>
                <w:sz w:val="13"/>
                <w:szCs w:val="13"/>
                <w:b w:val="1"/>
                <w:bCs w:val="1"/>
                <w:color w:val="auto"/>
              </w:rPr>
              <w:t>years</w:t>
            </w:r>
          </w:p>
        </w:tc>
        <w:tc>
          <w:tcPr>
            <w:tcW w:w="1260" w:type="dxa"/>
            <w:vAlign w:val="bottom"/>
            <w:shd w:val="clear" w:color="auto" w:fill="F4EFF6"/>
          </w:tcPr>
          <w:p>
            <w:pPr>
              <w:jc w:val="right"/>
              <w:ind w:right="269"/>
              <w:spacing w:after="0"/>
              <w:rPr>
                <w:sz w:val="20"/>
                <w:szCs w:val="20"/>
                <w:color w:val="auto"/>
              </w:rPr>
            </w:pPr>
            <w:r>
              <w:rPr>
                <w:rFonts w:ascii="Arial" w:cs="Arial" w:eastAsia="Arial" w:hAnsi="Arial"/>
                <w:sz w:val="13"/>
                <w:szCs w:val="13"/>
                <w:b w:val="1"/>
                <w:bCs w:val="1"/>
                <w:color w:val="auto"/>
              </w:rPr>
              <w:t>5 + years</w:t>
            </w:r>
          </w:p>
        </w:tc>
        <w:tc>
          <w:tcPr>
            <w:tcW w:w="98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Total</w:t>
            </w:r>
          </w:p>
        </w:tc>
      </w:tr>
      <w:tr>
        <w:trPr>
          <w:trHeight w:val="224"/>
        </w:trPr>
        <w:tc>
          <w:tcPr>
            <w:tcW w:w="3580" w:type="dxa"/>
            <w:vAlign w:val="bottom"/>
          </w:tcPr>
          <w:p>
            <w:pPr>
              <w:ind w:left="20"/>
              <w:spacing w:after="0"/>
              <w:rPr>
                <w:sz w:val="20"/>
                <w:szCs w:val="20"/>
                <w:color w:val="auto"/>
              </w:rPr>
            </w:pPr>
            <w:r>
              <w:rPr>
                <w:rFonts w:ascii="Arial" w:cs="Arial" w:eastAsia="Arial" w:hAnsi="Arial"/>
                <w:sz w:val="13"/>
                <w:szCs w:val="13"/>
                <w:b w:val="1"/>
                <w:bCs w:val="1"/>
                <w:color w:val="auto"/>
              </w:rPr>
              <w:t>Derivative instruments</w:t>
            </w:r>
          </w:p>
        </w:tc>
        <w:tc>
          <w:tcPr>
            <w:tcW w:w="1230" w:type="dxa"/>
            <w:vAlign w:val="bottom"/>
            <w:tcBorders>
              <w:bottom w:val="single" w:sz="8" w:color="F4EFF6"/>
            </w:tcBorders>
            <w:shd w:val="clear" w:color="auto" w:fill="F4EFF6"/>
          </w:tcPr>
          <w:p>
            <w:pPr>
              <w:jc w:val="right"/>
              <w:ind w:right="19"/>
              <w:spacing w:after="0"/>
              <w:rPr>
                <w:sz w:val="20"/>
                <w:szCs w:val="20"/>
                <w:color w:val="auto"/>
              </w:rPr>
            </w:pPr>
            <w:r>
              <w:rPr>
                <w:rFonts w:ascii="Arial" w:cs="Arial" w:eastAsia="Arial" w:hAnsi="Arial"/>
                <w:sz w:val="13"/>
                <w:szCs w:val="13"/>
                <w:b w:val="1"/>
                <w:bCs w:val="1"/>
                <w:color w:val="auto"/>
              </w:rPr>
              <w:t>$m</w:t>
            </w:r>
          </w:p>
        </w:tc>
        <w:tc>
          <w:tcPr>
            <w:tcW w:w="121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680" w:type="dxa"/>
            <w:vAlign w:val="bottom"/>
            <w:tcBorders>
              <w:bottom w:val="single" w:sz="8" w:color="F4EFF6"/>
            </w:tcBorders>
            <w:shd w:val="clear" w:color="auto" w:fill="F4EFF6"/>
          </w:tcPr>
          <w:p>
            <w:pPr>
              <w:jc w:val="right"/>
              <w:ind w:right="330"/>
              <w:spacing w:after="0"/>
              <w:rPr>
                <w:sz w:val="20"/>
                <w:szCs w:val="20"/>
                <w:color w:val="auto"/>
              </w:rPr>
            </w:pPr>
            <w:r>
              <w:rPr>
                <w:rFonts w:ascii="Arial" w:cs="Arial" w:eastAsia="Arial" w:hAnsi="Arial"/>
                <w:sz w:val="13"/>
                <w:szCs w:val="13"/>
                <w:b w:val="1"/>
                <w:bCs w:val="1"/>
                <w:color w:val="auto"/>
              </w:rPr>
              <w:t>$m</w:t>
            </w:r>
          </w:p>
        </w:tc>
        <w:tc>
          <w:tcPr>
            <w:tcW w:w="1280" w:type="dxa"/>
            <w:vAlign w:val="bottom"/>
            <w:tcBorders>
              <w:bottom w:val="single" w:sz="8" w:color="F4EFF6"/>
            </w:tcBorders>
            <w:shd w:val="clear" w:color="auto" w:fill="F4EFF6"/>
          </w:tcPr>
          <w:p>
            <w:pPr>
              <w:jc w:val="right"/>
              <w:ind w:right="310"/>
              <w:spacing w:after="0"/>
              <w:rPr>
                <w:sz w:val="20"/>
                <w:szCs w:val="20"/>
                <w:color w:val="auto"/>
              </w:rPr>
            </w:pPr>
            <w:r>
              <w:rPr>
                <w:rFonts w:ascii="Arial" w:cs="Arial" w:eastAsia="Arial" w:hAnsi="Arial"/>
                <w:sz w:val="13"/>
                <w:szCs w:val="13"/>
                <w:b w:val="1"/>
                <w:bCs w:val="1"/>
                <w:color w:val="auto"/>
              </w:rPr>
              <w:t>$m</w:t>
            </w:r>
          </w:p>
        </w:tc>
        <w:tc>
          <w:tcPr>
            <w:tcW w:w="1260" w:type="dxa"/>
            <w:vAlign w:val="bottom"/>
            <w:tcBorders>
              <w:bottom w:val="single" w:sz="8" w:color="F4EFF6"/>
            </w:tcBorders>
            <w:shd w:val="clear" w:color="auto" w:fill="F4EFF6"/>
          </w:tcPr>
          <w:p>
            <w:pPr>
              <w:jc w:val="right"/>
              <w:ind w:right="269"/>
              <w:spacing w:after="0"/>
              <w:rPr>
                <w:sz w:val="20"/>
                <w:szCs w:val="20"/>
                <w:color w:val="auto"/>
              </w:rPr>
            </w:pPr>
            <w:r>
              <w:rPr>
                <w:rFonts w:ascii="Arial" w:cs="Arial" w:eastAsia="Arial" w:hAnsi="Arial"/>
                <w:sz w:val="13"/>
                <w:szCs w:val="13"/>
                <w:b w:val="1"/>
                <w:bCs w:val="1"/>
                <w:color w:val="auto"/>
              </w:rPr>
              <w:t>$m</w:t>
            </w:r>
          </w:p>
        </w:tc>
        <w:tc>
          <w:tcPr>
            <w:tcW w:w="98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r>
      <w:tr>
        <w:trPr>
          <w:trHeight w:val="237"/>
        </w:trPr>
        <w:tc>
          <w:tcPr>
            <w:tcW w:w="358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Assets</w:t>
            </w:r>
          </w:p>
        </w:tc>
        <w:tc>
          <w:tcPr>
            <w:tcW w:w="1230" w:type="dxa"/>
            <w:vAlign w:val="bottom"/>
            <w:tcBorders>
              <w:top w:val="single" w:sz="8" w:color="793690"/>
              <w:bottom w:val="single" w:sz="8" w:color="F4EFF6"/>
            </w:tcBorders>
            <w:shd w:val="clear" w:color="auto" w:fill="F4EFF6"/>
          </w:tcPr>
          <w:p>
            <w:pPr>
              <w:jc w:val="right"/>
              <w:ind w:right="79"/>
              <w:spacing w:after="0"/>
              <w:rPr>
                <w:sz w:val="20"/>
                <w:szCs w:val="20"/>
                <w:color w:val="auto"/>
              </w:rPr>
            </w:pPr>
            <w:r>
              <w:rPr>
                <w:rFonts w:ascii="Arial" w:cs="Arial" w:eastAsia="Arial" w:hAnsi="Arial"/>
                <w:sz w:val="15"/>
                <w:szCs w:val="15"/>
                <w:b w:val="1"/>
                <w:bCs w:val="1"/>
                <w:color w:val="auto"/>
              </w:rPr>
              <w:t>5.6</w:t>
            </w:r>
          </w:p>
        </w:tc>
        <w:tc>
          <w:tcPr>
            <w:tcW w:w="121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399.7</w:t>
            </w:r>
          </w:p>
        </w:tc>
        <w:tc>
          <w:tcPr>
            <w:tcW w:w="1680" w:type="dxa"/>
            <w:vAlign w:val="bottom"/>
            <w:tcBorders>
              <w:top w:val="single" w:sz="8" w:color="793690"/>
              <w:bottom w:val="single" w:sz="8" w:color="F4EFF6"/>
            </w:tcBorders>
            <w:shd w:val="clear" w:color="auto" w:fill="F4EFF6"/>
          </w:tcPr>
          <w:p>
            <w:pPr>
              <w:jc w:val="right"/>
              <w:ind w:right="370"/>
              <w:spacing w:after="0"/>
              <w:rPr>
                <w:sz w:val="20"/>
                <w:szCs w:val="20"/>
                <w:color w:val="auto"/>
              </w:rPr>
            </w:pPr>
            <w:r>
              <w:rPr>
                <w:rFonts w:ascii="Arial" w:cs="Arial" w:eastAsia="Arial" w:hAnsi="Arial"/>
                <w:sz w:val="15"/>
                <w:szCs w:val="15"/>
                <w:b w:val="1"/>
                <w:bCs w:val="1"/>
                <w:color w:val="auto"/>
              </w:rPr>
              <w:t>652.3</w:t>
            </w:r>
          </w:p>
        </w:tc>
        <w:tc>
          <w:tcPr>
            <w:tcW w:w="1280" w:type="dxa"/>
            <w:vAlign w:val="bottom"/>
            <w:tcBorders>
              <w:top w:val="single" w:sz="8" w:color="793690"/>
              <w:bottom w:val="single" w:sz="8" w:color="F4EFF6"/>
            </w:tcBorders>
            <w:shd w:val="clear" w:color="auto" w:fill="F4EFF6"/>
          </w:tcPr>
          <w:p>
            <w:pPr>
              <w:jc w:val="right"/>
              <w:ind w:right="350"/>
              <w:spacing w:after="0"/>
              <w:rPr>
                <w:sz w:val="20"/>
                <w:szCs w:val="20"/>
                <w:color w:val="auto"/>
              </w:rPr>
            </w:pPr>
            <w:r>
              <w:rPr>
                <w:rFonts w:ascii="Arial" w:cs="Arial" w:eastAsia="Arial" w:hAnsi="Arial"/>
                <w:sz w:val="15"/>
                <w:szCs w:val="15"/>
                <w:b w:val="1"/>
                <w:bCs w:val="1"/>
                <w:color w:val="auto"/>
              </w:rPr>
              <w:t>408.5</w:t>
            </w:r>
          </w:p>
        </w:tc>
        <w:tc>
          <w:tcPr>
            <w:tcW w:w="1260" w:type="dxa"/>
            <w:vAlign w:val="bottom"/>
            <w:tcBorders>
              <w:top w:val="single" w:sz="8" w:color="793690"/>
              <w:bottom w:val="single" w:sz="8" w:color="F4EFF6"/>
            </w:tcBorders>
            <w:shd w:val="clear" w:color="auto" w:fill="F4EFF6"/>
          </w:tcPr>
          <w:p>
            <w:pPr>
              <w:jc w:val="right"/>
              <w:ind w:right="329"/>
              <w:spacing w:after="0"/>
              <w:rPr>
                <w:sz w:val="20"/>
                <w:szCs w:val="20"/>
                <w:color w:val="auto"/>
              </w:rPr>
            </w:pPr>
            <w:r>
              <w:rPr>
                <w:rFonts w:ascii="Arial" w:cs="Arial" w:eastAsia="Arial" w:hAnsi="Arial"/>
                <w:sz w:val="15"/>
                <w:szCs w:val="15"/>
                <w:b w:val="1"/>
                <w:bCs w:val="1"/>
                <w:color w:val="auto"/>
              </w:rPr>
              <w:t>5.6</w:t>
            </w:r>
          </w:p>
        </w:tc>
        <w:tc>
          <w:tcPr>
            <w:tcW w:w="98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1,471.7</w:t>
            </w:r>
          </w:p>
        </w:tc>
      </w:tr>
      <w:tr>
        <w:trPr>
          <w:trHeight w:val="236"/>
        </w:trPr>
        <w:tc>
          <w:tcPr>
            <w:tcW w:w="35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Liabilities</w:t>
            </w:r>
          </w:p>
        </w:tc>
        <w:tc>
          <w:tcPr>
            <w:tcW w:w="1230" w:type="dxa"/>
            <w:vAlign w:val="bottom"/>
            <w:tcBorders>
              <w:top w:val="single" w:sz="8" w:color="DADAE7"/>
              <w:bottom w:val="single" w:sz="8" w:color="F4EFF6"/>
            </w:tcBorders>
            <w:shd w:val="clear" w:color="auto" w:fill="F4EFF6"/>
          </w:tcPr>
          <w:p>
            <w:pPr>
              <w:jc w:val="right"/>
              <w:ind w:right="39"/>
              <w:spacing w:after="0"/>
              <w:rPr>
                <w:sz w:val="20"/>
                <w:szCs w:val="20"/>
                <w:color w:val="auto"/>
              </w:rPr>
            </w:pPr>
            <w:r>
              <w:rPr>
                <w:rFonts w:ascii="Arial" w:cs="Arial" w:eastAsia="Arial" w:hAnsi="Arial"/>
                <w:sz w:val="15"/>
                <w:szCs w:val="15"/>
                <w:b w:val="1"/>
                <w:bCs w:val="1"/>
                <w:color w:val="auto"/>
              </w:rPr>
              <w:t>(11.1)</w:t>
            </w:r>
          </w:p>
        </w:tc>
        <w:tc>
          <w:tcPr>
            <w:tcW w:w="121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(428.0)</w:t>
            </w:r>
          </w:p>
        </w:tc>
        <w:tc>
          <w:tcPr>
            <w:tcW w:w="1680" w:type="dxa"/>
            <w:vAlign w:val="bottom"/>
            <w:tcBorders>
              <w:top w:val="single" w:sz="8" w:color="DADAE7"/>
              <w:bottom w:val="single" w:sz="8" w:color="F4EFF6"/>
            </w:tcBorders>
            <w:shd w:val="clear" w:color="auto" w:fill="F4EFF6"/>
          </w:tcPr>
          <w:p>
            <w:pPr>
              <w:jc w:val="right"/>
              <w:ind w:right="330"/>
              <w:spacing w:after="0"/>
              <w:rPr>
                <w:sz w:val="20"/>
                <w:szCs w:val="20"/>
                <w:color w:val="auto"/>
              </w:rPr>
            </w:pPr>
            <w:r>
              <w:rPr>
                <w:rFonts w:ascii="Arial" w:cs="Arial" w:eastAsia="Arial" w:hAnsi="Arial"/>
                <w:sz w:val="15"/>
                <w:szCs w:val="15"/>
                <w:b w:val="1"/>
                <w:bCs w:val="1"/>
                <w:color w:val="auto"/>
              </w:rPr>
              <w:t>(459.8)</w:t>
            </w:r>
          </w:p>
        </w:tc>
        <w:tc>
          <w:tcPr>
            <w:tcW w:w="1280" w:type="dxa"/>
            <w:vAlign w:val="bottom"/>
            <w:tcBorders>
              <w:top w:val="single" w:sz="8" w:color="DADAE7"/>
              <w:bottom w:val="single" w:sz="8" w:color="F4EFF6"/>
            </w:tcBorders>
            <w:shd w:val="clear" w:color="auto" w:fill="F4EFF6"/>
          </w:tcPr>
          <w:p>
            <w:pPr>
              <w:jc w:val="right"/>
              <w:ind w:right="310"/>
              <w:spacing w:after="0"/>
              <w:rPr>
                <w:sz w:val="20"/>
                <w:szCs w:val="20"/>
                <w:color w:val="auto"/>
              </w:rPr>
            </w:pPr>
            <w:r>
              <w:rPr>
                <w:rFonts w:ascii="Arial" w:cs="Arial" w:eastAsia="Arial" w:hAnsi="Arial"/>
                <w:sz w:val="15"/>
                <w:szCs w:val="15"/>
                <w:b w:val="1"/>
                <w:bCs w:val="1"/>
                <w:color w:val="auto"/>
              </w:rPr>
              <w:t>(166.6)</w:t>
            </w:r>
          </w:p>
        </w:tc>
        <w:tc>
          <w:tcPr>
            <w:tcW w:w="1260" w:type="dxa"/>
            <w:vAlign w:val="bottom"/>
            <w:tcBorders>
              <w:top w:val="single" w:sz="8" w:color="DADAE7"/>
              <w:bottom w:val="single" w:sz="8" w:color="F4EFF6"/>
            </w:tcBorders>
            <w:shd w:val="clear" w:color="auto" w:fill="F4EFF6"/>
          </w:tcPr>
          <w:p>
            <w:pPr>
              <w:jc w:val="right"/>
              <w:ind w:right="269"/>
              <w:spacing w:after="0"/>
              <w:rPr>
                <w:sz w:val="20"/>
                <w:szCs w:val="20"/>
                <w:color w:val="auto"/>
              </w:rPr>
            </w:pPr>
            <w:r>
              <w:rPr>
                <w:rFonts w:ascii="Arial" w:cs="Arial" w:eastAsia="Arial" w:hAnsi="Arial"/>
                <w:sz w:val="15"/>
                <w:szCs w:val="15"/>
                <w:b w:val="1"/>
                <w:bCs w:val="1"/>
                <w:color w:val="auto"/>
              </w:rPr>
              <w:t>(31.0)</w:t>
            </w:r>
          </w:p>
        </w:tc>
        <w:tc>
          <w:tcPr>
            <w:tcW w:w="98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(1,096.5)</w:t>
            </w:r>
          </w:p>
        </w:tc>
      </w:tr>
      <w:tr>
        <w:trPr>
          <w:trHeight w:val="216"/>
        </w:trPr>
        <w:tc>
          <w:tcPr>
            <w:tcW w:w="3580" w:type="dxa"/>
            <w:vAlign w:val="bottom"/>
            <w:tcBorders>
              <w:top w:val="single" w:sz="8" w:color="793690"/>
            </w:tcBorders>
          </w:tcPr>
          <w:p>
            <w:pPr>
              <w:spacing w:after="0"/>
              <w:rPr>
                <w:sz w:val="18"/>
                <w:szCs w:val="18"/>
                <w:color w:val="auto"/>
              </w:rPr>
            </w:pPr>
          </w:p>
        </w:tc>
        <w:tc>
          <w:tcPr>
            <w:tcW w:w="1230" w:type="dxa"/>
            <w:vAlign w:val="bottom"/>
            <w:tcBorders>
              <w:top w:val="single" w:sz="8" w:color="793690"/>
              <w:bottom w:val="single" w:sz="8" w:color="F4EFF6"/>
            </w:tcBorders>
            <w:shd w:val="clear" w:color="auto" w:fill="F4EFF6"/>
          </w:tcPr>
          <w:p>
            <w:pPr>
              <w:jc w:val="right"/>
              <w:ind w:right="39"/>
              <w:spacing w:after="0"/>
              <w:rPr>
                <w:sz w:val="20"/>
                <w:szCs w:val="20"/>
                <w:color w:val="auto"/>
              </w:rPr>
            </w:pPr>
            <w:r>
              <w:rPr>
                <w:rFonts w:ascii="Arial" w:cs="Arial" w:eastAsia="Arial" w:hAnsi="Arial"/>
                <w:sz w:val="15"/>
                <w:szCs w:val="15"/>
                <w:b w:val="1"/>
                <w:bCs w:val="1"/>
                <w:color w:val="auto"/>
              </w:rPr>
              <w:t>(5.5)</w:t>
            </w:r>
          </w:p>
        </w:tc>
        <w:tc>
          <w:tcPr>
            <w:tcW w:w="121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(28.3)</w:t>
            </w:r>
          </w:p>
        </w:tc>
        <w:tc>
          <w:tcPr>
            <w:tcW w:w="1680" w:type="dxa"/>
            <w:vAlign w:val="bottom"/>
            <w:tcBorders>
              <w:top w:val="single" w:sz="8" w:color="793690"/>
              <w:bottom w:val="single" w:sz="8" w:color="F4EFF6"/>
            </w:tcBorders>
            <w:shd w:val="clear" w:color="auto" w:fill="F4EFF6"/>
          </w:tcPr>
          <w:p>
            <w:pPr>
              <w:jc w:val="right"/>
              <w:ind w:right="370"/>
              <w:spacing w:after="0"/>
              <w:rPr>
                <w:sz w:val="20"/>
                <w:szCs w:val="20"/>
                <w:color w:val="auto"/>
              </w:rPr>
            </w:pPr>
            <w:r>
              <w:rPr>
                <w:rFonts w:ascii="Arial" w:cs="Arial" w:eastAsia="Arial" w:hAnsi="Arial"/>
                <w:sz w:val="15"/>
                <w:szCs w:val="15"/>
                <w:b w:val="1"/>
                <w:bCs w:val="1"/>
                <w:color w:val="auto"/>
              </w:rPr>
              <w:t>192.5</w:t>
            </w:r>
          </w:p>
        </w:tc>
        <w:tc>
          <w:tcPr>
            <w:tcW w:w="1280" w:type="dxa"/>
            <w:vAlign w:val="bottom"/>
            <w:tcBorders>
              <w:top w:val="single" w:sz="8" w:color="793690"/>
              <w:bottom w:val="single" w:sz="8" w:color="F4EFF6"/>
            </w:tcBorders>
            <w:shd w:val="clear" w:color="auto" w:fill="F4EFF6"/>
          </w:tcPr>
          <w:p>
            <w:pPr>
              <w:jc w:val="right"/>
              <w:ind w:right="350"/>
              <w:spacing w:after="0"/>
              <w:rPr>
                <w:sz w:val="20"/>
                <w:szCs w:val="20"/>
                <w:color w:val="auto"/>
              </w:rPr>
            </w:pPr>
            <w:r>
              <w:rPr>
                <w:rFonts w:ascii="Arial" w:cs="Arial" w:eastAsia="Arial" w:hAnsi="Arial"/>
                <w:sz w:val="15"/>
                <w:szCs w:val="15"/>
                <w:b w:val="1"/>
                <w:bCs w:val="1"/>
                <w:color w:val="auto"/>
              </w:rPr>
              <w:t>241.9</w:t>
            </w:r>
          </w:p>
        </w:tc>
        <w:tc>
          <w:tcPr>
            <w:tcW w:w="1260" w:type="dxa"/>
            <w:vAlign w:val="bottom"/>
            <w:tcBorders>
              <w:top w:val="single" w:sz="8" w:color="793690"/>
              <w:bottom w:val="single" w:sz="8" w:color="F4EFF6"/>
            </w:tcBorders>
            <w:shd w:val="clear" w:color="auto" w:fill="F4EFF6"/>
          </w:tcPr>
          <w:p>
            <w:pPr>
              <w:jc w:val="right"/>
              <w:ind w:right="269"/>
              <w:spacing w:after="0"/>
              <w:rPr>
                <w:sz w:val="20"/>
                <w:szCs w:val="20"/>
                <w:color w:val="auto"/>
              </w:rPr>
            </w:pPr>
            <w:r>
              <w:rPr>
                <w:rFonts w:ascii="Arial" w:cs="Arial" w:eastAsia="Arial" w:hAnsi="Arial"/>
                <w:sz w:val="15"/>
                <w:szCs w:val="15"/>
                <w:b w:val="1"/>
                <w:bCs w:val="1"/>
                <w:color w:val="auto"/>
              </w:rPr>
              <w:t>(25.4)</w:t>
            </w:r>
          </w:p>
        </w:tc>
        <w:tc>
          <w:tcPr>
            <w:tcW w:w="98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375.2</w:t>
            </w:r>
          </w:p>
        </w:tc>
      </w:tr>
      <w:tr>
        <w:trPr>
          <w:trHeight w:val="20"/>
        </w:trPr>
        <w:tc>
          <w:tcPr>
            <w:tcW w:w="3580" w:type="dxa"/>
            <w:vAlign w:val="bottom"/>
            <w:shd w:val="clear" w:color="auto" w:fill="793690"/>
          </w:tcPr>
          <w:p>
            <w:pPr>
              <w:spacing w:after="0" w:line="20" w:lineRule="exact"/>
              <w:rPr>
                <w:sz w:val="1"/>
                <w:szCs w:val="1"/>
                <w:color w:val="auto"/>
              </w:rPr>
            </w:pPr>
          </w:p>
        </w:tc>
        <w:tc>
          <w:tcPr>
            <w:tcW w:w="1230" w:type="dxa"/>
            <w:vAlign w:val="bottom"/>
            <w:shd w:val="clear" w:color="auto" w:fill="793690"/>
          </w:tcPr>
          <w:p>
            <w:pPr>
              <w:spacing w:after="0" w:line="20" w:lineRule="exact"/>
              <w:rPr>
                <w:sz w:val="1"/>
                <w:szCs w:val="1"/>
                <w:color w:val="auto"/>
              </w:rPr>
            </w:pPr>
          </w:p>
        </w:tc>
        <w:tc>
          <w:tcPr>
            <w:tcW w:w="1210" w:type="dxa"/>
            <w:vAlign w:val="bottom"/>
            <w:shd w:val="clear" w:color="auto" w:fill="793690"/>
          </w:tcPr>
          <w:p>
            <w:pPr>
              <w:spacing w:after="0" w:line="20" w:lineRule="exact"/>
              <w:rPr>
                <w:sz w:val="1"/>
                <w:szCs w:val="1"/>
                <w:color w:val="auto"/>
              </w:rPr>
            </w:pPr>
          </w:p>
        </w:tc>
        <w:tc>
          <w:tcPr>
            <w:tcW w:w="1680" w:type="dxa"/>
            <w:vAlign w:val="bottom"/>
            <w:shd w:val="clear" w:color="auto" w:fill="793690"/>
          </w:tcPr>
          <w:p>
            <w:pPr>
              <w:spacing w:after="0" w:line="20" w:lineRule="exact"/>
              <w:rPr>
                <w:sz w:val="1"/>
                <w:szCs w:val="1"/>
                <w:color w:val="auto"/>
              </w:rPr>
            </w:pPr>
          </w:p>
        </w:tc>
        <w:tc>
          <w:tcPr>
            <w:tcW w:w="1280" w:type="dxa"/>
            <w:vAlign w:val="bottom"/>
            <w:shd w:val="clear" w:color="auto" w:fill="793690"/>
          </w:tcPr>
          <w:p>
            <w:pPr>
              <w:spacing w:after="0" w:line="20" w:lineRule="exact"/>
              <w:rPr>
                <w:sz w:val="1"/>
                <w:szCs w:val="1"/>
                <w:color w:val="auto"/>
              </w:rPr>
            </w:pPr>
          </w:p>
        </w:tc>
        <w:tc>
          <w:tcPr>
            <w:tcW w:w="1260" w:type="dxa"/>
            <w:vAlign w:val="bottom"/>
            <w:shd w:val="clear" w:color="auto" w:fill="793690"/>
          </w:tcPr>
          <w:p>
            <w:pPr>
              <w:spacing w:after="0" w:line="20" w:lineRule="exact"/>
              <w:rPr>
                <w:sz w:val="1"/>
                <w:szCs w:val="1"/>
                <w:color w:val="auto"/>
              </w:rPr>
            </w:pPr>
          </w:p>
        </w:tc>
        <w:tc>
          <w:tcPr>
            <w:tcW w:w="980" w:type="dxa"/>
            <w:vAlign w:val="bottom"/>
            <w:shd w:val="clear" w:color="auto" w:fill="79369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353" w:right="359" w:bottom="7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23</w:t>
      </w:r>
    </w:p>
    <w:p>
      <w:pPr>
        <w:sectPr>
          <w:pgSz w:w="11900" w:h="16838" w:orient="portrait"/>
          <w:cols w:equalWidth="0" w:num="1">
            <w:col w:w="11220"/>
          </w:cols>
          <w:pgMar w:left="320" w:top="1353" w:right="359" w:bottom="795" w:gutter="0" w:footer="0" w:header="0"/>
          <w:type w:val="continuous"/>
        </w:sectPr>
      </w:pPr>
    </w:p>
    <w:bookmarkStart w:id="45" w:name="page46"/>
    <w:bookmarkEnd w:id="45"/>
    <w:p>
      <w:pPr>
        <w:spacing w:after="0"/>
        <w:rPr>
          <w:sz w:val="20"/>
          <w:szCs w:val="20"/>
          <w:color w:val="auto"/>
        </w:rPr>
      </w:pPr>
      <w:r>
        <w:rPr>
          <w:rFonts w:ascii="Arial" w:cs="Arial" w:eastAsia="Arial" w:hAnsi="Arial"/>
          <w:sz w:val="22"/>
          <w:szCs w:val="22"/>
          <w:b w:val="1"/>
          <w:bCs w:val="1"/>
          <w:color w:val="793690"/>
        </w:rPr>
        <w:t xml:space="preserve">Notes to the Unaudited Condensed Consolidated Financial Statements </w:t>
      </w:r>
      <w:r>
        <w:rPr>
          <w:rFonts w:ascii="Arial" w:cs="Arial" w:eastAsia="Arial" w:hAnsi="Arial"/>
          <w:sz w:val="22"/>
          <w:szCs w:val="22"/>
          <w:color w:val="793690"/>
        </w:rPr>
        <w:t>(continued)</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793690"/>
        </w:rPr>
        <w:t xml:space="preserve">13 Financial Instruments </w:t>
      </w:r>
      <w:r>
        <w:rPr>
          <w:rFonts w:ascii="Arial" w:cs="Arial" w:eastAsia="Arial" w:hAnsi="Arial"/>
          <w:sz w:val="18"/>
          <w:szCs w:val="18"/>
          <w:color w:val="793690"/>
        </w:rPr>
        <w:t>(continued)</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(b) Liquidity risk </w:t>
      </w:r>
      <w:r>
        <w:rPr>
          <w:rFonts w:ascii="Arial" w:cs="Arial" w:eastAsia="Arial" w:hAnsi="Arial"/>
          <w:sz w:val="15"/>
          <w:szCs w:val="15"/>
          <w:color w:val="auto"/>
        </w:rPr>
        <w:t>(continued)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00" w:type="dxa"/>
            <w:vAlign w:val="bottom"/>
          </w:tcPr>
          <w:p>
            <w:pPr>
              <w:jc w:val="right"/>
              <w:ind w:right="330"/>
              <w:spacing w:after="0"/>
              <w:rPr>
                <w:sz w:val="20"/>
                <w:szCs w:val="20"/>
                <w:color w:val="auto"/>
              </w:rPr>
            </w:pPr>
            <w:r>
              <w:rPr>
                <w:rFonts w:ascii="Arial" w:cs="Arial" w:eastAsia="Arial" w:hAnsi="Arial"/>
                <w:sz w:val="13"/>
                <w:szCs w:val="13"/>
                <w:b w:val="1"/>
                <w:bCs w:val="1"/>
                <w:color w:val="auto"/>
              </w:rPr>
              <w:t>Less than 3</w:t>
            </w:r>
          </w:p>
        </w:tc>
        <w:tc>
          <w:tcPr>
            <w:tcW w:w="1280" w:type="dxa"/>
            <w:vAlign w:val="bottom"/>
          </w:tcPr>
          <w:p>
            <w:pPr>
              <w:jc w:val="right"/>
              <w:ind w:right="330"/>
              <w:spacing w:after="0"/>
              <w:rPr>
                <w:sz w:val="20"/>
                <w:szCs w:val="20"/>
                <w:color w:val="auto"/>
              </w:rPr>
            </w:pPr>
            <w:r>
              <w:rPr>
                <w:rFonts w:ascii="Arial" w:cs="Arial" w:eastAsia="Arial" w:hAnsi="Arial"/>
                <w:sz w:val="13"/>
                <w:szCs w:val="13"/>
                <w:b w:val="1"/>
                <w:bCs w:val="1"/>
                <w:color w:val="auto"/>
              </w:rPr>
              <w:t>3 to 12</w:t>
            </w:r>
          </w:p>
        </w:tc>
        <w:tc>
          <w:tcPr>
            <w:tcW w:w="1280" w:type="dxa"/>
            <w:vAlign w:val="bottom"/>
          </w:tcPr>
          <w:p>
            <w:pPr>
              <w:jc w:val="right"/>
              <w:ind w:right="310"/>
              <w:spacing w:after="0"/>
              <w:rPr>
                <w:sz w:val="20"/>
                <w:szCs w:val="20"/>
                <w:color w:val="auto"/>
              </w:rPr>
            </w:pPr>
            <w:r>
              <w:rPr>
                <w:rFonts w:ascii="Arial" w:cs="Arial" w:eastAsia="Arial" w:hAnsi="Arial"/>
                <w:sz w:val="13"/>
                <w:szCs w:val="13"/>
                <w:b w:val="1"/>
                <w:bCs w:val="1"/>
                <w:color w:val="auto"/>
              </w:rPr>
              <w:t>1 to 5</w:t>
            </w:r>
          </w:p>
        </w:tc>
        <w:tc>
          <w:tcPr>
            <w:tcW w:w="13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72"/>
        </w:trPr>
        <w:tc>
          <w:tcPr>
            <w:tcW w:w="2700" w:type="dxa"/>
            <w:vAlign w:val="bottom"/>
          </w:tcPr>
          <w:p>
            <w:pPr>
              <w:ind w:left="20"/>
              <w:spacing w:after="0"/>
              <w:rPr>
                <w:sz w:val="20"/>
                <w:szCs w:val="20"/>
                <w:color w:val="auto"/>
              </w:rPr>
            </w:pPr>
            <w:r>
              <w:rPr>
                <w:rFonts w:ascii="Arial" w:cs="Arial" w:eastAsia="Arial" w:hAnsi="Arial"/>
                <w:sz w:val="13"/>
                <w:szCs w:val="13"/>
                <w:b w:val="1"/>
                <w:bCs w:val="1"/>
                <w:color w:val="auto"/>
              </w:rPr>
              <w:t>31 December 2024</w:t>
            </w:r>
          </w:p>
        </w:tc>
        <w:tc>
          <w:tcPr>
            <w:tcW w:w="2320" w:type="dxa"/>
            <w:vAlign w:val="bottom"/>
          </w:tcPr>
          <w:p>
            <w:pPr>
              <w:jc w:val="right"/>
              <w:ind w:right="229"/>
              <w:spacing w:after="0"/>
              <w:rPr>
                <w:sz w:val="20"/>
                <w:szCs w:val="20"/>
                <w:color w:val="auto"/>
              </w:rPr>
            </w:pPr>
            <w:r>
              <w:rPr>
                <w:rFonts w:ascii="Arial" w:cs="Arial" w:eastAsia="Arial" w:hAnsi="Arial"/>
                <w:sz w:val="13"/>
                <w:szCs w:val="13"/>
                <w:b w:val="1"/>
                <w:bCs w:val="1"/>
                <w:color w:val="auto"/>
              </w:rPr>
              <w:t>On demand</w:t>
            </w:r>
          </w:p>
        </w:tc>
        <w:tc>
          <w:tcPr>
            <w:tcW w:w="1400" w:type="dxa"/>
            <w:vAlign w:val="bottom"/>
          </w:tcPr>
          <w:p>
            <w:pPr>
              <w:jc w:val="right"/>
              <w:ind w:right="330"/>
              <w:spacing w:after="0"/>
              <w:rPr>
                <w:sz w:val="20"/>
                <w:szCs w:val="20"/>
                <w:color w:val="auto"/>
              </w:rPr>
            </w:pPr>
            <w:r>
              <w:rPr>
                <w:rFonts w:ascii="Arial" w:cs="Arial" w:eastAsia="Arial" w:hAnsi="Arial"/>
                <w:sz w:val="13"/>
                <w:szCs w:val="13"/>
                <w:b w:val="1"/>
                <w:bCs w:val="1"/>
                <w:color w:val="auto"/>
              </w:rPr>
              <w:t>months</w:t>
            </w:r>
          </w:p>
        </w:tc>
        <w:tc>
          <w:tcPr>
            <w:tcW w:w="1280" w:type="dxa"/>
            <w:vAlign w:val="bottom"/>
          </w:tcPr>
          <w:p>
            <w:pPr>
              <w:jc w:val="right"/>
              <w:ind w:right="330"/>
              <w:spacing w:after="0"/>
              <w:rPr>
                <w:sz w:val="20"/>
                <w:szCs w:val="20"/>
                <w:color w:val="auto"/>
              </w:rPr>
            </w:pPr>
            <w:r>
              <w:rPr>
                <w:rFonts w:ascii="Arial" w:cs="Arial" w:eastAsia="Arial" w:hAnsi="Arial"/>
                <w:sz w:val="13"/>
                <w:szCs w:val="13"/>
                <w:b w:val="1"/>
                <w:bCs w:val="1"/>
                <w:color w:val="auto"/>
              </w:rPr>
              <w:t>months</w:t>
            </w:r>
          </w:p>
        </w:tc>
        <w:tc>
          <w:tcPr>
            <w:tcW w:w="1280" w:type="dxa"/>
            <w:vAlign w:val="bottom"/>
          </w:tcPr>
          <w:p>
            <w:pPr>
              <w:jc w:val="right"/>
              <w:ind w:right="310"/>
              <w:spacing w:after="0"/>
              <w:rPr>
                <w:sz w:val="20"/>
                <w:szCs w:val="20"/>
                <w:color w:val="auto"/>
              </w:rPr>
            </w:pPr>
            <w:r>
              <w:rPr>
                <w:rFonts w:ascii="Arial" w:cs="Arial" w:eastAsia="Arial" w:hAnsi="Arial"/>
                <w:sz w:val="13"/>
                <w:szCs w:val="13"/>
                <w:b w:val="1"/>
                <w:bCs w:val="1"/>
                <w:color w:val="auto"/>
              </w:rPr>
              <w:t>years</w:t>
            </w:r>
          </w:p>
        </w:tc>
        <w:tc>
          <w:tcPr>
            <w:tcW w:w="1300" w:type="dxa"/>
            <w:vAlign w:val="bottom"/>
          </w:tcPr>
          <w:p>
            <w:pPr>
              <w:jc w:val="right"/>
              <w:ind w:right="309"/>
              <w:spacing w:after="0"/>
              <w:rPr>
                <w:sz w:val="20"/>
                <w:szCs w:val="20"/>
                <w:color w:val="auto"/>
              </w:rPr>
            </w:pPr>
            <w:r>
              <w:rPr>
                <w:rFonts w:ascii="Arial" w:cs="Arial" w:eastAsia="Arial" w:hAnsi="Arial"/>
                <w:sz w:val="13"/>
                <w:szCs w:val="13"/>
                <w:b w:val="1"/>
                <w:bCs w:val="1"/>
                <w:color w:val="auto"/>
              </w:rPr>
              <w:t>5 + years</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r>
      <w:tr>
        <w:trPr>
          <w:trHeight w:val="203"/>
        </w:trPr>
        <w:tc>
          <w:tcPr>
            <w:tcW w:w="2700" w:type="dxa"/>
            <w:vAlign w:val="bottom"/>
          </w:tcPr>
          <w:p>
            <w:pPr>
              <w:ind w:left="20"/>
              <w:spacing w:after="0"/>
              <w:rPr>
                <w:sz w:val="20"/>
                <w:szCs w:val="20"/>
                <w:color w:val="auto"/>
              </w:rPr>
            </w:pPr>
            <w:r>
              <w:rPr>
                <w:rFonts w:ascii="Arial" w:cs="Arial" w:eastAsia="Arial" w:hAnsi="Arial"/>
                <w:sz w:val="13"/>
                <w:szCs w:val="13"/>
                <w:b w:val="1"/>
                <w:bCs w:val="1"/>
                <w:color w:val="auto"/>
              </w:rPr>
              <w:t>Derivative instruments</w:t>
            </w:r>
          </w:p>
        </w:tc>
        <w:tc>
          <w:tcPr>
            <w:tcW w:w="2320" w:type="dxa"/>
            <w:vAlign w:val="bottom"/>
          </w:tcPr>
          <w:p>
            <w:pPr>
              <w:jc w:val="right"/>
              <w:ind w:right="229"/>
              <w:spacing w:after="0"/>
              <w:rPr>
                <w:sz w:val="20"/>
                <w:szCs w:val="20"/>
                <w:color w:val="auto"/>
              </w:rPr>
            </w:pPr>
            <w:r>
              <w:rPr>
                <w:rFonts w:ascii="Arial" w:cs="Arial" w:eastAsia="Arial" w:hAnsi="Arial"/>
                <w:sz w:val="13"/>
                <w:szCs w:val="13"/>
                <w:b w:val="1"/>
                <w:bCs w:val="1"/>
                <w:color w:val="auto"/>
              </w:rPr>
              <w:t>$m</w:t>
            </w:r>
          </w:p>
        </w:tc>
        <w:tc>
          <w:tcPr>
            <w:tcW w:w="1400" w:type="dxa"/>
            <w:vAlign w:val="bottom"/>
          </w:tcPr>
          <w:p>
            <w:pPr>
              <w:jc w:val="right"/>
              <w:ind w:right="330"/>
              <w:spacing w:after="0"/>
              <w:rPr>
                <w:sz w:val="20"/>
                <w:szCs w:val="20"/>
                <w:color w:val="auto"/>
              </w:rPr>
            </w:pPr>
            <w:r>
              <w:rPr>
                <w:rFonts w:ascii="Arial" w:cs="Arial" w:eastAsia="Arial" w:hAnsi="Arial"/>
                <w:sz w:val="13"/>
                <w:szCs w:val="13"/>
                <w:b w:val="1"/>
                <w:bCs w:val="1"/>
                <w:color w:val="auto"/>
              </w:rPr>
              <w:t>$m</w:t>
            </w:r>
          </w:p>
        </w:tc>
        <w:tc>
          <w:tcPr>
            <w:tcW w:w="1280" w:type="dxa"/>
            <w:vAlign w:val="bottom"/>
          </w:tcPr>
          <w:p>
            <w:pPr>
              <w:jc w:val="right"/>
              <w:ind w:right="330"/>
              <w:spacing w:after="0"/>
              <w:rPr>
                <w:sz w:val="20"/>
                <w:szCs w:val="20"/>
                <w:color w:val="auto"/>
              </w:rPr>
            </w:pPr>
            <w:r>
              <w:rPr>
                <w:rFonts w:ascii="Arial" w:cs="Arial" w:eastAsia="Arial" w:hAnsi="Arial"/>
                <w:sz w:val="13"/>
                <w:szCs w:val="13"/>
                <w:b w:val="1"/>
                <w:bCs w:val="1"/>
                <w:color w:val="auto"/>
              </w:rPr>
              <w:t>$m</w:t>
            </w:r>
          </w:p>
        </w:tc>
        <w:tc>
          <w:tcPr>
            <w:tcW w:w="1280" w:type="dxa"/>
            <w:vAlign w:val="bottom"/>
          </w:tcPr>
          <w:p>
            <w:pPr>
              <w:jc w:val="right"/>
              <w:ind w:right="310"/>
              <w:spacing w:after="0"/>
              <w:rPr>
                <w:sz w:val="20"/>
                <w:szCs w:val="20"/>
                <w:color w:val="auto"/>
              </w:rPr>
            </w:pPr>
            <w:r>
              <w:rPr>
                <w:rFonts w:ascii="Arial" w:cs="Arial" w:eastAsia="Arial" w:hAnsi="Arial"/>
                <w:sz w:val="13"/>
                <w:szCs w:val="13"/>
                <w:b w:val="1"/>
                <w:bCs w:val="1"/>
                <w:color w:val="auto"/>
              </w:rPr>
              <w:t>$m</w:t>
            </w:r>
          </w:p>
        </w:tc>
        <w:tc>
          <w:tcPr>
            <w:tcW w:w="1300" w:type="dxa"/>
            <w:vAlign w:val="bottom"/>
          </w:tcPr>
          <w:p>
            <w:pPr>
              <w:jc w:val="right"/>
              <w:ind w:right="309"/>
              <w:spacing w:after="0"/>
              <w:rPr>
                <w:sz w:val="20"/>
                <w:szCs w:val="20"/>
                <w:color w:val="auto"/>
              </w:rPr>
            </w:pPr>
            <w:r>
              <w:rPr>
                <w:rFonts w:ascii="Arial" w:cs="Arial" w:eastAsia="Arial" w:hAnsi="Arial"/>
                <w:sz w:val="13"/>
                <w:szCs w:val="13"/>
                <w:b w:val="1"/>
                <w:bCs w:val="1"/>
                <w:color w:val="auto"/>
              </w:rPr>
              <w:t>$m</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$m</w:t>
            </w:r>
          </w:p>
        </w:tc>
      </w:tr>
      <w:tr>
        <w:trPr>
          <w:trHeight w:val="22"/>
        </w:trPr>
        <w:tc>
          <w:tcPr>
            <w:tcW w:w="2700" w:type="dxa"/>
            <w:vAlign w:val="bottom"/>
            <w:tcBorders>
              <w:bottom w:val="single" w:sz="8" w:color="793690"/>
            </w:tcBorders>
          </w:tcPr>
          <w:p>
            <w:pPr>
              <w:spacing w:after="0" w:line="20" w:lineRule="exact"/>
              <w:rPr>
                <w:sz w:val="1"/>
                <w:szCs w:val="1"/>
                <w:color w:val="auto"/>
              </w:rPr>
            </w:pPr>
          </w:p>
        </w:tc>
        <w:tc>
          <w:tcPr>
            <w:tcW w:w="2320" w:type="dxa"/>
            <w:vAlign w:val="bottom"/>
            <w:tcBorders>
              <w:bottom w:val="single" w:sz="8" w:color="793690"/>
            </w:tcBorders>
          </w:tcPr>
          <w:p>
            <w:pPr>
              <w:spacing w:after="0" w:line="20" w:lineRule="exact"/>
              <w:rPr>
                <w:sz w:val="1"/>
                <w:szCs w:val="1"/>
                <w:color w:val="auto"/>
              </w:rPr>
            </w:pPr>
          </w:p>
        </w:tc>
        <w:tc>
          <w:tcPr>
            <w:tcW w:w="1400" w:type="dxa"/>
            <w:vAlign w:val="bottom"/>
            <w:tcBorders>
              <w:bottom w:val="single" w:sz="8" w:color="793690"/>
            </w:tcBorders>
          </w:tcPr>
          <w:p>
            <w:pPr>
              <w:spacing w:after="0" w:line="20" w:lineRule="exact"/>
              <w:rPr>
                <w:sz w:val="1"/>
                <w:szCs w:val="1"/>
                <w:color w:val="auto"/>
              </w:rPr>
            </w:pPr>
          </w:p>
        </w:tc>
        <w:tc>
          <w:tcPr>
            <w:tcW w:w="1280" w:type="dxa"/>
            <w:vAlign w:val="bottom"/>
            <w:tcBorders>
              <w:bottom w:val="single" w:sz="8" w:color="793690"/>
            </w:tcBorders>
          </w:tcPr>
          <w:p>
            <w:pPr>
              <w:spacing w:after="0" w:line="20" w:lineRule="exact"/>
              <w:rPr>
                <w:sz w:val="1"/>
                <w:szCs w:val="1"/>
                <w:color w:val="auto"/>
              </w:rPr>
            </w:pPr>
          </w:p>
        </w:tc>
        <w:tc>
          <w:tcPr>
            <w:tcW w:w="1280" w:type="dxa"/>
            <w:vAlign w:val="bottom"/>
            <w:tcBorders>
              <w:bottom w:val="single" w:sz="8" w:color="793690"/>
            </w:tcBorders>
          </w:tcPr>
          <w:p>
            <w:pPr>
              <w:spacing w:after="0" w:line="20" w:lineRule="exact"/>
              <w:rPr>
                <w:sz w:val="1"/>
                <w:szCs w:val="1"/>
                <w:color w:val="auto"/>
              </w:rPr>
            </w:pPr>
          </w:p>
        </w:tc>
        <w:tc>
          <w:tcPr>
            <w:tcW w:w="1300" w:type="dxa"/>
            <w:vAlign w:val="bottom"/>
            <w:tcBorders>
              <w:bottom w:val="single" w:sz="8" w:color="793690"/>
            </w:tcBorders>
          </w:tcPr>
          <w:p>
            <w:pPr>
              <w:spacing w:after="0" w:line="20" w:lineRule="exact"/>
              <w:rPr>
                <w:sz w:val="1"/>
                <w:szCs w:val="1"/>
                <w:color w:val="auto"/>
              </w:rPr>
            </w:pPr>
          </w:p>
        </w:tc>
        <w:tc>
          <w:tcPr>
            <w:tcW w:w="940" w:type="dxa"/>
            <w:vAlign w:val="bottom"/>
            <w:tcBorders>
              <w:bottom w:val="single" w:sz="8" w:color="793690"/>
            </w:tcBorders>
          </w:tcPr>
          <w:p>
            <w:pPr>
              <w:spacing w:after="0" w:line="20" w:lineRule="exact"/>
              <w:rPr>
                <w:sz w:val="1"/>
                <w:szCs w:val="1"/>
                <w:color w:val="auto"/>
              </w:rPr>
            </w:pPr>
          </w:p>
        </w:tc>
      </w:tr>
      <w:tr>
        <w:trPr>
          <w:trHeight w:val="204"/>
        </w:trPr>
        <w:tc>
          <w:tcPr>
            <w:tcW w:w="2700" w:type="dxa"/>
            <w:vAlign w:val="bottom"/>
          </w:tcPr>
          <w:p>
            <w:pPr>
              <w:ind w:left="20"/>
              <w:spacing w:after="0"/>
              <w:rPr>
                <w:sz w:val="20"/>
                <w:szCs w:val="20"/>
                <w:color w:val="auto"/>
              </w:rPr>
            </w:pPr>
            <w:r>
              <w:rPr>
                <w:rFonts w:ascii="Arial" w:cs="Arial" w:eastAsia="Arial" w:hAnsi="Arial"/>
                <w:sz w:val="15"/>
                <w:szCs w:val="15"/>
                <w:color w:val="auto"/>
              </w:rPr>
              <w:t>Assets</w:t>
            </w:r>
          </w:p>
        </w:tc>
        <w:tc>
          <w:tcPr>
            <w:tcW w:w="2320" w:type="dxa"/>
            <w:vAlign w:val="bottom"/>
          </w:tcPr>
          <w:p>
            <w:pPr>
              <w:ind w:left="1820"/>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390"/>
              <w:spacing w:after="0"/>
              <w:rPr>
                <w:sz w:val="20"/>
                <w:szCs w:val="20"/>
                <w:color w:val="auto"/>
              </w:rPr>
            </w:pPr>
            <w:r>
              <w:rPr>
                <w:rFonts w:ascii="Arial" w:cs="Arial" w:eastAsia="Arial" w:hAnsi="Arial"/>
                <w:sz w:val="15"/>
                <w:szCs w:val="15"/>
                <w:color w:val="auto"/>
              </w:rPr>
              <w:t>381.4</w:t>
            </w:r>
          </w:p>
        </w:tc>
        <w:tc>
          <w:tcPr>
            <w:tcW w:w="1280" w:type="dxa"/>
            <w:vAlign w:val="bottom"/>
          </w:tcPr>
          <w:p>
            <w:pPr>
              <w:jc w:val="right"/>
              <w:ind w:right="370"/>
              <w:spacing w:after="0"/>
              <w:rPr>
                <w:sz w:val="20"/>
                <w:szCs w:val="20"/>
                <w:color w:val="auto"/>
              </w:rPr>
            </w:pPr>
            <w:r>
              <w:rPr>
                <w:rFonts w:ascii="Arial" w:cs="Arial" w:eastAsia="Arial" w:hAnsi="Arial"/>
                <w:sz w:val="15"/>
                <w:szCs w:val="15"/>
                <w:color w:val="auto"/>
              </w:rPr>
              <w:t>381.3</w:t>
            </w:r>
          </w:p>
        </w:tc>
        <w:tc>
          <w:tcPr>
            <w:tcW w:w="1280" w:type="dxa"/>
            <w:vAlign w:val="bottom"/>
          </w:tcPr>
          <w:p>
            <w:pPr>
              <w:jc w:val="right"/>
              <w:ind w:right="350"/>
              <w:spacing w:after="0"/>
              <w:rPr>
                <w:sz w:val="20"/>
                <w:szCs w:val="20"/>
                <w:color w:val="auto"/>
              </w:rPr>
            </w:pPr>
            <w:r>
              <w:rPr>
                <w:rFonts w:ascii="Arial" w:cs="Arial" w:eastAsia="Arial" w:hAnsi="Arial"/>
                <w:sz w:val="15"/>
                <w:szCs w:val="15"/>
                <w:color w:val="auto"/>
              </w:rPr>
              <w:t>396.5</w:t>
            </w:r>
          </w:p>
        </w:tc>
        <w:tc>
          <w:tcPr>
            <w:tcW w:w="1300" w:type="dxa"/>
            <w:vAlign w:val="bottom"/>
          </w:tcPr>
          <w:p>
            <w:pPr>
              <w:jc w:val="right"/>
              <w:ind w:right="369"/>
              <w:spacing w:after="0"/>
              <w:rPr>
                <w:sz w:val="20"/>
                <w:szCs w:val="20"/>
                <w:color w:val="auto"/>
              </w:rPr>
            </w:pPr>
            <w:r>
              <w:rPr>
                <w:rFonts w:ascii="Arial" w:cs="Arial" w:eastAsia="Arial" w:hAnsi="Arial"/>
                <w:sz w:val="15"/>
                <w:szCs w:val="15"/>
                <w:color w:val="auto"/>
              </w:rPr>
              <w:t>4.3</w:t>
            </w:r>
          </w:p>
        </w:tc>
        <w:tc>
          <w:tcPr>
            <w:tcW w:w="940" w:type="dxa"/>
            <w:vAlign w:val="bottom"/>
          </w:tcPr>
          <w:p>
            <w:pPr>
              <w:jc w:val="right"/>
              <w:spacing w:after="0"/>
              <w:rPr>
                <w:sz w:val="20"/>
                <w:szCs w:val="20"/>
                <w:color w:val="auto"/>
              </w:rPr>
            </w:pPr>
            <w:r>
              <w:rPr>
                <w:rFonts w:ascii="Arial" w:cs="Arial" w:eastAsia="Arial" w:hAnsi="Arial"/>
                <w:sz w:val="15"/>
                <w:szCs w:val="15"/>
                <w:color w:val="auto"/>
              </w:rPr>
              <w:t>1,163.5</w:t>
            </w:r>
          </w:p>
        </w:tc>
      </w:tr>
      <w:tr>
        <w:trPr>
          <w:trHeight w:val="33"/>
        </w:trPr>
        <w:tc>
          <w:tcPr>
            <w:tcW w:w="2700" w:type="dxa"/>
            <w:vAlign w:val="bottom"/>
            <w:tcBorders>
              <w:bottom w:val="single" w:sz="8" w:color="DADAE7"/>
            </w:tcBorders>
          </w:tcPr>
          <w:p>
            <w:pPr>
              <w:spacing w:after="0"/>
              <w:rPr>
                <w:sz w:val="2"/>
                <w:szCs w:val="2"/>
                <w:color w:val="auto"/>
              </w:rPr>
            </w:pPr>
          </w:p>
        </w:tc>
        <w:tc>
          <w:tcPr>
            <w:tcW w:w="2320" w:type="dxa"/>
            <w:vAlign w:val="bottom"/>
            <w:tcBorders>
              <w:bottom w:val="single" w:sz="8" w:color="DADAE7"/>
            </w:tcBorders>
          </w:tcPr>
          <w:p>
            <w:pPr>
              <w:spacing w:after="0"/>
              <w:rPr>
                <w:sz w:val="2"/>
                <w:szCs w:val="2"/>
                <w:color w:val="auto"/>
              </w:rPr>
            </w:pPr>
          </w:p>
        </w:tc>
        <w:tc>
          <w:tcPr>
            <w:tcW w:w="1400" w:type="dxa"/>
            <w:vAlign w:val="bottom"/>
            <w:tcBorders>
              <w:bottom w:val="single" w:sz="8" w:color="DADAE7"/>
            </w:tcBorders>
          </w:tcPr>
          <w:p>
            <w:pPr>
              <w:spacing w:after="0"/>
              <w:rPr>
                <w:sz w:val="2"/>
                <w:szCs w:val="2"/>
                <w:color w:val="auto"/>
              </w:rPr>
            </w:pPr>
          </w:p>
        </w:tc>
        <w:tc>
          <w:tcPr>
            <w:tcW w:w="1280" w:type="dxa"/>
            <w:vAlign w:val="bottom"/>
            <w:tcBorders>
              <w:bottom w:val="single" w:sz="8" w:color="DADAE7"/>
            </w:tcBorders>
          </w:tcPr>
          <w:p>
            <w:pPr>
              <w:spacing w:after="0"/>
              <w:rPr>
                <w:sz w:val="2"/>
                <w:szCs w:val="2"/>
                <w:color w:val="auto"/>
              </w:rPr>
            </w:pPr>
          </w:p>
        </w:tc>
        <w:tc>
          <w:tcPr>
            <w:tcW w:w="1280" w:type="dxa"/>
            <w:vAlign w:val="bottom"/>
            <w:tcBorders>
              <w:bottom w:val="single" w:sz="8" w:color="DADAE7"/>
            </w:tcBorders>
          </w:tcPr>
          <w:p>
            <w:pPr>
              <w:spacing w:after="0"/>
              <w:rPr>
                <w:sz w:val="2"/>
                <w:szCs w:val="2"/>
                <w:color w:val="auto"/>
              </w:rPr>
            </w:pPr>
          </w:p>
        </w:tc>
        <w:tc>
          <w:tcPr>
            <w:tcW w:w="1300" w:type="dxa"/>
            <w:vAlign w:val="bottom"/>
            <w:tcBorders>
              <w:bottom w:val="single" w:sz="8" w:color="DADAE7"/>
            </w:tcBorders>
          </w:tcPr>
          <w:p>
            <w:pPr>
              <w:spacing w:after="0"/>
              <w:rPr>
                <w:sz w:val="2"/>
                <w:szCs w:val="2"/>
                <w:color w:val="auto"/>
              </w:rPr>
            </w:pPr>
          </w:p>
        </w:tc>
        <w:tc>
          <w:tcPr>
            <w:tcW w:w="940" w:type="dxa"/>
            <w:vAlign w:val="bottom"/>
            <w:tcBorders>
              <w:bottom w:val="single" w:sz="8" w:color="DADAE7"/>
            </w:tcBorders>
          </w:tcPr>
          <w:p>
            <w:pPr>
              <w:spacing w:after="0"/>
              <w:rPr>
                <w:sz w:val="2"/>
                <w:szCs w:val="2"/>
                <w:color w:val="auto"/>
              </w:rPr>
            </w:pPr>
          </w:p>
        </w:tc>
      </w:tr>
      <w:tr>
        <w:trPr>
          <w:trHeight w:val="204"/>
        </w:trPr>
        <w:tc>
          <w:tcPr>
            <w:tcW w:w="2700" w:type="dxa"/>
            <w:vAlign w:val="bottom"/>
          </w:tcPr>
          <w:p>
            <w:pPr>
              <w:ind w:left="20"/>
              <w:spacing w:after="0"/>
              <w:rPr>
                <w:sz w:val="20"/>
                <w:szCs w:val="20"/>
                <w:color w:val="auto"/>
              </w:rPr>
            </w:pPr>
            <w:r>
              <w:rPr>
                <w:rFonts w:ascii="Arial" w:cs="Arial" w:eastAsia="Arial" w:hAnsi="Arial"/>
                <w:sz w:val="15"/>
                <w:szCs w:val="15"/>
                <w:color w:val="auto"/>
              </w:rPr>
              <w:t>Liabilities</w:t>
            </w:r>
          </w:p>
        </w:tc>
        <w:tc>
          <w:tcPr>
            <w:tcW w:w="2320" w:type="dxa"/>
            <w:vAlign w:val="bottom"/>
          </w:tcPr>
          <w:p>
            <w:pPr>
              <w:ind w:left="1820"/>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350"/>
              <w:spacing w:after="0"/>
              <w:rPr>
                <w:sz w:val="20"/>
                <w:szCs w:val="20"/>
                <w:color w:val="auto"/>
              </w:rPr>
            </w:pPr>
            <w:r>
              <w:rPr>
                <w:rFonts w:ascii="Arial" w:cs="Arial" w:eastAsia="Arial" w:hAnsi="Arial"/>
                <w:sz w:val="15"/>
                <w:szCs w:val="15"/>
                <w:color w:val="auto"/>
              </w:rPr>
              <w:t>(357.3)</w:t>
            </w:r>
          </w:p>
        </w:tc>
        <w:tc>
          <w:tcPr>
            <w:tcW w:w="1280" w:type="dxa"/>
            <w:vAlign w:val="bottom"/>
          </w:tcPr>
          <w:p>
            <w:pPr>
              <w:jc w:val="right"/>
              <w:ind w:right="330"/>
              <w:spacing w:after="0"/>
              <w:rPr>
                <w:sz w:val="20"/>
                <w:szCs w:val="20"/>
                <w:color w:val="auto"/>
              </w:rPr>
            </w:pPr>
            <w:r>
              <w:rPr>
                <w:rFonts w:ascii="Arial" w:cs="Arial" w:eastAsia="Arial" w:hAnsi="Arial"/>
                <w:sz w:val="15"/>
                <w:szCs w:val="15"/>
                <w:color w:val="auto"/>
              </w:rPr>
              <w:t>(164.9)</w:t>
            </w:r>
          </w:p>
        </w:tc>
        <w:tc>
          <w:tcPr>
            <w:tcW w:w="1280" w:type="dxa"/>
            <w:vAlign w:val="bottom"/>
          </w:tcPr>
          <w:p>
            <w:pPr>
              <w:jc w:val="right"/>
              <w:ind w:right="310"/>
              <w:spacing w:after="0"/>
              <w:rPr>
                <w:sz w:val="20"/>
                <w:szCs w:val="20"/>
                <w:color w:val="auto"/>
              </w:rPr>
            </w:pPr>
            <w:r>
              <w:rPr>
                <w:rFonts w:ascii="Arial" w:cs="Arial" w:eastAsia="Arial" w:hAnsi="Arial"/>
                <w:sz w:val="15"/>
                <w:szCs w:val="15"/>
                <w:color w:val="auto"/>
              </w:rPr>
              <w:t>(209.3)</w:t>
            </w:r>
          </w:p>
        </w:tc>
        <w:tc>
          <w:tcPr>
            <w:tcW w:w="1300" w:type="dxa"/>
            <w:vAlign w:val="bottom"/>
          </w:tcPr>
          <w:p>
            <w:pPr>
              <w:jc w:val="right"/>
              <w:ind w:right="309"/>
              <w:spacing w:after="0"/>
              <w:rPr>
                <w:sz w:val="20"/>
                <w:szCs w:val="20"/>
                <w:color w:val="auto"/>
              </w:rPr>
            </w:pPr>
            <w:r>
              <w:rPr>
                <w:rFonts w:ascii="Arial" w:cs="Arial" w:eastAsia="Arial" w:hAnsi="Arial"/>
                <w:sz w:val="15"/>
                <w:szCs w:val="15"/>
                <w:color w:val="auto"/>
              </w:rPr>
              <w:t>(20.2)</w:t>
            </w:r>
          </w:p>
        </w:tc>
        <w:tc>
          <w:tcPr>
            <w:tcW w:w="940" w:type="dxa"/>
            <w:vAlign w:val="bottom"/>
          </w:tcPr>
          <w:p>
            <w:pPr>
              <w:jc w:val="right"/>
              <w:spacing w:after="0"/>
              <w:rPr>
                <w:sz w:val="20"/>
                <w:szCs w:val="20"/>
                <w:color w:val="auto"/>
              </w:rPr>
            </w:pPr>
            <w:r>
              <w:rPr>
                <w:rFonts w:ascii="Arial" w:cs="Arial" w:eastAsia="Arial" w:hAnsi="Arial"/>
                <w:sz w:val="15"/>
                <w:szCs w:val="15"/>
                <w:color w:val="auto"/>
              </w:rPr>
              <w:t>(751.7)</w:t>
            </w:r>
          </w:p>
        </w:tc>
      </w:tr>
      <w:tr>
        <w:trPr>
          <w:trHeight w:val="33"/>
        </w:trPr>
        <w:tc>
          <w:tcPr>
            <w:tcW w:w="2700" w:type="dxa"/>
            <w:vAlign w:val="bottom"/>
            <w:tcBorders>
              <w:bottom w:val="single" w:sz="8" w:color="793690"/>
            </w:tcBorders>
          </w:tcPr>
          <w:p>
            <w:pPr>
              <w:spacing w:after="0"/>
              <w:rPr>
                <w:sz w:val="2"/>
                <w:szCs w:val="2"/>
                <w:color w:val="auto"/>
              </w:rPr>
            </w:pPr>
          </w:p>
        </w:tc>
        <w:tc>
          <w:tcPr>
            <w:tcW w:w="2320" w:type="dxa"/>
            <w:vAlign w:val="bottom"/>
            <w:tcBorders>
              <w:bottom w:val="single" w:sz="8" w:color="793690"/>
            </w:tcBorders>
          </w:tcPr>
          <w:p>
            <w:pPr>
              <w:spacing w:after="0"/>
              <w:rPr>
                <w:sz w:val="2"/>
                <w:szCs w:val="2"/>
                <w:color w:val="auto"/>
              </w:rPr>
            </w:pPr>
          </w:p>
        </w:tc>
        <w:tc>
          <w:tcPr>
            <w:tcW w:w="1400" w:type="dxa"/>
            <w:vAlign w:val="bottom"/>
            <w:tcBorders>
              <w:bottom w:val="single" w:sz="8" w:color="793690"/>
            </w:tcBorders>
          </w:tcPr>
          <w:p>
            <w:pPr>
              <w:spacing w:after="0"/>
              <w:rPr>
                <w:sz w:val="2"/>
                <w:szCs w:val="2"/>
                <w:color w:val="auto"/>
              </w:rPr>
            </w:pPr>
          </w:p>
        </w:tc>
        <w:tc>
          <w:tcPr>
            <w:tcW w:w="1280" w:type="dxa"/>
            <w:vAlign w:val="bottom"/>
            <w:tcBorders>
              <w:bottom w:val="single" w:sz="8" w:color="793690"/>
            </w:tcBorders>
          </w:tcPr>
          <w:p>
            <w:pPr>
              <w:spacing w:after="0"/>
              <w:rPr>
                <w:sz w:val="2"/>
                <w:szCs w:val="2"/>
                <w:color w:val="auto"/>
              </w:rPr>
            </w:pPr>
          </w:p>
        </w:tc>
        <w:tc>
          <w:tcPr>
            <w:tcW w:w="1280" w:type="dxa"/>
            <w:vAlign w:val="bottom"/>
            <w:tcBorders>
              <w:bottom w:val="single" w:sz="8" w:color="793690"/>
            </w:tcBorders>
          </w:tcPr>
          <w:p>
            <w:pPr>
              <w:spacing w:after="0"/>
              <w:rPr>
                <w:sz w:val="2"/>
                <w:szCs w:val="2"/>
                <w:color w:val="auto"/>
              </w:rPr>
            </w:pPr>
          </w:p>
        </w:tc>
        <w:tc>
          <w:tcPr>
            <w:tcW w:w="1300" w:type="dxa"/>
            <w:vAlign w:val="bottom"/>
            <w:tcBorders>
              <w:bottom w:val="single" w:sz="8" w:color="793690"/>
            </w:tcBorders>
          </w:tcPr>
          <w:p>
            <w:pPr>
              <w:spacing w:after="0"/>
              <w:rPr>
                <w:sz w:val="2"/>
                <w:szCs w:val="2"/>
                <w:color w:val="auto"/>
              </w:rPr>
            </w:pPr>
          </w:p>
        </w:tc>
        <w:tc>
          <w:tcPr>
            <w:tcW w:w="940" w:type="dxa"/>
            <w:vAlign w:val="bottom"/>
            <w:tcBorders>
              <w:bottom w:val="single" w:sz="8" w:color="793690"/>
            </w:tcBorders>
          </w:tcPr>
          <w:p>
            <w:pPr>
              <w:spacing w:after="0"/>
              <w:rPr>
                <w:sz w:val="2"/>
                <w:szCs w:val="2"/>
                <w:color w:val="auto"/>
              </w:rPr>
            </w:pPr>
          </w:p>
        </w:tc>
      </w:tr>
      <w:tr>
        <w:trPr>
          <w:trHeight w:val="203"/>
        </w:trPr>
        <w:tc>
          <w:tcPr>
            <w:tcW w:w="2700" w:type="dxa"/>
            <w:vAlign w:val="bottom"/>
          </w:tcPr>
          <w:p>
            <w:pPr>
              <w:spacing w:after="0"/>
              <w:rPr>
                <w:sz w:val="17"/>
                <w:szCs w:val="17"/>
                <w:color w:val="auto"/>
              </w:rPr>
            </w:pPr>
          </w:p>
        </w:tc>
        <w:tc>
          <w:tcPr>
            <w:tcW w:w="2320" w:type="dxa"/>
            <w:vAlign w:val="bottom"/>
          </w:tcPr>
          <w:p>
            <w:pPr>
              <w:ind w:left="1820"/>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390"/>
              <w:spacing w:after="0"/>
              <w:rPr>
                <w:sz w:val="20"/>
                <w:szCs w:val="20"/>
                <w:color w:val="auto"/>
              </w:rPr>
            </w:pPr>
            <w:r>
              <w:rPr>
                <w:rFonts w:ascii="Arial" w:cs="Arial" w:eastAsia="Arial" w:hAnsi="Arial"/>
                <w:sz w:val="15"/>
                <w:szCs w:val="15"/>
                <w:color w:val="auto"/>
              </w:rPr>
              <w:t>24.1</w:t>
            </w:r>
          </w:p>
        </w:tc>
        <w:tc>
          <w:tcPr>
            <w:tcW w:w="1280" w:type="dxa"/>
            <w:vAlign w:val="bottom"/>
          </w:tcPr>
          <w:p>
            <w:pPr>
              <w:jc w:val="right"/>
              <w:ind w:right="370"/>
              <w:spacing w:after="0"/>
              <w:rPr>
                <w:sz w:val="20"/>
                <w:szCs w:val="20"/>
                <w:color w:val="auto"/>
              </w:rPr>
            </w:pPr>
            <w:r>
              <w:rPr>
                <w:rFonts w:ascii="Arial" w:cs="Arial" w:eastAsia="Arial" w:hAnsi="Arial"/>
                <w:sz w:val="15"/>
                <w:szCs w:val="15"/>
                <w:color w:val="auto"/>
              </w:rPr>
              <w:t>216.4</w:t>
            </w:r>
          </w:p>
        </w:tc>
        <w:tc>
          <w:tcPr>
            <w:tcW w:w="1280" w:type="dxa"/>
            <w:vAlign w:val="bottom"/>
          </w:tcPr>
          <w:p>
            <w:pPr>
              <w:jc w:val="right"/>
              <w:ind w:right="350"/>
              <w:spacing w:after="0"/>
              <w:rPr>
                <w:sz w:val="20"/>
                <w:szCs w:val="20"/>
                <w:color w:val="auto"/>
              </w:rPr>
            </w:pPr>
            <w:r>
              <w:rPr>
                <w:rFonts w:ascii="Arial" w:cs="Arial" w:eastAsia="Arial" w:hAnsi="Arial"/>
                <w:sz w:val="15"/>
                <w:szCs w:val="15"/>
                <w:color w:val="auto"/>
              </w:rPr>
              <w:t>187.2</w:t>
            </w:r>
          </w:p>
        </w:tc>
        <w:tc>
          <w:tcPr>
            <w:tcW w:w="1300" w:type="dxa"/>
            <w:vAlign w:val="bottom"/>
          </w:tcPr>
          <w:p>
            <w:pPr>
              <w:jc w:val="right"/>
              <w:ind w:right="309"/>
              <w:spacing w:after="0"/>
              <w:rPr>
                <w:sz w:val="20"/>
                <w:szCs w:val="20"/>
                <w:color w:val="auto"/>
              </w:rPr>
            </w:pPr>
            <w:r>
              <w:rPr>
                <w:rFonts w:ascii="Arial" w:cs="Arial" w:eastAsia="Arial" w:hAnsi="Arial"/>
                <w:sz w:val="15"/>
                <w:szCs w:val="15"/>
                <w:color w:val="auto"/>
              </w:rPr>
              <w:t>(15.9)</w:t>
            </w:r>
          </w:p>
        </w:tc>
        <w:tc>
          <w:tcPr>
            <w:tcW w:w="940" w:type="dxa"/>
            <w:vAlign w:val="bottom"/>
          </w:tcPr>
          <w:p>
            <w:pPr>
              <w:jc w:val="right"/>
              <w:spacing w:after="0"/>
              <w:rPr>
                <w:sz w:val="20"/>
                <w:szCs w:val="20"/>
                <w:color w:val="auto"/>
              </w:rPr>
            </w:pPr>
            <w:r>
              <w:rPr>
                <w:rFonts w:ascii="Arial" w:cs="Arial" w:eastAsia="Arial" w:hAnsi="Arial"/>
                <w:sz w:val="15"/>
                <w:szCs w:val="15"/>
                <w:color w:val="auto"/>
              </w:rPr>
              <w:t>411.8</w:t>
            </w:r>
          </w:p>
        </w:tc>
      </w:tr>
      <w:tr>
        <w:trPr>
          <w:trHeight w:val="33"/>
        </w:trPr>
        <w:tc>
          <w:tcPr>
            <w:tcW w:w="2700" w:type="dxa"/>
            <w:vAlign w:val="bottom"/>
            <w:tcBorders>
              <w:bottom w:val="single" w:sz="8" w:color="793690"/>
            </w:tcBorders>
          </w:tcPr>
          <w:p>
            <w:pPr>
              <w:spacing w:after="0"/>
              <w:rPr>
                <w:sz w:val="2"/>
                <w:szCs w:val="2"/>
                <w:color w:val="auto"/>
              </w:rPr>
            </w:pPr>
          </w:p>
        </w:tc>
        <w:tc>
          <w:tcPr>
            <w:tcW w:w="2320" w:type="dxa"/>
            <w:vAlign w:val="bottom"/>
            <w:tcBorders>
              <w:bottom w:val="single" w:sz="8" w:color="793690"/>
            </w:tcBorders>
          </w:tcPr>
          <w:p>
            <w:pPr>
              <w:spacing w:after="0"/>
              <w:rPr>
                <w:sz w:val="2"/>
                <w:szCs w:val="2"/>
                <w:color w:val="auto"/>
              </w:rPr>
            </w:pPr>
          </w:p>
        </w:tc>
        <w:tc>
          <w:tcPr>
            <w:tcW w:w="1400" w:type="dxa"/>
            <w:vAlign w:val="bottom"/>
            <w:tcBorders>
              <w:bottom w:val="single" w:sz="8" w:color="793690"/>
            </w:tcBorders>
          </w:tcPr>
          <w:p>
            <w:pPr>
              <w:spacing w:after="0"/>
              <w:rPr>
                <w:sz w:val="2"/>
                <w:szCs w:val="2"/>
                <w:color w:val="auto"/>
              </w:rPr>
            </w:pPr>
          </w:p>
        </w:tc>
        <w:tc>
          <w:tcPr>
            <w:tcW w:w="1280" w:type="dxa"/>
            <w:vAlign w:val="bottom"/>
            <w:tcBorders>
              <w:bottom w:val="single" w:sz="8" w:color="793690"/>
            </w:tcBorders>
          </w:tcPr>
          <w:p>
            <w:pPr>
              <w:spacing w:after="0"/>
              <w:rPr>
                <w:sz w:val="2"/>
                <w:szCs w:val="2"/>
                <w:color w:val="auto"/>
              </w:rPr>
            </w:pPr>
          </w:p>
        </w:tc>
        <w:tc>
          <w:tcPr>
            <w:tcW w:w="1280" w:type="dxa"/>
            <w:vAlign w:val="bottom"/>
            <w:tcBorders>
              <w:bottom w:val="single" w:sz="8" w:color="793690"/>
            </w:tcBorders>
          </w:tcPr>
          <w:p>
            <w:pPr>
              <w:spacing w:after="0"/>
              <w:rPr>
                <w:sz w:val="2"/>
                <w:szCs w:val="2"/>
                <w:color w:val="auto"/>
              </w:rPr>
            </w:pPr>
          </w:p>
        </w:tc>
        <w:tc>
          <w:tcPr>
            <w:tcW w:w="1300" w:type="dxa"/>
            <w:vAlign w:val="bottom"/>
            <w:tcBorders>
              <w:bottom w:val="single" w:sz="8" w:color="793690"/>
            </w:tcBorders>
          </w:tcPr>
          <w:p>
            <w:pPr>
              <w:spacing w:after="0"/>
              <w:rPr>
                <w:sz w:val="2"/>
                <w:szCs w:val="2"/>
                <w:color w:val="auto"/>
              </w:rPr>
            </w:pPr>
          </w:p>
        </w:tc>
        <w:tc>
          <w:tcPr>
            <w:tcW w:w="940" w:type="dxa"/>
            <w:vAlign w:val="bottom"/>
            <w:tcBorders>
              <w:bottom w:val="single" w:sz="8" w:color="793690"/>
            </w:tcBorders>
          </w:tcPr>
          <w:p>
            <w:pPr>
              <w:spacing w:after="0"/>
              <w:rPr>
                <w:sz w:val="2"/>
                <w:szCs w:val="2"/>
                <w:color w:val="auto"/>
              </w:rPr>
            </w:pPr>
          </w:p>
        </w:tc>
      </w:tr>
    </w:tbl>
    <w:p>
      <w:pPr>
        <w:spacing w:after="0" w:line="293"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Certain derivative assets and liabilities do not meet the offsetting criteria in IAS 32, but the entity has the right of offset in the case of default, insolvency or bankruptcy. Consequently, the net amount of derivative assets presented of $1,471.7m (31 December 2024: $1,163.5m) and the net amount of derivative liabilities presented of $1,096.5m (31 December 2024: $751.7m) are disclosed separately in the Group's statement of financial position.</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 Fair value measurement</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The information set out below provides information about how the Group determines fair values of various financial assets and financial liabilities.</w:t>
      </w:r>
    </w:p>
    <w:p>
      <w:pPr>
        <w:spacing w:after="0" w:line="111" w:lineRule="exact"/>
        <w:rPr>
          <w:sz w:val="20"/>
          <w:szCs w:val="20"/>
          <w:color w:val="auto"/>
        </w:rPr>
      </w:pPr>
    </w:p>
    <w:p>
      <w:pPr>
        <w:ind w:right="300"/>
        <w:spacing w:after="0" w:line="283" w:lineRule="auto"/>
        <w:rPr>
          <w:sz w:val="20"/>
          <w:szCs w:val="20"/>
          <w:color w:val="auto"/>
        </w:rPr>
      </w:pPr>
      <w:r>
        <w:rPr>
          <w:rFonts w:ascii="Arial" w:cs="Arial" w:eastAsia="Arial" w:hAnsi="Arial"/>
          <w:sz w:val="15"/>
          <w:szCs w:val="15"/>
          <w:color w:val="auto"/>
        </w:rPr>
        <w:t>Management assessed that the fair values of trade and other receivables, cash and short term deposits, stock lending and trade and other payables, approximate their carrying value amounts largely due to the short-term maturities of these instruments.</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methods and assumptions were used to estimate the Level 2 fair values:</w:t>
      </w:r>
    </w:p>
    <w:p>
      <w:pPr>
        <w:spacing w:after="0" w:line="125" w:lineRule="exact"/>
        <w:rPr>
          <w:sz w:val="20"/>
          <w:szCs w:val="20"/>
          <w:color w:val="auto"/>
        </w:rPr>
      </w:pPr>
    </w:p>
    <w:p>
      <w:pPr>
        <w:ind w:left="160" w:hanging="152"/>
        <w:spacing w:after="0" w:line="273" w:lineRule="auto"/>
        <w:tabs>
          <w:tab w:leader="none" w:pos="155" w:val="left"/>
        </w:tabs>
        <w:numPr>
          <w:ilvl w:val="0"/>
          <w:numId w:val="34"/>
        </w:numPr>
        <w:rPr>
          <w:rFonts w:ascii="Arial" w:cs="Arial" w:eastAsia="Arial" w:hAnsi="Arial"/>
          <w:sz w:val="15"/>
          <w:szCs w:val="15"/>
          <w:color w:val="505068"/>
        </w:rPr>
      </w:pPr>
      <w:r>
        <w:rPr>
          <w:rFonts w:ascii="Arial" w:cs="Arial" w:eastAsia="Arial" w:hAnsi="Arial"/>
          <w:sz w:val="15"/>
          <w:szCs w:val="15"/>
          <w:color w:val="auto"/>
        </w:rPr>
        <w:t>The fair values of the debt securities takes the price quotations at the reporting date and compares them against internal quantitative models that require the use of multiple market inputs including commodities prices, interest and foreign exchange rates to generate a continuous yield or pricing curves and volatility factors, which are used to value the position.</w:t>
      </w:r>
    </w:p>
    <w:p>
      <w:pPr>
        <w:spacing w:after="0" w:line="59" w:lineRule="exact"/>
        <w:rPr>
          <w:rFonts w:ascii="Arial" w:cs="Arial" w:eastAsia="Arial" w:hAnsi="Arial"/>
          <w:sz w:val="15"/>
          <w:szCs w:val="15"/>
          <w:color w:val="505068"/>
        </w:rPr>
      </w:pPr>
    </w:p>
    <w:p>
      <w:pPr>
        <w:ind w:left="160" w:hanging="152"/>
        <w:spacing w:after="0"/>
        <w:tabs>
          <w:tab w:leader="none" w:pos="160" w:val="left"/>
        </w:tabs>
        <w:numPr>
          <w:ilvl w:val="0"/>
          <w:numId w:val="34"/>
        </w:numPr>
        <w:rPr>
          <w:rFonts w:ascii="Arial" w:cs="Arial" w:eastAsia="Arial" w:hAnsi="Arial"/>
          <w:sz w:val="15"/>
          <w:szCs w:val="15"/>
          <w:color w:val="505068"/>
        </w:rPr>
      </w:pPr>
      <w:r>
        <w:rPr>
          <w:rFonts w:ascii="Arial" w:cs="Arial" w:eastAsia="Arial" w:hAnsi="Arial"/>
          <w:sz w:val="15"/>
          <w:szCs w:val="15"/>
          <w:color w:val="auto"/>
        </w:rPr>
        <w:t>The fair value of non-listed investments relates to the Group’s holding of seats and membership of the exchanges and is based upon the latest trading price.</w:t>
      </w:r>
    </w:p>
    <w:p>
      <w:pPr>
        <w:spacing w:after="0" w:line="124" w:lineRule="exact"/>
        <w:rPr>
          <w:rFonts w:ascii="Arial" w:cs="Arial" w:eastAsia="Arial" w:hAnsi="Arial"/>
          <w:sz w:val="15"/>
          <w:szCs w:val="15"/>
          <w:color w:val="505068"/>
        </w:rPr>
      </w:pPr>
    </w:p>
    <w:p>
      <w:pPr>
        <w:ind w:left="160" w:right="440" w:hanging="152"/>
        <w:spacing w:after="0" w:line="301" w:lineRule="auto"/>
        <w:tabs>
          <w:tab w:leader="none" w:pos="155" w:val="left"/>
        </w:tabs>
        <w:numPr>
          <w:ilvl w:val="0"/>
          <w:numId w:val="34"/>
        </w:numPr>
        <w:rPr>
          <w:rFonts w:ascii="Arial" w:cs="Arial" w:eastAsia="Arial" w:hAnsi="Arial"/>
          <w:sz w:val="15"/>
          <w:szCs w:val="15"/>
          <w:color w:val="505068"/>
        </w:rPr>
      </w:pPr>
      <w:r>
        <w:rPr>
          <w:rFonts w:ascii="Arial" w:cs="Arial" w:eastAsia="Arial" w:hAnsi="Arial"/>
          <w:sz w:val="15"/>
          <w:szCs w:val="15"/>
          <w:color w:val="auto"/>
        </w:rPr>
        <w:t>Where the inventory is related to scrap metals, the valuation is based on the quoted price discounted by location and grade of metal. Where there is an active market for the Group’s inventory, then quoted market price will be used to value the inventory position.</w:t>
      </w:r>
    </w:p>
    <w:p>
      <w:pPr>
        <w:spacing w:after="0" w:line="39" w:lineRule="exact"/>
        <w:rPr>
          <w:rFonts w:ascii="Arial" w:cs="Arial" w:eastAsia="Arial" w:hAnsi="Arial"/>
          <w:sz w:val="15"/>
          <w:szCs w:val="15"/>
          <w:color w:val="505068"/>
        </w:rPr>
      </w:pPr>
    </w:p>
    <w:p>
      <w:pPr>
        <w:ind w:left="160" w:hanging="152"/>
        <w:spacing w:after="0" w:line="268" w:lineRule="auto"/>
        <w:tabs>
          <w:tab w:leader="none" w:pos="155" w:val="left"/>
        </w:tabs>
        <w:numPr>
          <w:ilvl w:val="0"/>
          <w:numId w:val="34"/>
        </w:numPr>
        <w:rPr>
          <w:rFonts w:ascii="Arial" w:cs="Arial" w:eastAsia="Arial" w:hAnsi="Arial"/>
          <w:sz w:val="15"/>
          <w:szCs w:val="15"/>
          <w:color w:val="505068"/>
        </w:rPr>
      </w:pPr>
      <w:r>
        <w:rPr>
          <w:rFonts w:ascii="Arial" w:cs="Arial" w:eastAsia="Arial" w:hAnsi="Arial"/>
          <w:sz w:val="15"/>
          <w:szCs w:val="15"/>
          <w:color w:val="auto"/>
        </w:rPr>
        <w:t>The Group enters into derivative financial instruments with various counterparties, principally financial institutions with investment grade credit ratings. Interest rate swaps, foreign exchange forward contracts and commodity forward contracts are valued using valuation techniques, which employ the use of market observable inputs. The most frequently applied valuation techniques include forward pricing and swap models using present value calculations. The models incorporate various inputs including the credit quality of counterparties, foreign exchange spot and forward rates curves of the underlying commodity. Some derivative contracts are fully cash collateralised, thereby eliminating both counterparty risk and the Group’s own non-performance risk.</w:t>
      </w:r>
    </w:p>
    <w:p>
      <w:pPr>
        <w:spacing w:after="0" w:line="63"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Level 3 fair value measurements are those derived from valuation techniques that include inputs for the asset or liability that are not based on observable market data. Some of the Group’s derivative financial instruments are priced using quantitative models that require the use of multiple market inputs including commodity prices, interest and foreign exchange rates to generate continuous yield or pricing curves and volatility factors in addition to unobservable inputs, which are used to value the position and therefore qualify as Level 3 financial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24</w:t>
      </w:r>
    </w:p>
    <w:p>
      <w:pPr>
        <w:sectPr>
          <w:pgSz w:w="11900" w:h="16838" w:orient="portrait"/>
          <w:cols w:equalWidth="0" w:num="1">
            <w:col w:w="11240"/>
          </w:cols>
          <w:pgMar w:left="320" w:top="1353" w:right="339" w:bottom="1440" w:gutter="0" w:footer="0" w:header="0"/>
        </w:sectPr>
      </w:pPr>
    </w:p>
    <w:bookmarkStart w:id="46" w:name="page47"/>
    <w:bookmarkEnd w:id="46"/>
    <w:p>
      <w:pPr>
        <w:spacing w:after="0"/>
        <w:rPr>
          <w:sz w:val="20"/>
          <w:szCs w:val="20"/>
          <w:color w:val="auto"/>
        </w:rPr>
      </w:pPr>
      <w:r>
        <w:rPr>
          <w:rFonts w:ascii="Arial" w:cs="Arial" w:eastAsia="Arial" w:hAnsi="Arial"/>
          <w:sz w:val="22"/>
          <w:szCs w:val="22"/>
          <w:b w:val="1"/>
          <w:bCs w:val="1"/>
          <w:color w:val="793690"/>
        </w:rPr>
        <w:t xml:space="preserve">Notes to the Unaudited Condensed Consolidated Financial Statements </w:t>
      </w:r>
      <w:r>
        <w:rPr>
          <w:rFonts w:ascii="Arial" w:cs="Arial" w:eastAsia="Arial" w:hAnsi="Arial"/>
          <w:sz w:val="22"/>
          <w:szCs w:val="22"/>
          <w:color w:val="793690"/>
        </w:rPr>
        <w:t>(continued)</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793690"/>
        </w:rPr>
        <w:t xml:space="preserve">13 Financial Instruments </w:t>
      </w:r>
      <w:r>
        <w:rPr>
          <w:rFonts w:ascii="Arial" w:cs="Arial" w:eastAsia="Arial" w:hAnsi="Arial"/>
          <w:sz w:val="18"/>
          <w:szCs w:val="18"/>
          <w:color w:val="793690"/>
        </w:rPr>
        <w:t>(continued)</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 Fair value measurement </w:t>
      </w:r>
      <w:r>
        <w:rPr>
          <w:rFonts w:ascii="Arial" w:cs="Arial" w:eastAsia="Arial" w:hAnsi="Arial"/>
          <w:sz w:val="15"/>
          <w:szCs w:val="15"/>
          <w:color w:val="auto"/>
        </w:rPr>
        <w:t>(continued)</w:t>
      </w:r>
    </w:p>
    <w:p>
      <w:pPr>
        <w:spacing w:after="0" w:line="19" w:lineRule="exact"/>
        <w:rPr>
          <w:sz w:val="20"/>
          <w:szCs w:val="20"/>
          <w:color w:val="auto"/>
        </w:rPr>
      </w:pPr>
    </w:p>
    <w:p>
      <w:pPr>
        <w:ind w:right="360"/>
        <w:spacing w:after="0" w:line="282" w:lineRule="auto"/>
        <w:rPr>
          <w:sz w:val="20"/>
          <w:szCs w:val="20"/>
          <w:color w:val="auto"/>
        </w:rPr>
      </w:pPr>
      <w:r>
        <w:rPr>
          <w:rFonts w:ascii="Arial" w:cs="Arial" w:eastAsia="Arial" w:hAnsi="Arial"/>
          <w:sz w:val="15"/>
          <w:szCs w:val="15"/>
          <w:color w:val="auto"/>
        </w:rPr>
        <w:t>The following table shows an analysis of assets and liabilities recorded at fair value shown in accordance with the fair value hierarchy as at 30 June 2025 and 31 December 2024.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1230" w:type="dxa"/>
            <w:vAlign w:val="bottom"/>
            <w:shd w:val="clear" w:color="auto" w:fill="F4EFF6"/>
          </w:tcPr>
          <w:p>
            <w:pPr>
              <w:jc w:val="right"/>
              <w:ind w:right="15"/>
              <w:spacing w:after="0"/>
              <w:rPr>
                <w:sz w:val="20"/>
                <w:szCs w:val="20"/>
                <w:color w:val="auto"/>
              </w:rPr>
            </w:pPr>
            <w:r>
              <w:rPr>
                <w:rFonts w:ascii="Arial" w:cs="Arial" w:eastAsia="Arial" w:hAnsi="Arial"/>
                <w:sz w:val="13"/>
                <w:szCs w:val="13"/>
                <w:b w:val="1"/>
                <w:bCs w:val="1"/>
                <w:color w:val="auto"/>
              </w:rPr>
              <w:t>Level 1</w:t>
            </w:r>
          </w:p>
        </w:tc>
        <w:tc>
          <w:tcPr>
            <w:tcW w:w="1310" w:type="dxa"/>
            <w:vAlign w:val="bottom"/>
            <w:shd w:val="clear" w:color="auto" w:fill="F4EFF6"/>
          </w:tcPr>
          <w:p>
            <w:pPr>
              <w:jc w:val="right"/>
              <w:ind w:right="25"/>
              <w:spacing w:after="0"/>
              <w:rPr>
                <w:sz w:val="20"/>
                <w:szCs w:val="20"/>
                <w:color w:val="auto"/>
              </w:rPr>
            </w:pPr>
            <w:r>
              <w:rPr>
                <w:rFonts w:ascii="Arial" w:cs="Arial" w:eastAsia="Arial" w:hAnsi="Arial"/>
                <w:sz w:val="13"/>
                <w:szCs w:val="13"/>
                <w:b w:val="1"/>
                <w:bCs w:val="1"/>
                <w:color w:val="auto"/>
              </w:rPr>
              <w:t>Level 2</w:t>
            </w:r>
          </w:p>
        </w:tc>
        <w:tc>
          <w:tcPr>
            <w:tcW w:w="124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Level 3</w:t>
            </w:r>
          </w:p>
        </w:tc>
        <w:tc>
          <w:tcPr>
            <w:tcW w:w="130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Total</w:t>
            </w:r>
          </w:p>
        </w:tc>
      </w:tr>
      <w:tr>
        <w:trPr>
          <w:trHeight w:val="227"/>
        </w:trPr>
        <w:tc>
          <w:tcPr>
            <w:tcW w:w="6140" w:type="dxa"/>
            <w:vAlign w:val="bottom"/>
          </w:tcPr>
          <w:p>
            <w:pPr>
              <w:ind w:left="20"/>
              <w:spacing w:after="0"/>
              <w:rPr>
                <w:sz w:val="20"/>
                <w:szCs w:val="20"/>
                <w:color w:val="auto"/>
              </w:rPr>
            </w:pPr>
            <w:r>
              <w:rPr>
                <w:rFonts w:ascii="Arial" w:cs="Arial" w:eastAsia="Arial" w:hAnsi="Arial"/>
                <w:sz w:val="13"/>
                <w:szCs w:val="13"/>
                <w:b w:val="1"/>
                <w:bCs w:val="1"/>
                <w:color w:val="auto"/>
              </w:rPr>
              <w:t>30 June 2025</w:t>
            </w:r>
          </w:p>
        </w:tc>
        <w:tc>
          <w:tcPr>
            <w:tcW w:w="1230" w:type="dxa"/>
            <w:vAlign w:val="bottom"/>
            <w:tcBorders>
              <w:bottom w:val="single" w:sz="8" w:color="F4EFF6"/>
            </w:tcBorders>
            <w:shd w:val="clear" w:color="auto" w:fill="F4EFF6"/>
          </w:tcPr>
          <w:p>
            <w:pPr>
              <w:jc w:val="right"/>
              <w:ind w:right="15"/>
              <w:spacing w:after="0"/>
              <w:rPr>
                <w:sz w:val="20"/>
                <w:szCs w:val="20"/>
                <w:color w:val="auto"/>
              </w:rPr>
            </w:pPr>
            <w:r>
              <w:rPr>
                <w:rFonts w:ascii="Arial" w:cs="Arial" w:eastAsia="Arial" w:hAnsi="Arial"/>
                <w:sz w:val="13"/>
                <w:szCs w:val="13"/>
                <w:b w:val="1"/>
                <w:bCs w:val="1"/>
                <w:color w:val="auto"/>
              </w:rPr>
              <w:t>$m</w:t>
            </w:r>
          </w:p>
        </w:tc>
        <w:tc>
          <w:tcPr>
            <w:tcW w:w="1310" w:type="dxa"/>
            <w:vAlign w:val="bottom"/>
            <w:tcBorders>
              <w:bottom w:val="single" w:sz="8" w:color="F4EFF6"/>
            </w:tcBorders>
            <w:shd w:val="clear" w:color="auto" w:fill="F4EFF6"/>
          </w:tcPr>
          <w:p>
            <w:pPr>
              <w:jc w:val="right"/>
              <w:ind w:right="25"/>
              <w:spacing w:after="0"/>
              <w:rPr>
                <w:sz w:val="20"/>
                <w:szCs w:val="20"/>
                <w:color w:val="auto"/>
              </w:rPr>
            </w:pPr>
            <w:r>
              <w:rPr>
                <w:rFonts w:ascii="Arial" w:cs="Arial" w:eastAsia="Arial" w:hAnsi="Arial"/>
                <w:sz w:val="13"/>
                <w:szCs w:val="13"/>
                <w:b w:val="1"/>
                <w:bCs w:val="1"/>
                <w:color w:val="auto"/>
              </w:rPr>
              <w:t>$m</w:t>
            </w:r>
          </w:p>
        </w:tc>
        <w:tc>
          <w:tcPr>
            <w:tcW w:w="124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30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r>
      <w:tr>
        <w:trPr>
          <w:trHeight w:val="237"/>
        </w:trPr>
        <w:tc>
          <w:tcPr>
            <w:tcW w:w="614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Financial assets – FVTPL:</w:t>
            </w:r>
          </w:p>
        </w:tc>
        <w:tc>
          <w:tcPr>
            <w:tcW w:w="1230" w:type="dxa"/>
            <w:vAlign w:val="bottom"/>
            <w:tcBorders>
              <w:top w:val="single" w:sz="8" w:color="793690"/>
              <w:bottom w:val="single" w:sz="8" w:color="F4EFF6"/>
            </w:tcBorders>
            <w:shd w:val="clear" w:color="auto" w:fill="F4EFF6"/>
          </w:tcPr>
          <w:p>
            <w:pPr>
              <w:spacing w:after="0"/>
              <w:rPr>
                <w:sz w:val="20"/>
                <w:szCs w:val="20"/>
                <w:color w:val="auto"/>
              </w:rPr>
            </w:pPr>
          </w:p>
        </w:tc>
        <w:tc>
          <w:tcPr>
            <w:tcW w:w="1310" w:type="dxa"/>
            <w:vAlign w:val="bottom"/>
            <w:tcBorders>
              <w:top w:val="single" w:sz="8" w:color="793690"/>
              <w:bottom w:val="single" w:sz="8" w:color="F4EFF6"/>
            </w:tcBorders>
            <w:shd w:val="clear" w:color="auto" w:fill="F4EFF6"/>
          </w:tcPr>
          <w:p>
            <w:pPr>
              <w:spacing w:after="0"/>
              <w:rPr>
                <w:sz w:val="20"/>
                <w:szCs w:val="20"/>
                <w:color w:val="auto"/>
              </w:rPr>
            </w:pPr>
          </w:p>
        </w:tc>
        <w:tc>
          <w:tcPr>
            <w:tcW w:w="1240" w:type="dxa"/>
            <w:vAlign w:val="bottom"/>
            <w:tcBorders>
              <w:top w:val="single" w:sz="8" w:color="793690"/>
              <w:bottom w:val="single" w:sz="8" w:color="F4EFF6"/>
            </w:tcBorders>
            <w:shd w:val="clear" w:color="auto" w:fill="F4EFF6"/>
          </w:tcPr>
          <w:p>
            <w:pPr>
              <w:spacing w:after="0"/>
              <w:rPr>
                <w:sz w:val="20"/>
                <w:szCs w:val="20"/>
                <w:color w:val="auto"/>
              </w:rPr>
            </w:pPr>
          </w:p>
        </w:tc>
        <w:tc>
          <w:tcPr>
            <w:tcW w:w="1300" w:type="dxa"/>
            <w:vAlign w:val="bottom"/>
            <w:tcBorders>
              <w:top w:val="single" w:sz="8" w:color="793690"/>
              <w:bottom w:val="single" w:sz="8" w:color="F4EFF6"/>
            </w:tcBorders>
            <w:shd w:val="clear" w:color="auto" w:fill="F4EFF6"/>
          </w:tcPr>
          <w:p>
            <w:pPr>
              <w:spacing w:after="0"/>
              <w:rPr>
                <w:sz w:val="20"/>
                <w:szCs w:val="20"/>
                <w:color w:val="auto"/>
              </w:rPr>
            </w:pPr>
          </w:p>
        </w:tc>
      </w:tr>
      <w:tr>
        <w:trPr>
          <w:trHeight w:val="237"/>
        </w:trPr>
        <w:tc>
          <w:tcPr>
            <w:tcW w:w="61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Equity instruments</w:t>
            </w:r>
          </w:p>
        </w:tc>
        <w:tc>
          <w:tcPr>
            <w:tcW w:w="1230" w:type="dxa"/>
            <w:vAlign w:val="bottom"/>
            <w:tcBorders>
              <w:top w:val="single" w:sz="8" w:color="DADAE7"/>
              <w:bottom w:val="single" w:sz="8" w:color="F4EFF6"/>
            </w:tcBorders>
            <w:shd w:val="clear" w:color="auto" w:fill="F4EFF6"/>
          </w:tcPr>
          <w:p>
            <w:pPr>
              <w:jc w:val="right"/>
              <w:ind w:right="75"/>
              <w:spacing w:after="0"/>
              <w:rPr>
                <w:sz w:val="20"/>
                <w:szCs w:val="20"/>
                <w:color w:val="auto"/>
              </w:rPr>
            </w:pPr>
            <w:r>
              <w:rPr>
                <w:rFonts w:ascii="Arial" w:cs="Arial" w:eastAsia="Arial" w:hAnsi="Arial"/>
                <w:sz w:val="15"/>
                <w:szCs w:val="15"/>
                <w:b w:val="1"/>
                <w:bCs w:val="1"/>
                <w:color w:val="auto"/>
              </w:rPr>
              <w:t>5,784.2</w:t>
            </w:r>
          </w:p>
        </w:tc>
        <w:tc>
          <w:tcPr>
            <w:tcW w:w="1310" w:type="dxa"/>
            <w:vAlign w:val="bottom"/>
            <w:tcBorders>
              <w:top w:val="single" w:sz="8" w:color="DADAE7"/>
              <w:bottom w:val="single" w:sz="8" w:color="F4EFF6"/>
            </w:tcBorders>
            <w:shd w:val="clear" w:color="auto" w:fill="F4EFF6"/>
          </w:tcPr>
          <w:p>
            <w:pPr>
              <w:jc w:val="right"/>
              <w:ind w:right="65"/>
              <w:spacing w:after="0"/>
              <w:rPr>
                <w:sz w:val="20"/>
                <w:szCs w:val="20"/>
                <w:color w:val="auto"/>
              </w:rPr>
            </w:pPr>
            <w:r>
              <w:rPr>
                <w:rFonts w:ascii="Arial" w:cs="Arial" w:eastAsia="Arial" w:hAnsi="Arial"/>
                <w:sz w:val="15"/>
                <w:szCs w:val="15"/>
                <w:b w:val="1"/>
                <w:bCs w:val="1"/>
                <w:color w:val="auto"/>
              </w:rPr>
              <w:t>254.2</w:t>
            </w:r>
          </w:p>
        </w:tc>
        <w:tc>
          <w:tcPr>
            <w:tcW w:w="124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w:t>
            </w:r>
          </w:p>
        </w:tc>
        <w:tc>
          <w:tcPr>
            <w:tcW w:w="13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6,038.4</w:t>
            </w:r>
          </w:p>
        </w:tc>
      </w:tr>
      <w:tr>
        <w:trPr>
          <w:trHeight w:val="237"/>
        </w:trPr>
        <w:tc>
          <w:tcPr>
            <w:tcW w:w="61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Treasury instruments</w:t>
            </w:r>
          </w:p>
        </w:tc>
        <w:tc>
          <w:tcPr>
            <w:tcW w:w="1230" w:type="dxa"/>
            <w:vAlign w:val="bottom"/>
            <w:tcBorders>
              <w:top w:val="single" w:sz="8" w:color="DADAE7"/>
              <w:bottom w:val="single" w:sz="8" w:color="F4EFF6"/>
            </w:tcBorders>
            <w:shd w:val="clear" w:color="auto" w:fill="F4EFF6"/>
          </w:tcPr>
          <w:p>
            <w:pPr>
              <w:jc w:val="right"/>
              <w:ind w:right="75"/>
              <w:spacing w:after="0"/>
              <w:rPr>
                <w:sz w:val="20"/>
                <w:szCs w:val="20"/>
                <w:color w:val="auto"/>
              </w:rPr>
            </w:pPr>
            <w:r>
              <w:rPr>
                <w:rFonts w:ascii="Arial" w:cs="Arial" w:eastAsia="Arial" w:hAnsi="Arial"/>
                <w:sz w:val="15"/>
                <w:szCs w:val="15"/>
                <w:b w:val="1"/>
                <w:bCs w:val="1"/>
                <w:color w:val="auto"/>
              </w:rPr>
              <w:t>17.0</w:t>
            </w:r>
          </w:p>
        </w:tc>
        <w:tc>
          <w:tcPr>
            <w:tcW w:w="1310" w:type="dxa"/>
            <w:vAlign w:val="bottom"/>
            <w:tcBorders>
              <w:top w:val="single" w:sz="8" w:color="DADAE7"/>
              <w:bottom w:val="single" w:sz="8" w:color="F4EFF6"/>
            </w:tcBorders>
            <w:shd w:val="clear" w:color="auto" w:fill="F4EFF6"/>
          </w:tcPr>
          <w:p>
            <w:pPr>
              <w:jc w:val="right"/>
              <w:ind w:right="65"/>
              <w:spacing w:after="0"/>
              <w:rPr>
                <w:sz w:val="20"/>
                <w:szCs w:val="20"/>
                <w:color w:val="auto"/>
              </w:rPr>
            </w:pPr>
            <w:r>
              <w:rPr>
                <w:rFonts w:ascii="Arial" w:cs="Arial" w:eastAsia="Arial" w:hAnsi="Arial"/>
                <w:sz w:val="15"/>
                <w:szCs w:val="15"/>
                <w:b w:val="1"/>
                <w:bCs w:val="1"/>
                <w:color w:val="auto"/>
              </w:rPr>
              <w:t>—</w:t>
            </w:r>
          </w:p>
        </w:tc>
        <w:tc>
          <w:tcPr>
            <w:tcW w:w="124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w:t>
            </w:r>
          </w:p>
        </w:tc>
        <w:tc>
          <w:tcPr>
            <w:tcW w:w="13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17.0</w:t>
            </w:r>
          </w:p>
        </w:tc>
      </w:tr>
      <w:tr>
        <w:trPr>
          <w:trHeight w:val="236"/>
        </w:trPr>
        <w:tc>
          <w:tcPr>
            <w:tcW w:w="61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Fixed income securities</w:t>
            </w:r>
          </w:p>
        </w:tc>
        <w:tc>
          <w:tcPr>
            <w:tcW w:w="1230" w:type="dxa"/>
            <w:vAlign w:val="bottom"/>
            <w:tcBorders>
              <w:top w:val="single" w:sz="8" w:color="DADAE7"/>
              <w:bottom w:val="single" w:sz="8" w:color="F4EFF6"/>
            </w:tcBorders>
            <w:shd w:val="clear" w:color="auto" w:fill="F4EFF6"/>
          </w:tcPr>
          <w:p>
            <w:pPr>
              <w:jc w:val="right"/>
              <w:ind w:right="75"/>
              <w:spacing w:after="0"/>
              <w:rPr>
                <w:sz w:val="20"/>
                <w:szCs w:val="20"/>
                <w:color w:val="auto"/>
              </w:rPr>
            </w:pPr>
            <w:r>
              <w:rPr>
                <w:rFonts w:ascii="Arial" w:cs="Arial" w:eastAsia="Arial" w:hAnsi="Arial"/>
                <w:sz w:val="15"/>
                <w:szCs w:val="15"/>
                <w:b w:val="1"/>
                <w:bCs w:val="1"/>
                <w:color w:val="auto"/>
              </w:rPr>
              <w:t>—</w:t>
            </w:r>
          </w:p>
        </w:tc>
        <w:tc>
          <w:tcPr>
            <w:tcW w:w="1310" w:type="dxa"/>
            <w:vAlign w:val="bottom"/>
            <w:tcBorders>
              <w:top w:val="single" w:sz="8" w:color="DADAE7"/>
              <w:bottom w:val="single" w:sz="8" w:color="F4EFF6"/>
            </w:tcBorders>
            <w:shd w:val="clear" w:color="auto" w:fill="F4EFF6"/>
          </w:tcPr>
          <w:p>
            <w:pPr>
              <w:jc w:val="right"/>
              <w:ind w:right="65"/>
              <w:spacing w:after="0"/>
              <w:rPr>
                <w:sz w:val="20"/>
                <w:szCs w:val="20"/>
                <w:color w:val="auto"/>
              </w:rPr>
            </w:pPr>
            <w:r>
              <w:rPr>
                <w:rFonts w:ascii="Arial" w:cs="Arial" w:eastAsia="Arial" w:hAnsi="Arial"/>
                <w:sz w:val="15"/>
                <w:szCs w:val="15"/>
                <w:b w:val="1"/>
                <w:bCs w:val="1"/>
                <w:color w:val="auto"/>
              </w:rPr>
              <w:t>104.9</w:t>
            </w:r>
          </w:p>
        </w:tc>
        <w:tc>
          <w:tcPr>
            <w:tcW w:w="124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w:t>
            </w:r>
          </w:p>
        </w:tc>
        <w:tc>
          <w:tcPr>
            <w:tcW w:w="13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104.9</w:t>
            </w:r>
          </w:p>
        </w:tc>
      </w:tr>
      <w:tr>
        <w:trPr>
          <w:trHeight w:val="237"/>
        </w:trPr>
        <w:tc>
          <w:tcPr>
            <w:tcW w:w="61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Derivative instruments</w:t>
            </w:r>
          </w:p>
        </w:tc>
        <w:tc>
          <w:tcPr>
            <w:tcW w:w="1230" w:type="dxa"/>
            <w:vAlign w:val="bottom"/>
            <w:tcBorders>
              <w:top w:val="single" w:sz="8" w:color="DADAE7"/>
              <w:bottom w:val="single" w:sz="8" w:color="F4EFF6"/>
            </w:tcBorders>
            <w:shd w:val="clear" w:color="auto" w:fill="F4EFF6"/>
          </w:tcPr>
          <w:p>
            <w:pPr>
              <w:jc w:val="right"/>
              <w:ind w:right="75"/>
              <w:spacing w:after="0"/>
              <w:rPr>
                <w:sz w:val="20"/>
                <w:szCs w:val="20"/>
                <w:color w:val="auto"/>
              </w:rPr>
            </w:pPr>
            <w:r>
              <w:rPr>
                <w:rFonts w:ascii="Arial" w:cs="Arial" w:eastAsia="Arial" w:hAnsi="Arial"/>
                <w:sz w:val="15"/>
                <w:szCs w:val="15"/>
                <w:b w:val="1"/>
                <w:bCs w:val="1"/>
                <w:color w:val="auto"/>
              </w:rPr>
              <w:t>—</w:t>
            </w:r>
          </w:p>
        </w:tc>
        <w:tc>
          <w:tcPr>
            <w:tcW w:w="1310" w:type="dxa"/>
            <w:vAlign w:val="bottom"/>
            <w:tcBorders>
              <w:top w:val="single" w:sz="8" w:color="DADAE7"/>
              <w:bottom w:val="single" w:sz="8" w:color="F4EFF6"/>
            </w:tcBorders>
            <w:shd w:val="clear" w:color="auto" w:fill="F4EFF6"/>
          </w:tcPr>
          <w:p>
            <w:pPr>
              <w:jc w:val="right"/>
              <w:ind w:right="65"/>
              <w:spacing w:after="0"/>
              <w:rPr>
                <w:sz w:val="20"/>
                <w:szCs w:val="20"/>
                <w:color w:val="auto"/>
              </w:rPr>
            </w:pPr>
            <w:r>
              <w:rPr>
                <w:rFonts w:ascii="Arial" w:cs="Arial" w:eastAsia="Arial" w:hAnsi="Arial"/>
                <w:sz w:val="15"/>
                <w:szCs w:val="15"/>
                <w:b w:val="1"/>
                <w:bCs w:val="1"/>
                <w:color w:val="auto"/>
              </w:rPr>
              <w:t>1,453.7</w:t>
            </w:r>
          </w:p>
        </w:tc>
        <w:tc>
          <w:tcPr>
            <w:tcW w:w="124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0.2</w:t>
            </w:r>
          </w:p>
        </w:tc>
        <w:tc>
          <w:tcPr>
            <w:tcW w:w="13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1,453.9</w:t>
            </w:r>
          </w:p>
        </w:tc>
      </w:tr>
      <w:tr>
        <w:trPr>
          <w:trHeight w:val="237"/>
        </w:trPr>
        <w:tc>
          <w:tcPr>
            <w:tcW w:w="61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Amounts receivable from clients</w:t>
            </w:r>
          </w:p>
        </w:tc>
        <w:tc>
          <w:tcPr>
            <w:tcW w:w="1230" w:type="dxa"/>
            <w:vAlign w:val="bottom"/>
            <w:tcBorders>
              <w:top w:val="single" w:sz="8" w:color="DADAE7"/>
              <w:bottom w:val="single" w:sz="8" w:color="F4EFF6"/>
            </w:tcBorders>
            <w:shd w:val="clear" w:color="auto" w:fill="F4EFF6"/>
          </w:tcPr>
          <w:p>
            <w:pPr>
              <w:jc w:val="right"/>
              <w:ind w:right="75"/>
              <w:spacing w:after="0"/>
              <w:rPr>
                <w:sz w:val="20"/>
                <w:szCs w:val="20"/>
                <w:color w:val="auto"/>
              </w:rPr>
            </w:pPr>
            <w:r>
              <w:rPr>
                <w:rFonts w:ascii="Arial" w:cs="Arial" w:eastAsia="Arial" w:hAnsi="Arial"/>
                <w:sz w:val="15"/>
                <w:szCs w:val="15"/>
                <w:b w:val="1"/>
                <w:bCs w:val="1"/>
                <w:color w:val="auto"/>
              </w:rPr>
              <w:t>32.3</w:t>
            </w:r>
          </w:p>
        </w:tc>
        <w:tc>
          <w:tcPr>
            <w:tcW w:w="1310" w:type="dxa"/>
            <w:vAlign w:val="bottom"/>
            <w:tcBorders>
              <w:top w:val="single" w:sz="8" w:color="DADAE7"/>
              <w:bottom w:val="single" w:sz="8" w:color="F4EFF6"/>
            </w:tcBorders>
            <w:shd w:val="clear" w:color="auto" w:fill="F4EFF6"/>
          </w:tcPr>
          <w:p>
            <w:pPr>
              <w:jc w:val="right"/>
              <w:ind w:right="65"/>
              <w:spacing w:after="0"/>
              <w:rPr>
                <w:sz w:val="20"/>
                <w:szCs w:val="20"/>
                <w:color w:val="auto"/>
              </w:rPr>
            </w:pPr>
            <w:r>
              <w:rPr>
                <w:rFonts w:ascii="Arial" w:cs="Arial" w:eastAsia="Arial" w:hAnsi="Arial"/>
                <w:sz w:val="15"/>
                <w:szCs w:val="15"/>
                <w:b w:val="1"/>
                <w:bCs w:val="1"/>
                <w:color w:val="auto"/>
              </w:rPr>
              <w:t>—</w:t>
            </w:r>
          </w:p>
        </w:tc>
        <w:tc>
          <w:tcPr>
            <w:tcW w:w="124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w:t>
            </w:r>
          </w:p>
        </w:tc>
        <w:tc>
          <w:tcPr>
            <w:tcW w:w="13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32.3</w:t>
            </w:r>
          </w:p>
        </w:tc>
      </w:tr>
      <w:tr>
        <w:trPr>
          <w:trHeight w:val="237"/>
        </w:trPr>
        <w:tc>
          <w:tcPr>
            <w:tcW w:w="61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Trade debtors</w:t>
            </w:r>
          </w:p>
        </w:tc>
        <w:tc>
          <w:tcPr>
            <w:tcW w:w="1230" w:type="dxa"/>
            <w:vAlign w:val="bottom"/>
            <w:tcBorders>
              <w:top w:val="single" w:sz="8" w:color="DADAE7"/>
              <w:bottom w:val="single" w:sz="8" w:color="F4EFF6"/>
            </w:tcBorders>
            <w:shd w:val="clear" w:color="auto" w:fill="F4EFF6"/>
          </w:tcPr>
          <w:p>
            <w:pPr>
              <w:jc w:val="right"/>
              <w:ind w:right="75"/>
              <w:spacing w:after="0"/>
              <w:rPr>
                <w:sz w:val="20"/>
                <w:szCs w:val="20"/>
                <w:color w:val="auto"/>
              </w:rPr>
            </w:pPr>
            <w:r>
              <w:rPr>
                <w:rFonts w:ascii="Arial" w:cs="Arial" w:eastAsia="Arial" w:hAnsi="Arial"/>
                <w:sz w:val="15"/>
                <w:szCs w:val="15"/>
                <w:b w:val="1"/>
                <w:bCs w:val="1"/>
                <w:color w:val="auto"/>
              </w:rPr>
              <w:t>43.0</w:t>
            </w:r>
          </w:p>
        </w:tc>
        <w:tc>
          <w:tcPr>
            <w:tcW w:w="1310" w:type="dxa"/>
            <w:vAlign w:val="bottom"/>
            <w:tcBorders>
              <w:top w:val="single" w:sz="8" w:color="DADAE7"/>
              <w:bottom w:val="single" w:sz="8" w:color="F4EFF6"/>
            </w:tcBorders>
            <w:shd w:val="clear" w:color="auto" w:fill="F4EFF6"/>
          </w:tcPr>
          <w:p>
            <w:pPr>
              <w:jc w:val="right"/>
              <w:ind w:right="65"/>
              <w:spacing w:after="0"/>
              <w:rPr>
                <w:sz w:val="20"/>
                <w:szCs w:val="20"/>
                <w:color w:val="auto"/>
              </w:rPr>
            </w:pPr>
            <w:r>
              <w:rPr>
                <w:rFonts w:ascii="Arial" w:cs="Arial" w:eastAsia="Arial" w:hAnsi="Arial"/>
                <w:sz w:val="15"/>
                <w:szCs w:val="15"/>
                <w:b w:val="1"/>
                <w:bCs w:val="1"/>
                <w:color w:val="auto"/>
              </w:rPr>
              <w:t>—</w:t>
            </w:r>
          </w:p>
        </w:tc>
        <w:tc>
          <w:tcPr>
            <w:tcW w:w="124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w:t>
            </w:r>
          </w:p>
        </w:tc>
        <w:tc>
          <w:tcPr>
            <w:tcW w:w="13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43.0</w:t>
            </w:r>
          </w:p>
        </w:tc>
      </w:tr>
      <w:tr>
        <w:trPr>
          <w:trHeight w:val="237"/>
        </w:trPr>
        <w:tc>
          <w:tcPr>
            <w:tcW w:w="61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Reverse repurchase agreements</w:t>
            </w:r>
          </w:p>
        </w:tc>
        <w:tc>
          <w:tcPr>
            <w:tcW w:w="1230" w:type="dxa"/>
            <w:vAlign w:val="bottom"/>
            <w:tcBorders>
              <w:top w:val="single" w:sz="8" w:color="DADAE7"/>
              <w:bottom w:val="single" w:sz="8" w:color="F4EFF6"/>
            </w:tcBorders>
            <w:shd w:val="clear" w:color="auto" w:fill="F4EFF6"/>
          </w:tcPr>
          <w:p>
            <w:pPr>
              <w:jc w:val="right"/>
              <w:ind w:right="75"/>
              <w:spacing w:after="0"/>
              <w:rPr>
                <w:sz w:val="20"/>
                <w:szCs w:val="20"/>
                <w:color w:val="auto"/>
              </w:rPr>
            </w:pPr>
            <w:r>
              <w:rPr>
                <w:rFonts w:ascii="Arial" w:cs="Arial" w:eastAsia="Arial" w:hAnsi="Arial"/>
                <w:sz w:val="15"/>
                <w:szCs w:val="15"/>
                <w:b w:val="1"/>
                <w:bCs w:val="1"/>
                <w:color w:val="auto"/>
              </w:rPr>
              <w:t>—</w:t>
            </w:r>
          </w:p>
        </w:tc>
        <w:tc>
          <w:tcPr>
            <w:tcW w:w="1310" w:type="dxa"/>
            <w:vAlign w:val="bottom"/>
            <w:tcBorders>
              <w:top w:val="single" w:sz="8" w:color="DADAE7"/>
              <w:bottom w:val="single" w:sz="8" w:color="F4EFF6"/>
            </w:tcBorders>
            <w:shd w:val="clear" w:color="auto" w:fill="F4EFF6"/>
          </w:tcPr>
          <w:p>
            <w:pPr>
              <w:jc w:val="right"/>
              <w:ind w:right="65"/>
              <w:spacing w:after="0"/>
              <w:rPr>
                <w:sz w:val="20"/>
                <w:szCs w:val="20"/>
                <w:color w:val="auto"/>
              </w:rPr>
            </w:pPr>
            <w:r>
              <w:rPr>
                <w:rFonts w:ascii="Arial" w:cs="Arial" w:eastAsia="Arial" w:hAnsi="Arial"/>
                <w:sz w:val="15"/>
                <w:szCs w:val="15"/>
                <w:b w:val="1"/>
                <w:bCs w:val="1"/>
                <w:color w:val="auto"/>
              </w:rPr>
              <w:t>2,607.2</w:t>
            </w:r>
          </w:p>
        </w:tc>
        <w:tc>
          <w:tcPr>
            <w:tcW w:w="124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w:t>
            </w:r>
          </w:p>
        </w:tc>
        <w:tc>
          <w:tcPr>
            <w:tcW w:w="13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2,607.2</w:t>
            </w:r>
          </w:p>
        </w:tc>
      </w:tr>
      <w:tr>
        <w:trPr>
          <w:trHeight w:val="236"/>
        </w:trPr>
        <w:tc>
          <w:tcPr>
            <w:tcW w:w="61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Stock borrowing</w:t>
            </w:r>
          </w:p>
        </w:tc>
        <w:tc>
          <w:tcPr>
            <w:tcW w:w="1230" w:type="dxa"/>
            <w:vAlign w:val="bottom"/>
            <w:tcBorders>
              <w:top w:val="single" w:sz="8" w:color="DADAE7"/>
              <w:bottom w:val="single" w:sz="8" w:color="F4EFF6"/>
            </w:tcBorders>
            <w:shd w:val="clear" w:color="auto" w:fill="F4EFF6"/>
          </w:tcPr>
          <w:p>
            <w:pPr>
              <w:jc w:val="right"/>
              <w:ind w:right="75"/>
              <w:spacing w:after="0"/>
              <w:rPr>
                <w:sz w:val="20"/>
                <w:szCs w:val="20"/>
                <w:color w:val="auto"/>
              </w:rPr>
            </w:pPr>
            <w:r>
              <w:rPr>
                <w:rFonts w:ascii="Arial" w:cs="Arial" w:eastAsia="Arial" w:hAnsi="Arial"/>
                <w:sz w:val="15"/>
                <w:szCs w:val="15"/>
                <w:b w:val="1"/>
                <w:bCs w:val="1"/>
                <w:color w:val="auto"/>
              </w:rPr>
              <w:t>2,495.1</w:t>
            </w:r>
          </w:p>
        </w:tc>
        <w:tc>
          <w:tcPr>
            <w:tcW w:w="1310" w:type="dxa"/>
            <w:vAlign w:val="bottom"/>
            <w:tcBorders>
              <w:top w:val="single" w:sz="8" w:color="DADAE7"/>
              <w:bottom w:val="single" w:sz="8" w:color="F4EFF6"/>
            </w:tcBorders>
            <w:shd w:val="clear" w:color="auto" w:fill="F4EFF6"/>
          </w:tcPr>
          <w:p>
            <w:pPr>
              <w:jc w:val="right"/>
              <w:ind w:right="65"/>
              <w:spacing w:after="0"/>
              <w:rPr>
                <w:sz w:val="20"/>
                <w:szCs w:val="20"/>
                <w:color w:val="auto"/>
              </w:rPr>
            </w:pPr>
            <w:r>
              <w:rPr>
                <w:rFonts w:ascii="Arial" w:cs="Arial" w:eastAsia="Arial" w:hAnsi="Arial"/>
                <w:sz w:val="15"/>
                <w:szCs w:val="15"/>
                <w:b w:val="1"/>
                <w:bCs w:val="1"/>
                <w:color w:val="auto"/>
              </w:rPr>
              <w:t>—</w:t>
            </w:r>
          </w:p>
        </w:tc>
        <w:tc>
          <w:tcPr>
            <w:tcW w:w="124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w:t>
            </w:r>
          </w:p>
        </w:tc>
        <w:tc>
          <w:tcPr>
            <w:tcW w:w="13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2,495.1</w:t>
            </w:r>
          </w:p>
        </w:tc>
      </w:tr>
      <w:tr>
        <w:trPr>
          <w:trHeight w:val="237"/>
        </w:trPr>
        <w:tc>
          <w:tcPr>
            <w:tcW w:w="6140" w:type="dxa"/>
            <w:vAlign w:val="bottom"/>
            <w:tcBorders>
              <w:top w:val="single" w:sz="8" w:color="DADAE7"/>
            </w:tcBorders>
          </w:tcPr>
          <w:p>
            <w:pPr>
              <w:ind w:left="20"/>
              <w:spacing w:after="0"/>
              <w:rPr>
                <w:sz w:val="20"/>
                <w:szCs w:val="20"/>
                <w:color w:val="auto"/>
              </w:rPr>
            </w:pPr>
            <w:r>
              <w:rPr>
                <w:rFonts w:ascii="Arial" w:cs="Arial" w:eastAsia="Arial" w:hAnsi="Arial"/>
                <w:sz w:val="15"/>
                <w:szCs w:val="15"/>
                <w:b w:val="1"/>
                <w:bCs w:val="1"/>
                <w:color w:val="auto"/>
              </w:rPr>
              <w:t>Financial assets – FVTOCI:</w:t>
            </w:r>
          </w:p>
        </w:tc>
        <w:tc>
          <w:tcPr>
            <w:tcW w:w="1230" w:type="dxa"/>
            <w:vAlign w:val="bottom"/>
            <w:tcBorders>
              <w:top w:val="single" w:sz="8" w:color="DADAE7"/>
              <w:bottom w:val="single" w:sz="8" w:color="F4EFF6"/>
            </w:tcBorders>
            <w:shd w:val="clear" w:color="auto" w:fill="F4EFF6"/>
          </w:tcPr>
          <w:p>
            <w:pPr>
              <w:spacing w:after="0"/>
              <w:rPr>
                <w:sz w:val="20"/>
                <w:szCs w:val="20"/>
                <w:color w:val="auto"/>
              </w:rPr>
            </w:pPr>
          </w:p>
        </w:tc>
        <w:tc>
          <w:tcPr>
            <w:tcW w:w="1310" w:type="dxa"/>
            <w:vAlign w:val="bottom"/>
            <w:tcBorders>
              <w:top w:val="single" w:sz="8" w:color="DADAE7"/>
              <w:bottom w:val="single" w:sz="8" w:color="F4EFF6"/>
            </w:tcBorders>
            <w:shd w:val="clear" w:color="auto" w:fill="F4EFF6"/>
          </w:tcPr>
          <w:p>
            <w:pPr>
              <w:spacing w:after="0"/>
              <w:rPr>
                <w:sz w:val="20"/>
                <w:szCs w:val="20"/>
                <w:color w:val="auto"/>
              </w:rPr>
            </w:pPr>
          </w:p>
        </w:tc>
        <w:tc>
          <w:tcPr>
            <w:tcW w:w="1240" w:type="dxa"/>
            <w:vAlign w:val="bottom"/>
            <w:tcBorders>
              <w:top w:val="single" w:sz="8" w:color="DADAE7"/>
              <w:bottom w:val="single" w:sz="8" w:color="F4EFF6"/>
            </w:tcBorders>
            <w:shd w:val="clear" w:color="auto" w:fill="F4EFF6"/>
          </w:tcPr>
          <w:p>
            <w:pPr>
              <w:spacing w:after="0"/>
              <w:rPr>
                <w:sz w:val="20"/>
                <w:szCs w:val="20"/>
                <w:color w:val="auto"/>
              </w:rPr>
            </w:pPr>
          </w:p>
        </w:tc>
        <w:tc>
          <w:tcPr>
            <w:tcW w:w="1300" w:type="dxa"/>
            <w:vAlign w:val="bottom"/>
            <w:tcBorders>
              <w:top w:val="single" w:sz="8" w:color="DADAE7"/>
              <w:bottom w:val="single" w:sz="8" w:color="F4EFF6"/>
            </w:tcBorders>
            <w:shd w:val="clear" w:color="auto" w:fill="F4EFF6"/>
          </w:tcPr>
          <w:p>
            <w:pPr>
              <w:spacing w:after="0"/>
              <w:rPr>
                <w:sz w:val="20"/>
                <w:szCs w:val="20"/>
                <w:color w:val="auto"/>
              </w:rPr>
            </w:pPr>
          </w:p>
        </w:tc>
      </w:tr>
      <w:tr>
        <w:trPr>
          <w:trHeight w:val="237"/>
        </w:trPr>
        <w:tc>
          <w:tcPr>
            <w:tcW w:w="61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Investments</w:t>
            </w:r>
          </w:p>
        </w:tc>
        <w:tc>
          <w:tcPr>
            <w:tcW w:w="1230" w:type="dxa"/>
            <w:vAlign w:val="bottom"/>
            <w:tcBorders>
              <w:top w:val="single" w:sz="8" w:color="DADAE7"/>
              <w:bottom w:val="single" w:sz="8" w:color="F4EFF6"/>
            </w:tcBorders>
            <w:shd w:val="clear" w:color="auto" w:fill="F4EFF6"/>
          </w:tcPr>
          <w:p>
            <w:pPr>
              <w:jc w:val="right"/>
              <w:ind w:right="75"/>
              <w:spacing w:after="0"/>
              <w:rPr>
                <w:sz w:val="20"/>
                <w:szCs w:val="20"/>
                <w:color w:val="auto"/>
              </w:rPr>
            </w:pPr>
            <w:r>
              <w:rPr>
                <w:rFonts w:ascii="Arial" w:cs="Arial" w:eastAsia="Arial" w:hAnsi="Arial"/>
                <w:sz w:val="15"/>
                <w:szCs w:val="15"/>
                <w:b w:val="1"/>
                <w:bCs w:val="1"/>
                <w:color w:val="auto"/>
              </w:rPr>
              <w:t>—</w:t>
            </w:r>
          </w:p>
        </w:tc>
        <w:tc>
          <w:tcPr>
            <w:tcW w:w="1310" w:type="dxa"/>
            <w:vAlign w:val="bottom"/>
            <w:tcBorders>
              <w:top w:val="single" w:sz="8" w:color="DADAE7"/>
              <w:bottom w:val="single" w:sz="8" w:color="F4EFF6"/>
            </w:tcBorders>
            <w:shd w:val="clear" w:color="auto" w:fill="F4EFF6"/>
          </w:tcPr>
          <w:p>
            <w:pPr>
              <w:jc w:val="right"/>
              <w:ind w:right="65"/>
              <w:spacing w:after="0"/>
              <w:rPr>
                <w:sz w:val="20"/>
                <w:szCs w:val="20"/>
                <w:color w:val="auto"/>
              </w:rPr>
            </w:pPr>
            <w:r>
              <w:rPr>
                <w:rFonts w:ascii="Arial" w:cs="Arial" w:eastAsia="Arial" w:hAnsi="Arial"/>
                <w:sz w:val="15"/>
                <w:szCs w:val="15"/>
                <w:b w:val="1"/>
                <w:bCs w:val="1"/>
                <w:color w:val="auto"/>
              </w:rPr>
              <w:t>23.8</w:t>
            </w:r>
          </w:p>
        </w:tc>
        <w:tc>
          <w:tcPr>
            <w:tcW w:w="124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5.1</w:t>
            </w:r>
          </w:p>
        </w:tc>
        <w:tc>
          <w:tcPr>
            <w:tcW w:w="13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28.9</w:t>
            </w:r>
          </w:p>
        </w:tc>
      </w:tr>
      <w:tr>
        <w:trPr>
          <w:trHeight w:val="237"/>
        </w:trPr>
        <w:tc>
          <w:tcPr>
            <w:tcW w:w="61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Derivative instruments</w:t>
            </w:r>
          </w:p>
        </w:tc>
        <w:tc>
          <w:tcPr>
            <w:tcW w:w="1230" w:type="dxa"/>
            <w:vAlign w:val="bottom"/>
            <w:tcBorders>
              <w:top w:val="single" w:sz="8" w:color="DADAE7"/>
              <w:bottom w:val="single" w:sz="8" w:color="F4EFF6"/>
            </w:tcBorders>
            <w:shd w:val="clear" w:color="auto" w:fill="F4EFF6"/>
          </w:tcPr>
          <w:p>
            <w:pPr>
              <w:jc w:val="right"/>
              <w:ind w:right="75"/>
              <w:spacing w:after="0"/>
              <w:rPr>
                <w:sz w:val="20"/>
                <w:szCs w:val="20"/>
                <w:color w:val="auto"/>
              </w:rPr>
            </w:pPr>
            <w:r>
              <w:rPr>
                <w:rFonts w:ascii="Arial" w:cs="Arial" w:eastAsia="Arial" w:hAnsi="Arial"/>
                <w:sz w:val="15"/>
                <w:szCs w:val="15"/>
                <w:b w:val="1"/>
                <w:bCs w:val="1"/>
                <w:color w:val="auto"/>
              </w:rPr>
              <w:t>—</w:t>
            </w:r>
          </w:p>
        </w:tc>
        <w:tc>
          <w:tcPr>
            <w:tcW w:w="1310" w:type="dxa"/>
            <w:vAlign w:val="bottom"/>
            <w:tcBorders>
              <w:top w:val="single" w:sz="8" w:color="DADAE7"/>
              <w:bottom w:val="single" w:sz="8" w:color="F4EFF6"/>
            </w:tcBorders>
            <w:shd w:val="clear" w:color="auto" w:fill="F4EFF6"/>
          </w:tcPr>
          <w:p>
            <w:pPr>
              <w:jc w:val="right"/>
              <w:ind w:right="65"/>
              <w:spacing w:after="0"/>
              <w:rPr>
                <w:sz w:val="20"/>
                <w:szCs w:val="20"/>
                <w:color w:val="auto"/>
              </w:rPr>
            </w:pPr>
            <w:r>
              <w:rPr>
                <w:rFonts w:ascii="Arial" w:cs="Arial" w:eastAsia="Arial" w:hAnsi="Arial"/>
                <w:sz w:val="15"/>
                <w:szCs w:val="15"/>
                <w:b w:val="1"/>
                <w:bCs w:val="1"/>
                <w:color w:val="auto"/>
              </w:rPr>
              <w:t>17.8</w:t>
            </w:r>
          </w:p>
        </w:tc>
        <w:tc>
          <w:tcPr>
            <w:tcW w:w="124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w:t>
            </w:r>
          </w:p>
        </w:tc>
        <w:tc>
          <w:tcPr>
            <w:tcW w:w="13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17.8</w:t>
            </w:r>
          </w:p>
        </w:tc>
      </w:tr>
      <w:tr>
        <w:trPr>
          <w:trHeight w:val="236"/>
        </w:trPr>
        <w:tc>
          <w:tcPr>
            <w:tcW w:w="6140" w:type="dxa"/>
            <w:vAlign w:val="bottom"/>
            <w:tcBorders>
              <w:top w:val="single" w:sz="8" w:color="DADAE7"/>
            </w:tcBorders>
          </w:tcPr>
          <w:p>
            <w:pPr>
              <w:ind w:left="20"/>
              <w:spacing w:after="0"/>
              <w:rPr>
                <w:sz w:val="20"/>
                <w:szCs w:val="20"/>
                <w:color w:val="auto"/>
              </w:rPr>
            </w:pPr>
            <w:r>
              <w:rPr>
                <w:rFonts w:ascii="Arial" w:cs="Arial" w:eastAsia="Arial" w:hAnsi="Arial"/>
                <w:sz w:val="15"/>
                <w:szCs w:val="15"/>
                <w:b w:val="1"/>
                <w:bCs w:val="1"/>
                <w:color w:val="auto"/>
              </w:rPr>
              <w:t>Financial liabilities – FVTOCI:</w:t>
            </w:r>
          </w:p>
        </w:tc>
        <w:tc>
          <w:tcPr>
            <w:tcW w:w="1230" w:type="dxa"/>
            <w:vAlign w:val="bottom"/>
            <w:tcBorders>
              <w:top w:val="single" w:sz="8" w:color="DADAE7"/>
              <w:bottom w:val="single" w:sz="8" w:color="F4EFF6"/>
            </w:tcBorders>
            <w:shd w:val="clear" w:color="auto" w:fill="F4EFF6"/>
          </w:tcPr>
          <w:p>
            <w:pPr>
              <w:spacing w:after="0"/>
              <w:rPr>
                <w:sz w:val="20"/>
                <w:szCs w:val="20"/>
                <w:color w:val="auto"/>
              </w:rPr>
            </w:pPr>
          </w:p>
        </w:tc>
        <w:tc>
          <w:tcPr>
            <w:tcW w:w="1310" w:type="dxa"/>
            <w:vAlign w:val="bottom"/>
            <w:tcBorders>
              <w:top w:val="single" w:sz="8" w:color="DADAE7"/>
              <w:bottom w:val="single" w:sz="8" w:color="F4EFF6"/>
            </w:tcBorders>
            <w:shd w:val="clear" w:color="auto" w:fill="F4EFF6"/>
          </w:tcPr>
          <w:p>
            <w:pPr>
              <w:spacing w:after="0"/>
              <w:rPr>
                <w:sz w:val="20"/>
                <w:szCs w:val="20"/>
                <w:color w:val="auto"/>
              </w:rPr>
            </w:pPr>
          </w:p>
        </w:tc>
        <w:tc>
          <w:tcPr>
            <w:tcW w:w="1240" w:type="dxa"/>
            <w:vAlign w:val="bottom"/>
            <w:tcBorders>
              <w:top w:val="single" w:sz="8" w:color="DADAE7"/>
              <w:bottom w:val="single" w:sz="8" w:color="F4EFF6"/>
            </w:tcBorders>
            <w:shd w:val="clear" w:color="auto" w:fill="F4EFF6"/>
          </w:tcPr>
          <w:p>
            <w:pPr>
              <w:spacing w:after="0"/>
              <w:rPr>
                <w:sz w:val="20"/>
                <w:szCs w:val="20"/>
                <w:color w:val="auto"/>
              </w:rPr>
            </w:pPr>
          </w:p>
        </w:tc>
        <w:tc>
          <w:tcPr>
            <w:tcW w:w="1300" w:type="dxa"/>
            <w:vAlign w:val="bottom"/>
            <w:tcBorders>
              <w:top w:val="single" w:sz="8" w:color="DADAE7"/>
              <w:bottom w:val="single" w:sz="8" w:color="F4EFF6"/>
            </w:tcBorders>
            <w:shd w:val="clear" w:color="auto" w:fill="F4EFF6"/>
          </w:tcPr>
          <w:p>
            <w:pPr>
              <w:spacing w:after="0"/>
              <w:rPr>
                <w:sz w:val="20"/>
                <w:szCs w:val="20"/>
                <w:color w:val="auto"/>
              </w:rPr>
            </w:pPr>
          </w:p>
        </w:tc>
      </w:tr>
      <w:tr>
        <w:trPr>
          <w:trHeight w:val="237"/>
        </w:trPr>
        <w:tc>
          <w:tcPr>
            <w:tcW w:w="61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Derivative instruments</w:t>
            </w:r>
          </w:p>
        </w:tc>
        <w:tc>
          <w:tcPr>
            <w:tcW w:w="1230" w:type="dxa"/>
            <w:vAlign w:val="bottom"/>
            <w:tcBorders>
              <w:top w:val="single" w:sz="8" w:color="DADAE7"/>
              <w:bottom w:val="single" w:sz="8" w:color="F4EFF6"/>
            </w:tcBorders>
            <w:shd w:val="clear" w:color="auto" w:fill="F4EFF6"/>
          </w:tcPr>
          <w:p>
            <w:pPr>
              <w:jc w:val="right"/>
              <w:ind w:right="75"/>
              <w:spacing w:after="0"/>
              <w:rPr>
                <w:sz w:val="20"/>
                <w:szCs w:val="20"/>
                <w:color w:val="auto"/>
              </w:rPr>
            </w:pPr>
            <w:r>
              <w:rPr>
                <w:rFonts w:ascii="Arial" w:cs="Arial" w:eastAsia="Arial" w:hAnsi="Arial"/>
                <w:sz w:val="15"/>
                <w:szCs w:val="15"/>
                <w:b w:val="1"/>
                <w:bCs w:val="1"/>
                <w:color w:val="auto"/>
              </w:rPr>
              <w:t>—</w:t>
            </w:r>
          </w:p>
        </w:tc>
        <w:tc>
          <w:tcPr>
            <w:tcW w:w="1310" w:type="dxa"/>
            <w:vAlign w:val="bottom"/>
            <w:tcBorders>
              <w:top w:val="single" w:sz="8" w:color="DADAE7"/>
              <w:bottom w:val="single" w:sz="8" w:color="F4EFF6"/>
            </w:tcBorders>
            <w:shd w:val="clear" w:color="auto" w:fill="F4EFF6"/>
          </w:tcPr>
          <w:p>
            <w:pPr>
              <w:jc w:val="right"/>
              <w:ind w:right="25"/>
              <w:spacing w:after="0"/>
              <w:rPr>
                <w:sz w:val="20"/>
                <w:szCs w:val="20"/>
                <w:color w:val="auto"/>
              </w:rPr>
            </w:pPr>
            <w:r>
              <w:rPr>
                <w:rFonts w:ascii="Arial" w:cs="Arial" w:eastAsia="Arial" w:hAnsi="Arial"/>
                <w:sz w:val="15"/>
                <w:szCs w:val="15"/>
                <w:b w:val="1"/>
                <w:bCs w:val="1"/>
                <w:color w:val="auto"/>
              </w:rPr>
              <w:t>(2.9)</w:t>
            </w:r>
          </w:p>
        </w:tc>
        <w:tc>
          <w:tcPr>
            <w:tcW w:w="124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w:t>
            </w:r>
          </w:p>
        </w:tc>
        <w:tc>
          <w:tcPr>
            <w:tcW w:w="13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(2.9)</w:t>
            </w:r>
          </w:p>
        </w:tc>
      </w:tr>
      <w:tr>
        <w:trPr>
          <w:trHeight w:val="237"/>
        </w:trPr>
        <w:tc>
          <w:tcPr>
            <w:tcW w:w="6140" w:type="dxa"/>
            <w:vAlign w:val="bottom"/>
            <w:tcBorders>
              <w:top w:val="single" w:sz="8" w:color="DADAE7"/>
            </w:tcBorders>
          </w:tcPr>
          <w:p>
            <w:pPr>
              <w:ind w:left="20"/>
              <w:spacing w:after="0"/>
              <w:rPr>
                <w:sz w:val="20"/>
                <w:szCs w:val="20"/>
                <w:color w:val="auto"/>
              </w:rPr>
            </w:pPr>
            <w:r>
              <w:rPr>
                <w:rFonts w:ascii="Arial" w:cs="Arial" w:eastAsia="Arial" w:hAnsi="Arial"/>
                <w:sz w:val="15"/>
                <w:szCs w:val="15"/>
                <w:b w:val="1"/>
                <w:bCs w:val="1"/>
                <w:color w:val="auto"/>
              </w:rPr>
              <w:t>Financial liabilities – FVTPL:</w:t>
            </w:r>
          </w:p>
        </w:tc>
        <w:tc>
          <w:tcPr>
            <w:tcW w:w="1230" w:type="dxa"/>
            <w:vAlign w:val="bottom"/>
            <w:tcBorders>
              <w:top w:val="single" w:sz="8" w:color="DADAE7"/>
              <w:bottom w:val="single" w:sz="8" w:color="F4EFF6"/>
            </w:tcBorders>
            <w:shd w:val="clear" w:color="auto" w:fill="F4EFF6"/>
          </w:tcPr>
          <w:p>
            <w:pPr>
              <w:spacing w:after="0"/>
              <w:rPr>
                <w:sz w:val="20"/>
                <w:szCs w:val="20"/>
                <w:color w:val="auto"/>
              </w:rPr>
            </w:pPr>
          </w:p>
        </w:tc>
        <w:tc>
          <w:tcPr>
            <w:tcW w:w="1310" w:type="dxa"/>
            <w:vAlign w:val="bottom"/>
            <w:tcBorders>
              <w:top w:val="single" w:sz="8" w:color="DADAE7"/>
              <w:bottom w:val="single" w:sz="8" w:color="F4EFF6"/>
            </w:tcBorders>
            <w:shd w:val="clear" w:color="auto" w:fill="F4EFF6"/>
          </w:tcPr>
          <w:p>
            <w:pPr>
              <w:spacing w:after="0"/>
              <w:rPr>
                <w:sz w:val="20"/>
                <w:szCs w:val="20"/>
                <w:color w:val="auto"/>
              </w:rPr>
            </w:pPr>
          </w:p>
        </w:tc>
        <w:tc>
          <w:tcPr>
            <w:tcW w:w="1240" w:type="dxa"/>
            <w:vAlign w:val="bottom"/>
            <w:tcBorders>
              <w:top w:val="single" w:sz="8" w:color="DADAE7"/>
              <w:bottom w:val="single" w:sz="8" w:color="F4EFF6"/>
            </w:tcBorders>
            <w:shd w:val="clear" w:color="auto" w:fill="F4EFF6"/>
          </w:tcPr>
          <w:p>
            <w:pPr>
              <w:spacing w:after="0"/>
              <w:rPr>
                <w:sz w:val="20"/>
                <w:szCs w:val="20"/>
                <w:color w:val="auto"/>
              </w:rPr>
            </w:pPr>
          </w:p>
        </w:tc>
        <w:tc>
          <w:tcPr>
            <w:tcW w:w="1300" w:type="dxa"/>
            <w:vAlign w:val="bottom"/>
            <w:tcBorders>
              <w:top w:val="single" w:sz="8" w:color="DADAE7"/>
              <w:bottom w:val="single" w:sz="8" w:color="F4EFF6"/>
            </w:tcBorders>
            <w:shd w:val="clear" w:color="auto" w:fill="F4EFF6"/>
          </w:tcPr>
          <w:p>
            <w:pPr>
              <w:spacing w:after="0"/>
              <w:rPr>
                <w:sz w:val="20"/>
                <w:szCs w:val="20"/>
                <w:color w:val="auto"/>
              </w:rPr>
            </w:pPr>
          </w:p>
        </w:tc>
      </w:tr>
      <w:tr>
        <w:trPr>
          <w:trHeight w:val="236"/>
        </w:trPr>
        <w:tc>
          <w:tcPr>
            <w:tcW w:w="61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Derivative instruments</w:t>
            </w:r>
          </w:p>
        </w:tc>
        <w:tc>
          <w:tcPr>
            <w:tcW w:w="1230" w:type="dxa"/>
            <w:vAlign w:val="bottom"/>
            <w:tcBorders>
              <w:top w:val="single" w:sz="8" w:color="DADAE7"/>
              <w:bottom w:val="single" w:sz="8" w:color="F4EFF6"/>
            </w:tcBorders>
            <w:shd w:val="clear" w:color="auto" w:fill="F4EFF6"/>
          </w:tcPr>
          <w:p>
            <w:pPr>
              <w:jc w:val="right"/>
              <w:ind w:right="75"/>
              <w:spacing w:after="0"/>
              <w:rPr>
                <w:sz w:val="20"/>
                <w:szCs w:val="20"/>
                <w:color w:val="auto"/>
              </w:rPr>
            </w:pPr>
            <w:r>
              <w:rPr>
                <w:rFonts w:ascii="Arial" w:cs="Arial" w:eastAsia="Arial" w:hAnsi="Arial"/>
                <w:sz w:val="15"/>
                <w:szCs w:val="15"/>
                <w:b w:val="1"/>
                <w:bCs w:val="1"/>
                <w:color w:val="auto"/>
              </w:rPr>
              <w:t>—</w:t>
            </w:r>
          </w:p>
        </w:tc>
        <w:tc>
          <w:tcPr>
            <w:tcW w:w="1310" w:type="dxa"/>
            <w:vAlign w:val="bottom"/>
            <w:tcBorders>
              <w:top w:val="single" w:sz="8" w:color="DADAE7"/>
              <w:bottom w:val="single" w:sz="8" w:color="F4EFF6"/>
            </w:tcBorders>
            <w:shd w:val="clear" w:color="auto" w:fill="F4EFF6"/>
          </w:tcPr>
          <w:p>
            <w:pPr>
              <w:jc w:val="right"/>
              <w:ind w:right="25"/>
              <w:spacing w:after="0"/>
              <w:rPr>
                <w:sz w:val="20"/>
                <w:szCs w:val="20"/>
                <w:color w:val="auto"/>
              </w:rPr>
            </w:pPr>
            <w:r>
              <w:rPr>
                <w:rFonts w:ascii="Arial" w:cs="Arial" w:eastAsia="Arial" w:hAnsi="Arial"/>
                <w:sz w:val="15"/>
                <w:szCs w:val="15"/>
                <w:b w:val="1"/>
                <w:bCs w:val="1"/>
                <w:color w:val="auto"/>
              </w:rPr>
              <w:t>(1,093.3)</w:t>
            </w:r>
          </w:p>
        </w:tc>
        <w:tc>
          <w:tcPr>
            <w:tcW w:w="12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(0.3)</w:t>
            </w:r>
          </w:p>
        </w:tc>
        <w:tc>
          <w:tcPr>
            <w:tcW w:w="13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(1,093.6)</w:t>
            </w:r>
          </w:p>
        </w:tc>
      </w:tr>
      <w:tr>
        <w:trPr>
          <w:trHeight w:val="237"/>
        </w:trPr>
        <w:tc>
          <w:tcPr>
            <w:tcW w:w="61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Trade payables</w:t>
            </w:r>
          </w:p>
        </w:tc>
        <w:tc>
          <w:tcPr>
            <w:tcW w:w="1230" w:type="dxa"/>
            <w:vAlign w:val="bottom"/>
            <w:tcBorders>
              <w:top w:val="single" w:sz="8" w:color="DADAE7"/>
              <w:bottom w:val="single" w:sz="8" w:color="F4EFF6"/>
            </w:tcBorders>
            <w:shd w:val="clear" w:color="auto" w:fill="F4EFF6"/>
          </w:tcPr>
          <w:p>
            <w:pPr>
              <w:jc w:val="right"/>
              <w:ind w:right="15"/>
              <w:spacing w:after="0"/>
              <w:rPr>
                <w:sz w:val="20"/>
                <w:szCs w:val="20"/>
                <w:color w:val="auto"/>
              </w:rPr>
            </w:pPr>
            <w:r>
              <w:rPr>
                <w:rFonts w:ascii="Arial" w:cs="Arial" w:eastAsia="Arial" w:hAnsi="Arial"/>
                <w:sz w:val="15"/>
                <w:szCs w:val="15"/>
                <w:b w:val="1"/>
                <w:bCs w:val="1"/>
                <w:color w:val="auto"/>
              </w:rPr>
              <w:t>(7.6)</w:t>
            </w:r>
          </w:p>
        </w:tc>
        <w:tc>
          <w:tcPr>
            <w:tcW w:w="1310" w:type="dxa"/>
            <w:vAlign w:val="bottom"/>
            <w:tcBorders>
              <w:top w:val="single" w:sz="8" w:color="DADAE7"/>
              <w:bottom w:val="single" w:sz="8" w:color="F4EFF6"/>
            </w:tcBorders>
            <w:shd w:val="clear" w:color="auto" w:fill="F4EFF6"/>
          </w:tcPr>
          <w:p>
            <w:pPr>
              <w:jc w:val="right"/>
              <w:ind w:right="65"/>
              <w:spacing w:after="0"/>
              <w:rPr>
                <w:sz w:val="20"/>
                <w:szCs w:val="20"/>
                <w:color w:val="auto"/>
              </w:rPr>
            </w:pPr>
            <w:r>
              <w:rPr>
                <w:rFonts w:ascii="Arial" w:cs="Arial" w:eastAsia="Arial" w:hAnsi="Arial"/>
                <w:sz w:val="15"/>
                <w:szCs w:val="15"/>
                <w:b w:val="1"/>
                <w:bCs w:val="1"/>
                <w:color w:val="auto"/>
              </w:rPr>
              <w:t>—</w:t>
            </w:r>
          </w:p>
        </w:tc>
        <w:tc>
          <w:tcPr>
            <w:tcW w:w="124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w:t>
            </w:r>
          </w:p>
        </w:tc>
        <w:tc>
          <w:tcPr>
            <w:tcW w:w="13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(7.6)</w:t>
            </w:r>
          </w:p>
        </w:tc>
      </w:tr>
      <w:tr>
        <w:trPr>
          <w:trHeight w:val="237"/>
        </w:trPr>
        <w:tc>
          <w:tcPr>
            <w:tcW w:w="61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Amounts payable to clients</w:t>
            </w:r>
          </w:p>
        </w:tc>
        <w:tc>
          <w:tcPr>
            <w:tcW w:w="1230" w:type="dxa"/>
            <w:vAlign w:val="bottom"/>
            <w:tcBorders>
              <w:top w:val="single" w:sz="8" w:color="DADAE7"/>
              <w:bottom w:val="single" w:sz="8" w:color="F4EFF6"/>
            </w:tcBorders>
            <w:shd w:val="clear" w:color="auto" w:fill="F4EFF6"/>
          </w:tcPr>
          <w:p>
            <w:pPr>
              <w:jc w:val="right"/>
              <w:ind w:right="15"/>
              <w:spacing w:after="0"/>
              <w:rPr>
                <w:sz w:val="20"/>
                <w:szCs w:val="20"/>
                <w:color w:val="auto"/>
              </w:rPr>
            </w:pPr>
            <w:r>
              <w:rPr>
                <w:rFonts w:ascii="Arial" w:cs="Arial" w:eastAsia="Arial" w:hAnsi="Arial"/>
                <w:sz w:val="15"/>
                <w:szCs w:val="15"/>
                <w:b w:val="1"/>
                <w:bCs w:val="1"/>
                <w:color w:val="auto"/>
              </w:rPr>
              <w:t>(46.2)</w:t>
            </w:r>
          </w:p>
        </w:tc>
        <w:tc>
          <w:tcPr>
            <w:tcW w:w="1310" w:type="dxa"/>
            <w:vAlign w:val="bottom"/>
            <w:tcBorders>
              <w:top w:val="single" w:sz="8" w:color="DADAE7"/>
              <w:bottom w:val="single" w:sz="8" w:color="F4EFF6"/>
            </w:tcBorders>
            <w:shd w:val="clear" w:color="auto" w:fill="F4EFF6"/>
          </w:tcPr>
          <w:p>
            <w:pPr>
              <w:jc w:val="right"/>
              <w:ind w:right="65"/>
              <w:spacing w:after="0"/>
              <w:rPr>
                <w:sz w:val="20"/>
                <w:szCs w:val="20"/>
                <w:color w:val="auto"/>
              </w:rPr>
            </w:pPr>
            <w:r>
              <w:rPr>
                <w:rFonts w:ascii="Arial" w:cs="Arial" w:eastAsia="Arial" w:hAnsi="Arial"/>
                <w:sz w:val="15"/>
                <w:szCs w:val="15"/>
                <w:b w:val="1"/>
                <w:bCs w:val="1"/>
                <w:color w:val="auto"/>
              </w:rPr>
              <w:t>—</w:t>
            </w:r>
          </w:p>
        </w:tc>
        <w:tc>
          <w:tcPr>
            <w:tcW w:w="124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w:t>
            </w:r>
          </w:p>
        </w:tc>
        <w:tc>
          <w:tcPr>
            <w:tcW w:w="13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(46.2)</w:t>
            </w:r>
          </w:p>
        </w:tc>
      </w:tr>
      <w:tr>
        <w:trPr>
          <w:trHeight w:val="236"/>
        </w:trPr>
        <w:tc>
          <w:tcPr>
            <w:tcW w:w="61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Short securities</w:t>
            </w:r>
          </w:p>
        </w:tc>
        <w:tc>
          <w:tcPr>
            <w:tcW w:w="1230" w:type="dxa"/>
            <w:vAlign w:val="bottom"/>
            <w:tcBorders>
              <w:top w:val="single" w:sz="8" w:color="DADAE7"/>
              <w:bottom w:val="single" w:sz="8" w:color="F4EFF6"/>
            </w:tcBorders>
            <w:shd w:val="clear" w:color="auto" w:fill="F4EFF6"/>
          </w:tcPr>
          <w:p>
            <w:pPr>
              <w:jc w:val="right"/>
              <w:ind w:right="15"/>
              <w:spacing w:after="0"/>
              <w:rPr>
                <w:sz w:val="20"/>
                <w:szCs w:val="20"/>
                <w:color w:val="auto"/>
              </w:rPr>
            </w:pPr>
            <w:r>
              <w:rPr>
                <w:rFonts w:ascii="Arial" w:cs="Arial" w:eastAsia="Arial" w:hAnsi="Arial"/>
                <w:sz w:val="15"/>
                <w:szCs w:val="15"/>
                <w:b w:val="1"/>
                <w:bCs w:val="1"/>
                <w:color w:val="auto"/>
              </w:rPr>
              <w:t>(2,088.2)</w:t>
            </w:r>
          </w:p>
        </w:tc>
        <w:tc>
          <w:tcPr>
            <w:tcW w:w="1310" w:type="dxa"/>
            <w:vAlign w:val="bottom"/>
            <w:tcBorders>
              <w:top w:val="single" w:sz="8" w:color="DADAE7"/>
              <w:bottom w:val="single" w:sz="8" w:color="F4EFF6"/>
            </w:tcBorders>
            <w:shd w:val="clear" w:color="auto" w:fill="F4EFF6"/>
          </w:tcPr>
          <w:p>
            <w:pPr>
              <w:jc w:val="right"/>
              <w:ind w:right="25"/>
              <w:spacing w:after="0"/>
              <w:rPr>
                <w:sz w:val="20"/>
                <w:szCs w:val="20"/>
                <w:color w:val="auto"/>
              </w:rPr>
            </w:pPr>
            <w:r>
              <w:rPr>
                <w:rFonts w:ascii="Arial" w:cs="Arial" w:eastAsia="Arial" w:hAnsi="Arial"/>
                <w:sz w:val="15"/>
                <w:szCs w:val="15"/>
                <w:b w:val="1"/>
                <w:bCs w:val="1"/>
                <w:color w:val="auto"/>
              </w:rPr>
              <w:t>(88.3)</w:t>
            </w:r>
          </w:p>
        </w:tc>
        <w:tc>
          <w:tcPr>
            <w:tcW w:w="124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w:t>
            </w:r>
          </w:p>
        </w:tc>
        <w:tc>
          <w:tcPr>
            <w:tcW w:w="13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(2,176.5)</w:t>
            </w:r>
          </w:p>
        </w:tc>
      </w:tr>
      <w:tr>
        <w:trPr>
          <w:trHeight w:val="237"/>
        </w:trPr>
        <w:tc>
          <w:tcPr>
            <w:tcW w:w="61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Debt securities</w:t>
            </w:r>
          </w:p>
        </w:tc>
        <w:tc>
          <w:tcPr>
            <w:tcW w:w="1230" w:type="dxa"/>
            <w:vAlign w:val="bottom"/>
            <w:tcBorders>
              <w:top w:val="single" w:sz="8" w:color="DADAE7"/>
              <w:bottom w:val="single" w:sz="8" w:color="F4EFF6"/>
            </w:tcBorders>
            <w:shd w:val="clear" w:color="auto" w:fill="F4EFF6"/>
          </w:tcPr>
          <w:p>
            <w:pPr>
              <w:jc w:val="right"/>
              <w:ind w:right="75"/>
              <w:spacing w:after="0"/>
              <w:rPr>
                <w:sz w:val="20"/>
                <w:szCs w:val="20"/>
                <w:color w:val="auto"/>
              </w:rPr>
            </w:pPr>
            <w:r>
              <w:rPr>
                <w:rFonts w:ascii="Arial" w:cs="Arial" w:eastAsia="Arial" w:hAnsi="Arial"/>
                <w:sz w:val="15"/>
                <w:szCs w:val="15"/>
                <w:b w:val="1"/>
                <w:bCs w:val="1"/>
                <w:color w:val="auto"/>
              </w:rPr>
              <w:t>—</w:t>
            </w:r>
          </w:p>
        </w:tc>
        <w:tc>
          <w:tcPr>
            <w:tcW w:w="1310" w:type="dxa"/>
            <w:vAlign w:val="bottom"/>
            <w:tcBorders>
              <w:top w:val="single" w:sz="8" w:color="DADAE7"/>
              <w:bottom w:val="single" w:sz="8" w:color="F4EFF6"/>
            </w:tcBorders>
            <w:shd w:val="clear" w:color="auto" w:fill="F4EFF6"/>
          </w:tcPr>
          <w:p>
            <w:pPr>
              <w:jc w:val="right"/>
              <w:ind w:right="25"/>
              <w:spacing w:after="0"/>
              <w:rPr>
                <w:sz w:val="20"/>
                <w:szCs w:val="20"/>
                <w:color w:val="auto"/>
              </w:rPr>
            </w:pPr>
            <w:r>
              <w:rPr>
                <w:rFonts w:ascii="Arial" w:cs="Arial" w:eastAsia="Arial" w:hAnsi="Arial"/>
                <w:sz w:val="15"/>
                <w:szCs w:val="15"/>
                <w:b w:val="1"/>
                <w:bCs w:val="1"/>
                <w:color w:val="auto"/>
              </w:rPr>
              <w:t>(3,771.6)</w:t>
            </w:r>
          </w:p>
        </w:tc>
        <w:tc>
          <w:tcPr>
            <w:tcW w:w="124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(0.5)</w:t>
            </w:r>
          </w:p>
        </w:tc>
        <w:tc>
          <w:tcPr>
            <w:tcW w:w="13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(3,772.1)</w:t>
            </w:r>
          </w:p>
        </w:tc>
      </w:tr>
      <w:tr>
        <w:trPr>
          <w:trHeight w:val="236"/>
        </w:trPr>
        <w:tc>
          <w:tcPr>
            <w:tcW w:w="61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Stock lending</w:t>
            </w:r>
          </w:p>
        </w:tc>
        <w:tc>
          <w:tcPr>
            <w:tcW w:w="1230" w:type="dxa"/>
            <w:vAlign w:val="bottom"/>
            <w:tcBorders>
              <w:top w:val="single" w:sz="8" w:color="DADAE7"/>
              <w:bottom w:val="single" w:sz="8" w:color="F4EFF6"/>
            </w:tcBorders>
            <w:shd w:val="clear" w:color="auto" w:fill="F4EFF6"/>
          </w:tcPr>
          <w:p>
            <w:pPr>
              <w:jc w:val="right"/>
              <w:ind w:right="15"/>
              <w:spacing w:after="0"/>
              <w:rPr>
                <w:sz w:val="20"/>
                <w:szCs w:val="20"/>
                <w:color w:val="auto"/>
              </w:rPr>
            </w:pPr>
            <w:r>
              <w:rPr>
                <w:rFonts w:ascii="Arial" w:cs="Arial" w:eastAsia="Arial" w:hAnsi="Arial"/>
                <w:sz w:val="15"/>
                <w:szCs w:val="15"/>
                <w:b w:val="1"/>
                <w:bCs w:val="1"/>
                <w:color w:val="auto"/>
              </w:rPr>
              <w:t>(3,757.4)</w:t>
            </w:r>
          </w:p>
        </w:tc>
        <w:tc>
          <w:tcPr>
            <w:tcW w:w="1310" w:type="dxa"/>
            <w:vAlign w:val="bottom"/>
            <w:tcBorders>
              <w:top w:val="single" w:sz="8" w:color="DADAE7"/>
              <w:bottom w:val="single" w:sz="8" w:color="F4EFF6"/>
            </w:tcBorders>
            <w:shd w:val="clear" w:color="auto" w:fill="F4EFF6"/>
          </w:tcPr>
          <w:p>
            <w:pPr>
              <w:jc w:val="right"/>
              <w:ind w:right="65"/>
              <w:spacing w:after="0"/>
              <w:rPr>
                <w:sz w:val="20"/>
                <w:szCs w:val="20"/>
                <w:color w:val="auto"/>
              </w:rPr>
            </w:pPr>
            <w:r>
              <w:rPr>
                <w:rFonts w:ascii="Arial" w:cs="Arial" w:eastAsia="Arial" w:hAnsi="Arial"/>
                <w:sz w:val="15"/>
                <w:szCs w:val="15"/>
                <w:b w:val="1"/>
                <w:bCs w:val="1"/>
                <w:color w:val="auto"/>
              </w:rPr>
              <w:t>—</w:t>
            </w:r>
          </w:p>
        </w:tc>
        <w:tc>
          <w:tcPr>
            <w:tcW w:w="124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w:t>
            </w:r>
          </w:p>
        </w:tc>
        <w:tc>
          <w:tcPr>
            <w:tcW w:w="13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(3,757.4)</w:t>
            </w:r>
          </w:p>
        </w:tc>
      </w:tr>
      <w:tr>
        <w:trPr>
          <w:trHeight w:val="237"/>
        </w:trPr>
        <w:tc>
          <w:tcPr>
            <w:tcW w:w="614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Repurchase agreements</w:t>
            </w:r>
          </w:p>
        </w:tc>
        <w:tc>
          <w:tcPr>
            <w:tcW w:w="1230" w:type="dxa"/>
            <w:vAlign w:val="bottom"/>
            <w:tcBorders>
              <w:top w:val="single" w:sz="8" w:color="DADAE7"/>
              <w:bottom w:val="single" w:sz="8" w:color="F4EFF6"/>
            </w:tcBorders>
            <w:shd w:val="clear" w:color="auto" w:fill="F4EFF6"/>
          </w:tcPr>
          <w:p>
            <w:pPr>
              <w:jc w:val="right"/>
              <w:ind w:right="75"/>
              <w:spacing w:after="0"/>
              <w:rPr>
                <w:sz w:val="20"/>
                <w:szCs w:val="20"/>
                <w:color w:val="auto"/>
              </w:rPr>
            </w:pPr>
            <w:r>
              <w:rPr>
                <w:rFonts w:ascii="Arial" w:cs="Arial" w:eastAsia="Arial" w:hAnsi="Arial"/>
                <w:sz w:val="15"/>
                <w:szCs w:val="15"/>
                <w:b w:val="1"/>
                <w:bCs w:val="1"/>
                <w:color w:val="auto"/>
              </w:rPr>
              <w:t>—</w:t>
            </w:r>
          </w:p>
        </w:tc>
        <w:tc>
          <w:tcPr>
            <w:tcW w:w="1310" w:type="dxa"/>
            <w:vAlign w:val="bottom"/>
            <w:tcBorders>
              <w:top w:val="single" w:sz="8" w:color="DADAE7"/>
              <w:bottom w:val="single" w:sz="8" w:color="F4EFF6"/>
            </w:tcBorders>
            <w:shd w:val="clear" w:color="auto" w:fill="F4EFF6"/>
          </w:tcPr>
          <w:p>
            <w:pPr>
              <w:jc w:val="right"/>
              <w:ind w:right="25"/>
              <w:spacing w:after="0"/>
              <w:rPr>
                <w:sz w:val="20"/>
                <w:szCs w:val="20"/>
                <w:color w:val="auto"/>
              </w:rPr>
            </w:pPr>
            <w:r>
              <w:rPr>
                <w:rFonts w:ascii="Arial" w:cs="Arial" w:eastAsia="Arial" w:hAnsi="Arial"/>
                <w:sz w:val="15"/>
                <w:szCs w:val="15"/>
                <w:b w:val="1"/>
                <w:bCs w:val="1"/>
                <w:color w:val="auto"/>
              </w:rPr>
              <w:t>(3,290.7)</w:t>
            </w:r>
          </w:p>
        </w:tc>
        <w:tc>
          <w:tcPr>
            <w:tcW w:w="1240" w:type="dxa"/>
            <w:vAlign w:val="bottom"/>
            <w:tcBorders>
              <w:top w:val="single" w:sz="8" w:color="DADAE7"/>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w:t>
            </w:r>
          </w:p>
        </w:tc>
        <w:tc>
          <w:tcPr>
            <w:tcW w:w="130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(3,290.7)</w:t>
            </w:r>
          </w:p>
        </w:tc>
      </w:tr>
      <w:tr>
        <w:trPr>
          <w:trHeight w:val="216"/>
        </w:trPr>
        <w:tc>
          <w:tcPr>
            <w:tcW w:w="6140" w:type="dxa"/>
            <w:vAlign w:val="bottom"/>
            <w:tcBorders>
              <w:top w:val="single" w:sz="8" w:color="793690"/>
            </w:tcBorders>
          </w:tcPr>
          <w:p>
            <w:pPr>
              <w:spacing w:after="0"/>
              <w:rPr>
                <w:sz w:val="18"/>
                <w:szCs w:val="18"/>
                <w:color w:val="auto"/>
              </w:rPr>
            </w:pPr>
          </w:p>
        </w:tc>
        <w:tc>
          <w:tcPr>
            <w:tcW w:w="1230" w:type="dxa"/>
            <w:vAlign w:val="bottom"/>
            <w:tcBorders>
              <w:top w:val="single" w:sz="8" w:color="793690"/>
              <w:bottom w:val="single" w:sz="8" w:color="F4EFF6"/>
            </w:tcBorders>
            <w:shd w:val="clear" w:color="auto" w:fill="F4EFF6"/>
          </w:tcPr>
          <w:p>
            <w:pPr>
              <w:jc w:val="right"/>
              <w:ind w:right="75"/>
              <w:spacing w:after="0"/>
              <w:rPr>
                <w:sz w:val="20"/>
                <w:szCs w:val="20"/>
                <w:color w:val="auto"/>
              </w:rPr>
            </w:pPr>
            <w:r>
              <w:rPr>
                <w:rFonts w:ascii="Arial" w:cs="Arial" w:eastAsia="Arial" w:hAnsi="Arial"/>
                <w:sz w:val="15"/>
                <w:szCs w:val="15"/>
                <w:b w:val="1"/>
                <w:bCs w:val="1"/>
                <w:color w:val="auto"/>
              </w:rPr>
              <w:t>2,472.2</w:t>
            </w:r>
          </w:p>
        </w:tc>
        <w:tc>
          <w:tcPr>
            <w:tcW w:w="1310" w:type="dxa"/>
            <w:vAlign w:val="bottom"/>
            <w:tcBorders>
              <w:top w:val="single" w:sz="8" w:color="793690"/>
              <w:bottom w:val="single" w:sz="8" w:color="F4EFF6"/>
            </w:tcBorders>
            <w:shd w:val="clear" w:color="auto" w:fill="F4EFF6"/>
          </w:tcPr>
          <w:p>
            <w:pPr>
              <w:jc w:val="right"/>
              <w:ind w:right="25"/>
              <w:spacing w:after="0"/>
              <w:rPr>
                <w:sz w:val="20"/>
                <w:szCs w:val="20"/>
                <w:color w:val="auto"/>
              </w:rPr>
            </w:pPr>
            <w:r>
              <w:rPr>
                <w:rFonts w:ascii="Arial" w:cs="Arial" w:eastAsia="Arial" w:hAnsi="Arial"/>
                <w:sz w:val="15"/>
                <w:szCs w:val="15"/>
                <w:b w:val="1"/>
                <w:bCs w:val="1"/>
                <w:color w:val="auto"/>
              </w:rPr>
              <w:t>(3,785.2)</w:t>
            </w:r>
          </w:p>
        </w:tc>
        <w:tc>
          <w:tcPr>
            <w:tcW w:w="1240" w:type="dxa"/>
            <w:vAlign w:val="bottom"/>
            <w:tcBorders>
              <w:top w:val="single" w:sz="8" w:color="793690"/>
              <w:bottom w:val="single" w:sz="8" w:color="F4EFF6"/>
            </w:tcBorders>
            <w:shd w:val="clear" w:color="auto" w:fill="F4EFF6"/>
          </w:tcPr>
          <w:p>
            <w:pPr>
              <w:jc w:val="right"/>
              <w:ind w:right="5"/>
              <w:spacing w:after="0"/>
              <w:rPr>
                <w:sz w:val="20"/>
                <w:szCs w:val="20"/>
                <w:color w:val="auto"/>
              </w:rPr>
            </w:pPr>
            <w:r>
              <w:rPr>
                <w:rFonts w:ascii="Arial" w:cs="Arial" w:eastAsia="Arial" w:hAnsi="Arial"/>
                <w:sz w:val="15"/>
                <w:szCs w:val="15"/>
                <w:b w:val="1"/>
                <w:bCs w:val="1"/>
                <w:color w:val="auto"/>
              </w:rPr>
              <w:t>4.5</w:t>
            </w:r>
          </w:p>
        </w:tc>
        <w:tc>
          <w:tcPr>
            <w:tcW w:w="130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(1,308.5)</w:t>
            </w:r>
          </w:p>
        </w:tc>
      </w:tr>
      <w:tr>
        <w:trPr>
          <w:trHeight w:val="20"/>
        </w:trPr>
        <w:tc>
          <w:tcPr>
            <w:tcW w:w="6140" w:type="dxa"/>
            <w:vAlign w:val="bottom"/>
            <w:shd w:val="clear" w:color="auto" w:fill="793690"/>
          </w:tcPr>
          <w:p>
            <w:pPr>
              <w:spacing w:after="0" w:line="20" w:lineRule="exact"/>
              <w:rPr>
                <w:sz w:val="1"/>
                <w:szCs w:val="1"/>
                <w:color w:val="auto"/>
              </w:rPr>
            </w:pPr>
          </w:p>
        </w:tc>
        <w:tc>
          <w:tcPr>
            <w:tcW w:w="1230" w:type="dxa"/>
            <w:vAlign w:val="bottom"/>
            <w:shd w:val="clear" w:color="auto" w:fill="793690"/>
          </w:tcPr>
          <w:p>
            <w:pPr>
              <w:spacing w:after="0" w:line="20" w:lineRule="exact"/>
              <w:rPr>
                <w:sz w:val="1"/>
                <w:szCs w:val="1"/>
                <w:color w:val="auto"/>
              </w:rPr>
            </w:pPr>
          </w:p>
        </w:tc>
        <w:tc>
          <w:tcPr>
            <w:tcW w:w="1310" w:type="dxa"/>
            <w:vAlign w:val="bottom"/>
            <w:shd w:val="clear" w:color="auto" w:fill="793690"/>
          </w:tcPr>
          <w:p>
            <w:pPr>
              <w:spacing w:after="0" w:line="20" w:lineRule="exact"/>
              <w:rPr>
                <w:sz w:val="1"/>
                <w:szCs w:val="1"/>
                <w:color w:val="auto"/>
              </w:rPr>
            </w:pPr>
          </w:p>
        </w:tc>
        <w:tc>
          <w:tcPr>
            <w:tcW w:w="1240" w:type="dxa"/>
            <w:vAlign w:val="bottom"/>
            <w:shd w:val="clear" w:color="auto" w:fill="793690"/>
          </w:tcPr>
          <w:p>
            <w:pPr>
              <w:spacing w:after="0" w:line="20" w:lineRule="exact"/>
              <w:rPr>
                <w:sz w:val="1"/>
                <w:szCs w:val="1"/>
                <w:color w:val="auto"/>
              </w:rPr>
            </w:pPr>
          </w:p>
        </w:tc>
        <w:tc>
          <w:tcPr>
            <w:tcW w:w="1300" w:type="dxa"/>
            <w:vAlign w:val="bottom"/>
            <w:shd w:val="clear" w:color="auto" w:fill="79369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25</w:t>
      </w:r>
    </w:p>
    <w:p>
      <w:pPr>
        <w:sectPr>
          <w:pgSz w:w="11900" w:h="16838" w:orient="portrait"/>
          <w:cols w:equalWidth="0" w:num="1">
            <w:col w:w="11220"/>
          </w:cols>
          <w:pgMar w:left="320" w:top="1353" w:right="359" w:bottom="1440" w:gutter="0" w:footer="0" w:header="0"/>
        </w:sectPr>
      </w:pPr>
    </w:p>
    <w:bookmarkStart w:id="47" w:name="page48"/>
    <w:bookmarkEnd w:id="47"/>
    <w:p>
      <w:pPr>
        <w:spacing w:after="0"/>
        <w:rPr>
          <w:sz w:val="20"/>
          <w:szCs w:val="20"/>
          <w:color w:val="auto"/>
        </w:rPr>
      </w:pPr>
      <w:r>
        <w:rPr>
          <w:rFonts w:ascii="Arial" w:cs="Arial" w:eastAsia="Arial" w:hAnsi="Arial"/>
          <w:sz w:val="22"/>
          <w:szCs w:val="22"/>
          <w:b w:val="1"/>
          <w:bCs w:val="1"/>
          <w:color w:val="793690"/>
        </w:rPr>
        <w:t xml:space="preserve">Notes to the Unaudited Condensed Consolidated Financial Statements </w:t>
      </w:r>
      <w:r>
        <w:rPr>
          <w:rFonts w:ascii="Arial" w:cs="Arial" w:eastAsia="Arial" w:hAnsi="Arial"/>
          <w:sz w:val="22"/>
          <w:szCs w:val="22"/>
          <w:color w:val="793690"/>
        </w:rPr>
        <w:t>(continued)</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793690"/>
        </w:rPr>
        <w:t xml:space="preserve">13 Financial Instruments </w:t>
      </w:r>
      <w:r>
        <w:rPr>
          <w:rFonts w:ascii="Arial" w:cs="Arial" w:eastAsia="Arial" w:hAnsi="Arial"/>
          <w:sz w:val="18"/>
          <w:szCs w:val="18"/>
          <w:color w:val="793690"/>
        </w:rPr>
        <w:t>(continued)</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 Fair value measurement </w:t>
      </w:r>
      <w:r>
        <w:rPr>
          <w:rFonts w:ascii="Arial" w:cs="Arial" w:eastAsia="Arial" w:hAnsi="Arial"/>
          <w:sz w:val="15"/>
          <w:szCs w:val="15"/>
          <w:color w:val="auto"/>
        </w:rPr>
        <w:t>(continued)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60" w:type="dxa"/>
            <w:vAlign w:val="bottom"/>
          </w:tcPr>
          <w:p>
            <w:pPr>
              <w:spacing w:after="0"/>
              <w:rPr>
                <w:sz w:val="14"/>
                <w:szCs w:val="14"/>
                <w:color w:val="auto"/>
              </w:rPr>
            </w:pPr>
          </w:p>
        </w:tc>
        <w:tc>
          <w:tcPr>
            <w:tcW w:w="3200" w:type="dxa"/>
            <w:vAlign w:val="bottom"/>
          </w:tcPr>
          <w:p>
            <w:pPr>
              <w:jc w:val="right"/>
              <w:ind w:right="307"/>
              <w:spacing w:after="0"/>
              <w:rPr>
                <w:sz w:val="20"/>
                <w:szCs w:val="20"/>
                <w:color w:val="auto"/>
              </w:rPr>
            </w:pPr>
            <w:r>
              <w:rPr>
                <w:rFonts w:ascii="Arial" w:cs="Arial" w:eastAsia="Arial" w:hAnsi="Arial"/>
                <w:sz w:val="13"/>
                <w:szCs w:val="13"/>
                <w:b w:val="1"/>
                <w:bCs w:val="1"/>
                <w:color w:val="auto"/>
              </w:rPr>
              <w:t>Level 1</w:t>
            </w:r>
          </w:p>
        </w:tc>
        <w:tc>
          <w:tcPr>
            <w:tcW w:w="1380" w:type="dxa"/>
            <w:vAlign w:val="bottom"/>
          </w:tcPr>
          <w:p>
            <w:pPr>
              <w:jc w:val="right"/>
              <w:ind w:right="387"/>
              <w:spacing w:after="0"/>
              <w:rPr>
                <w:sz w:val="20"/>
                <w:szCs w:val="20"/>
                <w:color w:val="auto"/>
              </w:rPr>
            </w:pPr>
            <w:r>
              <w:rPr>
                <w:rFonts w:ascii="Arial" w:cs="Arial" w:eastAsia="Arial" w:hAnsi="Arial"/>
                <w:sz w:val="13"/>
                <w:szCs w:val="13"/>
                <w:b w:val="1"/>
                <w:bCs w:val="1"/>
                <w:color w:val="auto"/>
              </w:rPr>
              <w:t>Level 2</w:t>
            </w:r>
          </w:p>
        </w:tc>
        <w:tc>
          <w:tcPr>
            <w:tcW w:w="1240" w:type="dxa"/>
            <w:vAlign w:val="bottom"/>
          </w:tcPr>
          <w:p>
            <w:pPr>
              <w:jc w:val="right"/>
              <w:ind w:right="307"/>
              <w:spacing w:after="0"/>
              <w:rPr>
                <w:sz w:val="20"/>
                <w:szCs w:val="20"/>
                <w:color w:val="auto"/>
              </w:rPr>
            </w:pPr>
            <w:r>
              <w:rPr>
                <w:rFonts w:ascii="Arial" w:cs="Arial" w:eastAsia="Arial" w:hAnsi="Arial"/>
                <w:sz w:val="13"/>
                <w:szCs w:val="13"/>
                <w:b w:val="1"/>
                <w:bCs w:val="1"/>
                <w:color w:val="auto"/>
              </w:rPr>
              <w:t>Level 3</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r>
      <w:tr>
        <w:trPr>
          <w:trHeight w:val="216"/>
        </w:trPr>
        <w:tc>
          <w:tcPr>
            <w:tcW w:w="4460" w:type="dxa"/>
            <w:vAlign w:val="bottom"/>
          </w:tcPr>
          <w:p>
            <w:pPr>
              <w:ind w:left="20"/>
              <w:spacing w:after="0"/>
              <w:rPr>
                <w:sz w:val="20"/>
                <w:szCs w:val="20"/>
                <w:color w:val="auto"/>
              </w:rPr>
            </w:pPr>
            <w:r>
              <w:rPr>
                <w:rFonts w:ascii="Arial" w:cs="Arial" w:eastAsia="Arial" w:hAnsi="Arial"/>
                <w:sz w:val="13"/>
                <w:szCs w:val="13"/>
                <w:b w:val="1"/>
                <w:bCs w:val="1"/>
                <w:color w:val="auto"/>
              </w:rPr>
              <w:t>31 December 2024</w:t>
            </w:r>
          </w:p>
        </w:tc>
        <w:tc>
          <w:tcPr>
            <w:tcW w:w="3200" w:type="dxa"/>
            <w:vAlign w:val="bottom"/>
          </w:tcPr>
          <w:p>
            <w:pPr>
              <w:jc w:val="right"/>
              <w:ind w:right="307"/>
              <w:spacing w:after="0"/>
              <w:rPr>
                <w:sz w:val="20"/>
                <w:szCs w:val="20"/>
                <w:color w:val="auto"/>
              </w:rPr>
            </w:pPr>
            <w:r>
              <w:rPr>
                <w:rFonts w:ascii="Arial" w:cs="Arial" w:eastAsia="Arial" w:hAnsi="Arial"/>
                <w:sz w:val="13"/>
                <w:szCs w:val="13"/>
                <w:b w:val="1"/>
                <w:bCs w:val="1"/>
                <w:color w:val="auto"/>
              </w:rPr>
              <w:t>$m</w:t>
            </w:r>
          </w:p>
        </w:tc>
        <w:tc>
          <w:tcPr>
            <w:tcW w:w="1380" w:type="dxa"/>
            <w:vAlign w:val="bottom"/>
          </w:tcPr>
          <w:p>
            <w:pPr>
              <w:jc w:val="right"/>
              <w:ind w:right="387"/>
              <w:spacing w:after="0"/>
              <w:rPr>
                <w:sz w:val="20"/>
                <w:szCs w:val="20"/>
                <w:color w:val="auto"/>
              </w:rPr>
            </w:pPr>
            <w:r>
              <w:rPr>
                <w:rFonts w:ascii="Arial" w:cs="Arial" w:eastAsia="Arial" w:hAnsi="Arial"/>
                <w:sz w:val="13"/>
                <w:szCs w:val="13"/>
                <w:b w:val="1"/>
                <w:bCs w:val="1"/>
                <w:color w:val="auto"/>
              </w:rPr>
              <w:t>$m</w:t>
            </w:r>
          </w:p>
        </w:tc>
        <w:tc>
          <w:tcPr>
            <w:tcW w:w="1240" w:type="dxa"/>
            <w:vAlign w:val="bottom"/>
          </w:tcPr>
          <w:p>
            <w:pPr>
              <w:jc w:val="right"/>
              <w:ind w:right="307"/>
              <w:spacing w:after="0"/>
              <w:rPr>
                <w:sz w:val="20"/>
                <w:szCs w:val="20"/>
                <w:color w:val="auto"/>
              </w:rPr>
            </w:pPr>
            <w:r>
              <w:rPr>
                <w:rFonts w:ascii="Arial" w:cs="Arial" w:eastAsia="Arial" w:hAnsi="Arial"/>
                <w:sz w:val="13"/>
                <w:szCs w:val="13"/>
                <w:b w:val="1"/>
                <w:bCs w:val="1"/>
                <w:color w:val="auto"/>
              </w:rPr>
              <w:t>$m</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$m</w:t>
            </w:r>
          </w:p>
        </w:tc>
      </w:tr>
      <w:tr>
        <w:trPr>
          <w:trHeight w:val="22"/>
        </w:trPr>
        <w:tc>
          <w:tcPr>
            <w:tcW w:w="4460" w:type="dxa"/>
            <w:vAlign w:val="bottom"/>
            <w:tcBorders>
              <w:bottom w:val="single" w:sz="8" w:color="793690"/>
            </w:tcBorders>
          </w:tcPr>
          <w:p>
            <w:pPr>
              <w:spacing w:after="0" w:line="20" w:lineRule="exact"/>
              <w:rPr>
                <w:sz w:val="1"/>
                <w:szCs w:val="1"/>
                <w:color w:val="auto"/>
              </w:rPr>
            </w:pPr>
          </w:p>
        </w:tc>
        <w:tc>
          <w:tcPr>
            <w:tcW w:w="3200" w:type="dxa"/>
            <w:vAlign w:val="bottom"/>
            <w:tcBorders>
              <w:bottom w:val="single" w:sz="8" w:color="793690"/>
            </w:tcBorders>
          </w:tcPr>
          <w:p>
            <w:pPr>
              <w:spacing w:after="0" w:line="20" w:lineRule="exact"/>
              <w:rPr>
                <w:sz w:val="1"/>
                <w:szCs w:val="1"/>
                <w:color w:val="auto"/>
              </w:rPr>
            </w:pPr>
          </w:p>
        </w:tc>
        <w:tc>
          <w:tcPr>
            <w:tcW w:w="1380" w:type="dxa"/>
            <w:vAlign w:val="bottom"/>
            <w:tcBorders>
              <w:bottom w:val="single" w:sz="8" w:color="793690"/>
            </w:tcBorders>
          </w:tcPr>
          <w:p>
            <w:pPr>
              <w:spacing w:after="0" w:line="20" w:lineRule="exact"/>
              <w:rPr>
                <w:sz w:val="1"/>
                <w:szCs w:val="1"/>
                <w:color w:val="auto"/>
              </w:rPr>
            </w:pPr>
          </w:p>
        </w:tc>
        <w:tc>
          <w:tcPr>
            <w:tcW w:w="1240" w:type="dxa"/>
            <w:vAlign w:val="bottom"/>
            <w:tcBorders>
              <w:bottom w:val="single" w:sz="8" w:color="793690"/>
            </w:tcBorders>
          </w:tcPr>
          <w:p>
            <w:pPr>
              <w:spacing w:after="0" w:line="20" w:lineRule="exact"/>
              <w:rPr>
                <w:sz w:val="1"/>
                <w:szCs w:val="1"/>
                <w:color w:val="auto"/>
              </w:rPr>
            </w:pPr>
          </w:p>
        </w:tc>
        <w:tc>
          <w:tcPr>
            <w:tcW w:w="940" w:type="dxa"/>
            <w:vAlign w:val="bottom"/>
            <w:tcBorders>
              <w:bottom w:val="single" w:sz="8" w:color="793690"/>
            </w:tcBorders>
          </w:tcPr>
          <w:p>
            <w:pPr>
              <w:spacing w:after="0" w:line="20" w:lineRule="exact"/>
              <w:rPr>
                <w:sz w:val="1"/>
                <w:szCs w:val="1"/>
                <w:color w:val="auto"/>
              </w:rPr>
            </w:pPr>
          </w:p>
        </w:tc>
      </w:tr>
      <w:tr>
        <w:trPr>
          <w:trHeight w:val="212"/>
        </w:trPr>
        <w:tc>
          <w:tcPr>
            <w:tcW w:w="4460" w:type="dxa"/>
            <w:vAlign w:val="bottom"/>
          </w:tcPr>
          <w:p>
            <w:pPr>
              <w:ind w:left="20"/>
              <w:spacing w:after="0"/>
              <w:rPr>
                <w:sz w:val="20"/>
                <w:szCs w:val="20"/>
                <w:color w:val="auto"/>
              </w:rPr>
            </w:pPr>
            <w:r>
              <w:rPr>
                <w:rFonts w:ascii="Arial" w:cs="Arial" w:eastAsia="Arial" w:hAnsi="Arial"/>
                <w:sz w:val="15"/>
                <w:szCs w:val="15"/>
                <w:b w:val="1"/>
                <w:bCs w:val="1"/>
                <w:color w:val="auto"/>
              </w:rPr>
              <w:t>Financial assets – FVTPL:</w:t>
            </w:r>
          </w:p>
        </w:tc>
        <w:tc>
          <w:tcPr>
            <w:tcW w:w="3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
        </w:trPr>
        <w:tc>
          <w:tcPr>
            <w:tcW w:w="4460" w:type="dxa"/>
            <w:vAlign w:val="bottom"/>
            <w:tcBorders>
              <w:bottom w:val="single" w:sz="8" w:color="DADAE7"/>
            </w:tcBorders>
          </w:tcPr>
          <w:p>
            <w:pPr>
              <w:spacing w:after="0"/>
              <w:rPr>
                <w:sz w:val="2"/>
                <w:szCs w:val="2"/>
                <w:color w:val="auto"/>
              </w:rPr>
            </w:pPr>
          </w:p>
        </w:tc>
        <w:tc>
          <w:tcPr>
            <w:tcW w:w="3200" w:type="dxa"/>
            <w:vAlign w:val="bottom"/>
            <w:tcBorders>
              <w:bottom w:val="single" w:sz="8" w:color="DADAE7"/>
            </w:tcBorders>
          </w:tcPr>
          <w:p>
            <w:pPr>
              <w:spacing w:after="0"/>
              <w:rPr>
                <w:sz w:val="2"/>
                <w:szCs w:val="2"/>
                <w:color w:val="auto"/>
              </w:rPr>
            </w:pPr>
          </w:p>
        </w:tc>
        <w:tc>
          <w:tcPr>
            <w:tcW w:w="1380" w:type="dxa"/>
            <w:vAlign w:val="bottom"/>
            <w:tcBorders>
              <w:bottom w:val="single" w:sz="8" w:color="DADAE7"/>
            </w:tcBorders>
          </w:tcPr>
          <w:p>
            <w:pPr>
              <w:spacing w:after="0"/>
              <w:rPr>
                <w:sz w:val="2"/>
                <w:szCs w:val="2"/>
                <w:color w:val="auto"/>
              </w:rPr>
            </w:pPr>
          </w:p>
        </w:tc>
        <w:tc>
          <w:tcPr>
            <w:tcW w:w="1240" w:type="dxa"/>
            <w:vAlign w:val="bottom"/>
            <w:tcBorders>
              <w:bottom w:val="single" w:sz="8" w:color="DADAE7"/>
            </w:tcBorders>
          </w:tcPr>
          <w:p>
            <w:pPr>
              <w:spacing w:after="0"/>
              <w:rPr>
                <w:sz w:val="2"/>
                <w:szCs w:val="2"/>
                <w:color w:val="auto"/>
              </w:rPr>
            </w:pPr>
          </w:p>
        </w:tc>
        <w:tc>
          <w:tcPr>
            <w:tcW w:w="940" w:type="dxa"/>
            <w:vAlign w:val="bottom"/>
            <w:tcBorders>
              <w:bottom w:val="single" w:sz="8" w:color="DADAE7"/>
            </w:tcBorders>
          </w:tcPr>
          <w:p>
            <w:pPr>
              <w:spacing w:after="0"/>
              <w:rPr>
                <w:sz w:val="2"/>
                <w:szCs w:val="2"/>
                <w:color w:val="auto"/>
              </w:rPr>
            </w:pPr>
          </w:p>
        </w:tc>
      </w:tr>
      <w:tr>
        <w:trPr>
          <w:trHeight w:val="204"/>
        </w:trPr>
        <w:tc>
          <w:tcPr>
            <w:tcW w:w="4460" w:type="dxa"/>
            <w:vAlign w:val="bottom"/>
          </w:tcPr>
          <w:p>
            <w:pPr>
              <w:ind w:left="20"/>
              <w:spacing w:after="0"/>
              <w:rPr>
                <w:sz w:val="20"/>
                <w:szCs w:val="20"/>
                <w:color w:val="auto"/>
              </w:rPr>
            </w:pPr>
            <w:r>
              <w:rPr>
                <w:rFonts w:ascii="Arial" w:cs="Arial" w:eastAsia="Arial" w:hAnsi="Arial"/>
                <w:sz w:val="15"/>
                <w:szCs w:val="15"/>
                <w:color w:val="auto"/>
              </w:rPr>
              <w:t>Equity instruments</w:t>
            </w:r>
          </w:p>
        </w:tc>
        <w:tc>
          <w:tcPr>
            <w:tcW w:w="3200" w:type="dxa"/>
            <w:vAlign w:val="bottom"/>
          </w:tcPr>
          <w:p>
            <w:pPr>
              <w:jc w:val="right"/>
              <w:ind w:right="367"/>
              <w:spacing w:after="0"/>
              <w:rPr>
                <w:sz w:val="20"/>
                <w:szCs w:val="20"/>
                <w:color w:val="auto"/>
              </w:rPr>
            </w:pPr>
            <w:r>
              <w:rPr>
                <w:rFonts w:ascii="Arial" w:cs="Arial" w:eastAsia="Arial" w:hAnsi="Arial"/>
                <w:sz w:val="15"/>
                <w:szCs w:val="15"/>
                <w:color w:val="auto"/>
              </w:rPr>
              <w:t>4,464.3</w:t>
            </w:r>
          </w:p>
        </w:tc>
        <w:tc>
          <w:tcPr>
            <w:tcW w:w="1380" w:type="dxa"/>
            <w:vAlign w:val="bottom"/>
          </w:tcPr>
          <w:p>
            <w:pPr>
              <w:jc w:val="right"/>
              <w:ind w:right="427"/>
              <w:spacing w:after="0"/>
              <w:rPr>
                <w:sz w:val="20"/>
                <w:szCs w:val="20"/>
                <w:color w:val="auto"/>
              </w:rPr>
            </w:pPr>
            <w:r>
              <w:rPr>
                <w:rFonts w:ascii="Arial" w:cs="Arial" w:eastAsia="Arial" w:hAnsi="Arial"/>
                <w:sz w:val="15"/>
                <w:szCs w:val="15"/>
                <w:color w:val="auto"/>
              </w:rPr>
              <w:t>213.7</w:t>
            </w:r>
          </w:p>
        </w:tc>
        <w:tc>
          <w:tcPr>
            <w:tcW w:w="1240" w:type="dxa"/>
            <w:vAlign w:val="bottom"/>
          </w:tcPr>
          <w:p>
            <w:pPr>
              <w:jc w:val="right"/>
              <w:ind w:right="367"/>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4,678.0</w:t>
            </w:r>
          </w:p>
        </w:tc>
      </w:tr>
      <w:tr>
        <w:trPr>
          <w:trHeight w:val="33"/>
        </w:trPr>
        <w:tc>
          <w:tcPr>
            <w:tcW w:w="4460" w:type="dxa"/>
            <w:vAlign w:val="bottom"/>
            <w:tcBorders>
              <w:bottom w:val="single" w:sz="8" w:color="DADAE7"/>
            </w:tcBorders>
          </w:tcPr>
          <w:p>
            <w:pPr>
              <w:spacing w:after="0"/>
              <w:rPr>
                <w:sz w:val="2"/>
                <w:szCs w:val="2"/>
                <w:color w:val="auto"/>
              </w:rPr>
            </w:pPr>
          </w:p>
        </w:tc>
        <w:tc>
          <w:tcPr>
            <w:tcW w:w="3200" w:type="dxa"/>
            <w:vAlign w:val="bottom"/>
            <w:tcBorders>
              <w:bottom w:val="single" w:sz="8" w:color="DADAE7"/>
            </w:tcBorders>
          </w:tcPr>
          <w:p>
            <w:pPr>
              <w:spacing w:after="0"/>
              <w:rPr>
                <w:sz w:val="2"/>
                <w:szCs w:val="2"/>
                <w:color w:val="auto"/>
              </w:rPr>
            </w:pPr>
          </w:p>
        </w:tc>
        <w:tc>
          <w:tcPr>
            <w:tcW w:w="1380" w:type="dxa"/>
            <w:vAlign w:val="bottom"/>
            <w:tcBorders>
              <w:bottom w:val="single" w:sz="8" w:color="DADAE7"/>
            </w:tcBorders>
          </w:tcPr>
          <w:p>
            <w:pPr>
              <w:spacing w:after="0"/>
              <w:rPr>
                <w:sz w:val="2"/>
                <w:szCs w:val="2"/>
                <w:color w:val="auto"/>
              </w:rPr>
            </w:pPr>
          </w:p>
        </w:tc>
        <w:tc>
          <w:tcPr>
            <w:tcW w:w="1240" w:type="dxa"/>
            <w:vAlign w:val="bottom"/>
            <w:tcBorders>
              <w:bottom w:val="single" w:sz="8" w:color="DADAE7"/>
            </w:tcBorders>
          </w:tcPr>
          <w:p>
            <w:pPr>
              <w:spacing w:after="0"/>
              <w:rPr>
                <w:sz w:val="2"/>
                <w:szCs w:val="2"/>
                <w:color w:val="auto"/>
              </w:rPr>
            </w:pPr>
          </w:p>
        </w:tc>
        <w:tc>
          <w:tcPr>
            <w:tcW w:w="940" w:type="dxa"/>
            <w:vAlign w:val="bottom"/>
            <w:tcBorders>
              <w:bottom w:val="single" w:sz="8" w:color="DADAE7"/>
            </w:tcBorders>
          </w:tcPr>
          <w:p>
            <w:pPr>
              <w:spacing w:after="0"/>
              <w:rPr>
                <w:sz w:val="2"/>
                <w:szCs w:val="2"/>
                <w:color w:val="auto"/>
              </w:rPr>
            </w:pPr>
          </w:p>
        </w:tc>
      </w:tr>
      <w:tr>
        <w:trPr>
          <w:trHeight w:val="204"/>
        </w:trPr>
        <w:tc>
          <w:tcPr>
            <w:tcW w:w="4460" w:type="dxa"/>
            <w:vAlign w:val="bottom"/>
          </w:tcPr>
          <w:p>
            <w:pPr>
              <w:ind w:left="20"/>
              <w:spacing w:after="0"/>
              <w:rPr>
                <w:sz w:val="20"/>
                <w:szCs w:val="20"/>
                <w:color w:val="auto"/>
              </w:rPr>
            </w:pPr>
            <w:r>
              <w:rPr>
                <w:rFonts w:ascii="Arial" w:cs="Arial" w:eastAsia="Arial" w:hAnsi="Arial"/>
                <w:sz w:val="15"/>
                <w:szCs w:val="15"/>
                <w:color w:val="auto"/>
              </w:rPr>
              <w:t>Treasury instruments</w:t>
            </w:r>
          </w:p>
        </w:tc>
        <w:tc>
          <w:tcPr>
            <w:tcW w:w="3200" w:type="dxa"/>
            <w:vAlign w:val="bottom"/>
          </w:tcPr>
          <w:p>
            <w:pPr>
              <w:jc w:val="right"/>
              <w:ind w:right="367"/>
              <w:spacing w:after="0"/>
              <w:rPr>
                <w:sz w:val="20"/>
                <w:szCs w:val="20"/>
                <w:color w:val="auto"/>
              </w:rPr>
            </w:pPr>
            <w:r>
              <w:rPr>
                <w:rFonts w:ascii="Arial" w:cs="Arial" w:eastAsia="Arial" w:hAnsi="Arial"/>
                <w:sz w:val="15"/>
                <w:szCs w:val="15"/>
                <w:color w:val="auto"/>
              </w:rPr>
              <w:t>29.7</w:t>
            </w:r>
          </w:p>
        </w:tc>
        <w:tc>
          <w:tcPr>
            <w:tcW w:w="1380" w:type="dxa"/>
            <w:vAlign w:val="bottom"/>
          </w:tcPr>
          <w:p>
            <w:pPr>
              <w:jc w:val="right"/>
              <w:ind w:right="427"/>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367"/>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29.7</w:t>
            </w:r>
          </w:p>
        </w:tc>
      </w:tr>
      <w:tr>
        <w:trPr>
          <w:trHeight w:val="33"/>
        </w:trPr>
        <w:tc>
          <w:tcPr>
            <w:tcW w:w="4460" w:type="dxa"/>
            <w:vAlign w:val="bottom"/>
            <w:tcBorders>
              <w:bottom w:val="single" w:sz="8" w:color="DADAE7"/>
            </w:tcBorders>
          </w:tcPr>
          <w:p>
            <w:pPr>
              <w:spacing w:after="0"/>
              <w:rPr>
                <w:sz w:val="2"/>
                <w:szCs w:val="2"/>
                <w:color w:val="auto"/>
              </w:rPr>
            </w:pPr>
          </w:p>
        </w:tc>
        <w:tc>
          <w:tcPr>
            <w:tcW w:w="3200" w:type="dxa"/>
            <w:vAlign w:val="bottom"/>
            <w:tcBorders>
              <w:bottom w:val="single" w:sz="8" w:color="DADAE7"/>
            </w:tcBorders>
          </w:tcPr>
          <w:p>
            <w:pPr>
              <w:spacing w:after="0"/>
              <w:rPr>
                <w:sz w:val="2"/>
                <w:szCs w:val="2"/>
                <w:color w:val="auto"/>
              </w:rPr>
            </w:pPr>
          </w:p>
        </w:tc>
        <w:tc>
          <w:tcPr>
            <w:tcW w:w="1380" w:type="dxa"/>
            <w:vAlign w:val="bottom"/>
            <w:tcBorders>
              <w:bottom w:val="single" w:sz="8" w:color="DADAE7"/>
            </w:tcBorders>
          </w:tcPr>
          <w:p>
            <w:pPr>
              <w:spacing w:after="0"/>
              <w:rPr>
                <w:sz w:val="2"/>
                <w:szCs w:val="2"/>
                <w:color w:val="auto"/>
              </w:rPr>
            </w:pPr>
          </w:p>
        </w:tc>
        <w:tc>
          <w:tcPr>
            <w:tcW w:w="1240" w:type="dxa"/>
            <w:vAlign w:val="bottom"/>
            <w:tcBorders>
              <w:bottom w:val="single" w:sz="8" w:color="DADAE7"/>
            </w:tcBorders>
          </w:tcPr>
          <w:p>
            <w:pPr>
              <w:spacing w:after="0"/>
              <w:rPr>
                <w:sz w:val="2"/>
                <w:szCs w:val="2"/>
                <w:color w:val="auto"/>
              </w:rPr>
            </w:pPr>
          </w:p>
        </w:tc>
        <w:tc>
          <w:tcPr>
            <w:tcW w:w="940" w:type="dxa"/>
            <w:vAlign w:val="bottom"/>
            <w:tcBorders>
              <w:bottom w:val="single" w:sz="8" w:color="DADAE7"/>
            </w:tcBorders>
          </w:tcPr>
          <w:p>
            <w:pPr>
              <w:spacing w:after="0"/>
              <w:rPr>
                <w:sz w:val="2"/>
                <w:szCs w:val="2"/>
                <w:color w:val="auto"/>
              </w:rPr>
            </w:pPr>
          </w:p>
        </w:tc>
      </w:tr>
      <w:tr>
        <w:trPr>
          <w:trHeight w:val="203"/>
        </w:trPr>
        <w:tc>
          <w:tcPr>
            <w:tcW w:w="4460" w:type="dxa"/>
            <w:vAlign w:val="bottom"/>
          </w:tcPr>
          <w:p>
            <w:pPr>
              <w:ind w:left="20"/>
              <w:spacing w:after="0"/>
              <w:rPr>
                <w:sz w:val="20"/>
                <w:szCs w:val="20"/>
                <w:color w:val="auto"/>
              </w:rPr>
            </w:pPr>
            <w:r>
              <w:rPr>
                <w:rFonts w:ascii="Arial" w:cs="Arial" w:eastAsia="Arial" w:hAnsi="Arial"/>
                <w:sz w:val="15"/>
                <w:szCs w:val="15"/>
                <w:color w:val="auto"/>
              </w:rPr>
              <w:t>Fixed income securities</w:t>
            </w:r>
          </w:p>
        </w:tc>
        <w:tc>
          <w:tcPr>
            <w:tcW w:w="3200" w:type="dxa"/>
            <w:vAlign w:val="bottom"/>
          </w:tcPr>
          <w:p>
            <w:pPr>
              <w:jc w:val="right"/>
              <w:ind w:right="367"/>
              <w:spacing w:after="0"/>
              <w:rPr>
                <w:sz w:val="20"/>
                <w:szCs w:val="20"/>
                <w:color w:val="auto"/>
              </w:rPr>
            </w:pPr>
            <w:r>
              <w:rPr>
                <w:rFonts w:ascii="Arial" w:cs="Arial" w:eastAsia="Arial" w:hAnsi="Arial"/>
                <w:sz w:val="15"/>
                <w:szCs w:val="15"/>
                <w:color w:val="auto"/>
              </w:rPr>
              <w:t>75.1</w:t>
            </w:r>
          </w:p>
        </w:tc>
        <w:tc>
          <w:tcPr>
            <w:tcW w:w="1380" w:type="dxa"/>
            <w:vAlign w:val="bottom"/>
          </w:tcPr>
          <w:p>
            <w:pPr>
              <w:jc w:val="right"/>
              <w:ind w:right="427"/>
              <w:spacing w:after="0"/>
              <w:rPr>
                <w:sz w:val="20"/>
                <w:szCs w:val="20"/>
                <w:color w:val="auto"/>
              </w:rPr>
            </w:pPr>
            <w:r>
              <w:rPr>
                <w:rFonts w:ascii="Arial" w:cs="Arial" w:eastAsia="Arial" w:hAnsi="Arial"/>
                <w:sz w:val="15"/>
                <w:szCs w:val="15"/>
                <w:color w:val="auto"/>
              </w:rPr>
              <w:t>12.6</w:t>
            </w:r>
          </w:p>
        </w:tc>
        <w:tc>
          <w:tcPr>
            <w:tcW w:w="1240" w:type="dxa"/>
            <w:vAlign w:val="bottom"/>
          </w:tcPr>
          <w:p>
            <w:pPr>
              <w:jc w:val="right"/>
              <w:ind w:right="367"/>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87.7</w:t>
            </w:r>
          </w:p>
        </w:tc>
      </w:tr>
      <w:tr>
        <w:trPr>
          <w:trHeight w:val="33"/>
        </w:trPr>
        <w:tc>
          <w:tcPr>
            <w:tcW w:w="4460" w:type="dxa"/>
            <w:vAlign w:val="bottom"/>
            <w:tcBorders>
              <w:bottom w:val="single" w:sz="8" w:color="DADAE7"/>
            </w:tcBorders>
          </w:tcPr>
          <w:p>
            <w:pPr>
              <w:spacing w:after="0"/>
              <w:rPr>
                <w:sz w:val="2"/>
                <w:szCs w:val="2"/>
                <w:color w:val="auto"/>
              </w:rPr>
            </w:pPr>
          </w:p>
        </w:tc>
        <w:tc>
          <w:tcPr>
            <w:tcW w:w="3200" w:type="dxa"/>
            <w:vAlign w:val="bottom"/>
            <w:tcBorders>
              <w:bottom w:val="single" w:sz="8" w:color="DADAE7"/>
            </w:tcBorders>
          </w:tcPr>
          <w:p>
            <w:pPr>
              <w:spacing w:after="0"/>
              <w:rPr>
                <w:sz w:val="2"/>
                <w:szCs w:val="2"/>
                <w:color w:val="auto"/>
              </w:rPr>
            </w:pPr>
          </w:p>
        </w:tc>
        <w:tc>
          <w:tcPr>
            <w:tcW w:w="1380" w:type="dxa"/>
            <w:vAlign w:val="bottom"/>
            <w:tcBorders>
              <w:bottom w:val="single" w:sz="8" w:color="DADAE7"/>
            </w:tcBorders>
          </w:tcPr>
          <w:p>
            <w:pPr>
              <w:spacing w:after="0"/>
              <w:rPr>
                <w:sz w:val="2"/>
                <w:szCs w:val="2"/>
                <w:color w:val="auto"/>
              </w:rPr>
            </w:pPr>
          </w:p>
        </w:tc>
        <w:tc>
          <w:tcPr>
            <w:tcW w:w="1240" w:type="dxa"/>
            <w:vAlign w:val="bottom"/>
            <w:tcBorders>
              <w:bottom w:val="single" w:sz="8" w:color="DADAE7"/>
            </w:tcBorders>
          </w:tcPr>
          <w:p>
            <w:pPr>
              <w:spacing w:after="0"/>
              <w:rPr>
                <w:sz w:val="2"/>
                <w:szCs w:val="2"/>
                <w:color w:val="auto"/>
              </w:rPr>
            </w:pPr>
          </w:p>
        </w:tc>
        <w:tc>
          <w:tcPr>
            <w:tcW w:w="940" w:type="dxa"/>
            <w:vAlign w:val="bottom"/>
            <w:tcBorders>
              <w:bottom w:val="single" w:sz="8" w:color="DADAE7"/>
            </w:tcBorders>
          </w:tcPr>
          <w:p>
            <w:pPr>
              <w:spacing w:after="0"/>
              <w:rPr>
                <w:sz w:val="2"/>
                <w:szCs w:val="2"/>
                <w:color w:val="auto"/>
              </w:rPr>
            </w:pPr>
          </w:p>
        </w:tc>
      </w:tr>
      <w:tr>
        <w:trPr>
          <w:trHeight w:val="204"/>
        </w:trPr>
        <w:tc>
          <w:tcPr>
            <w:tcW w:w="4460" w:type="dxa"/>
            <w:vAlign w:val="bottom"/>
          </w:tcPr>
          <w:p>
            <w:pPr>
              <w:ind w:left="20"/>
              <w:spacing w:after="0"/>
              <w:rPr>
                <w:sz w:val="20"/>
                <w:szCs w:val="20"/>
                <w:color w:val="auto"/>
              </w:rPr>
            </w:pPr>
            <w:r>
              <w:rPr>
                <w:rFonts w:ascii="Arial" w:cs="Arial" w:eastAsia="Arial" w:hAnsi="Arial"/>
                <w:sz w:val="15"/>
                <w:szCs w:val="15"/>
                <w:color w:val="auto"/>
              </w:rPr>
              <w:t>Derivative instruments</w:t>
            </w:r>
          </w:p>
        </w:tc>
        <w:tc>
          <w:tcPr>
            <w:tcW w:w="3200" w:type="dxa"/>
            <w:vAlign w:val="bottom"/>
          </w:tcPr>
          <w:p>
            <w:pPr>
              <w:jc w:val="right"/>
              <w:ind w:right="367"/>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427"/>
              <w:spacing w:after="0"/>
              <w:rPr>
                <w:sz w:val="20"/>
                <w:szCs w:val="20"/>
                <w:color w:val="auto"/>
              </w:rPr>
            </w:pPr>
            <w:r>
              <w:rPr>
                <w:rFonts w:ascii="Arial" w:cs="Arial" w:eastAsia="Arial" w:hAnsi="Arial"/>
                <w:sz w:val="15"/>
                <w:szCs w:val="15"/>
                <w:color w:val="auto"/>
              </w:rPr>
              <w:t>1,161.3</w:t>
            </w:r>
          </w:p>
        </w:tc>
        <w:tc>
          <w:tcPr>
            <w:tcW w:w="1240" w:type="dxa"/>
            <w:vAlign w:val="bottom"/>
          </w:tcPr>
          <w:p>
            <w:pPr>
              <w:jc w:val="right"/>
              <w:ind w:right="367"/>
              <w:spacing w:after="0"/>
              <w:rPr>
                <w:sz w:val="20"/>
                <w:szCs w:val="20"/>
                <w:color w:val="auto"/>
              </w:rPr>
            </w:pPr>
            <w:r>
              <w:rPr>
                <w:rFonts w:ascii="Arial" w:cs="Arial" w:eastAsia="Arial" w:hAnsi="Arial"/>
                <w:sz w:val="15"/>
                <w:szCs w:val="15"/>
                <w:color w:val="auto"/>
              </w:rPr>
              <w:t>0.7</w:t>
            </w:r>
          </w:p>
        </w:tc>
        <w:tc>
          <w:tcPr>
            <w:tcW w:w="940" w:type="dxa"/>
            <w:vAlign w:val="bottom"/>
          </w:tcPr>
          <w:p>
            <w:pPr>
              <w:jc w:val="right"/>
              <w:spacing w:after="0"/>
              <w:rPr>
                <w:sz w:val="20"/>
                <w:szCs w:val="20"/>
                <w:color w:val="auto"/>
              </w:rPr>
            </w:pPr>
            <w:r>
              <w:rPr>
                <w:rFonts w:ascii="Arial" w:cs="Arial" w:eastAsia="Arial" w:hAnsi="Arial"/>
                <w:sz w:val="15"/>
                <w:szCs w:val="15"/>
                <w:color w:val="auto"/>
              </w:rPr>
              <w:t>1,162.0</w:t>
            </w:r>
          </w:p>
        </w:tc>
      </w:tr>
      <w:tr>
        <w:trPr>
          <w:trHeight w:val="33"/>
        </w:trPr>
        <w:tc>
          <w:tcPr>
            <w:tcW w:w="4460" w:type="dxa"/>
            <w:vAlign w:val="bottom"/>
            <w:tcBorders>
              <w:bottom w:val="single" w:sz="8" w:color="DADAE7"/>
            </w:tcBorders>
          </w:tcPr>
          <w:p>
            <w:pPr>
              <w:spacing w:after="0"/>
              <w:rPr>
                <w:sz w:val="2"/>
                <w:szCs w:val="2"/>
                <w:color w:val="auto"/>
              </w:rPr>
            </w:pPr>
          </w:p>
        </w:tc>
        <w:tc>
          <w:tcPr>
            <w:tcW w:w="3200" w:type="dxa"/>
            <w:vAlign w:val="bottom"/>
            <w:tcBorders>
              <w:bottom w:val="single" w:sz="8" w:color="DADAE7"/>
            </w:tcBorders>
          </w:tcPr>
          <w:p>
            <w:pPr>
              <w:spacing w:after="0"/>
              <w:rPr>
                <w:sz w:val="2"/>
                <w:szCs w:val="2"/>
                <w:color w:val="auto"/>
              </w:rPr>
            </w:pPr>
          </w:p>
        </w:tc>
        <w:tc>
          <w:tcPr>
            <w:tcW w:w="1380" w:type="dxa"/>
            <w:vAlign w:val="bottom"/>
            <w:tcBorders>
              <w:bottom w:val="single" w:sz="8" w:color="DADAE7"/>
            </w:tcBorders>
          </w:tcPr>
          <w:p>
            <w:pPr>
              <w:spacing w:after="0"/>
              <w:rPr>
                <w:sz w:val="2"/>
                <w:szCs w:val="2"/>
                <w:color w:val="auto"/>
              </w:rPr>
            </w:pPr>
          </w:p>
        </w:tc>
        <w:tc>
          <w:tcPr>
            <w:tcW w:w="1240" w:type="dxa"/>
            <w:vAlign w:val="bottom"/>
            <w:tcBorders>
              <w:bottom w:val="single" w:sz="8" w:color="DADAE7"/>
            </w:tcBorders>
          </w:tcPr>
          <w:p>
            <w:pPr>
              <w:spacing w:after="0"/>
              <w:rPr>
                <w:sz w:val="2"/>
                <w:szCs w:val="2"/>
                <w:color w:val="auto"/>
              </w:rPr>
            </w:pPr>
          </w:p>
        </w:tc>
        <w:tc>
          <w:tcPr>
            <w:tcW w:w="940" w:type="dxa"/>
            <w:vAlign w:val="bottom"/>
            <w:tcBorders>
              <w:bottom w:val="single" w:sz="8" w:color="DADAE7"/>
            </w:tcBorders>
          </w:tcPr>
          <w:p>
            <w:pPr>
              <w:spacing w:after="0"/>
              <w:rPr>
                <w:sz w:val="2"/>
                <w:szCs w:val="2"/>
                <w:color w:val="auto"/>
              </w:rPr>
            </w:pPr>
          </w:p>
        </w:tc>
      </w:tr>
      <w:tr>
        <w:trPr>
          <w:trHeight w:val="204"/>
        </w:trPr>
        <w:tc>
          <w:tcPr>
            <w:tcW w:w="4460" w:type="dxa"/>
            <w:vAlign w:val="bottom"/>
          </w:tcPr>
          <w:p>
            <w:pPr>
              <w:ind w:left="20"/>
              <w:spacing w:after="0"/>
              <w:rPr>
                <w:sz w:val="20"/>
                <w:szCs w:val="20"/>
                <w:color w:val="auto"/>
              </w:rPr>
            </w:pPr>
            <w:r>
              <w:rPr>
                <w:rFonts w:ascii="Arial" w:cs="Arial" w:eastAsia="Arial" w:hAnsi="Arial"/>
                <w:sz w:val="15"/>
                <w:szCs w:val="15"/>
                <w:color w:val="auto"/>
              </w:rPr>
              <w:t>Amounts receivable from clients</w:t>
            </w:r>
          </w:p>
        </w:tc>
        <w:tc>
          <w:tcPr>
            <w:tcW w:w="3200" w:type="dxa"/>
            <w:vAlign w:val="bottom"/>
          </w:tcPr>
          <w:p>
            <w:pPr>
              <w:jc w:val="right"/>
              <w:ind w:right="367"/>
              <w:spacing w:after="0"/>
              <w:rPr>
                <w:sz w:val="20"/>
                <w:szCs w:val="20"/>
                <w:color w:val="auto"/>
              </w:rPr>
            </w:pPr>
            <w:r>
              <w:rPr>
                <w:rFonts w:ascii="Arial" w:cs="Arial" w:eastAsia="Arial" w:hAnsi="Arial"/>
                <w:sz w:val="15"/>
                <w:szCs w:val="15"/>
                <w:color w:val="auto"/>
              </w:rPr>
              <w:t>51.9</w:t>
            </w:r>
          </w:p>
        </w:tc>
        <w:tc>
          <w:tcPr>
            <w:tcW w:w="1380" w:type="dxa"/>
            <w:vAlign w:val="bottom"/>
          </w:tcPr>
          <w:p>
            <w:pPr>
              <w:jc w:val="right"/>
              <w:ind w:right="427"/>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367"/>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51.9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23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20"/>
          </w:cols>
          <w:pgMar w:left="320" w:top="1353" w:right="359" w:bottom="1440" w:gutter="0" w:footer="0" w:header="0"/>
        </w:sectPr>
      </w:pP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480" w:type="dxa"/>
            <w:vAlign w:val="bottom"/>
          </w:tcPr>
          <w:p>
            <w:pPr>
              <w:ind w:left="20"/>
              <w:spacing w:after="0"/>
              <w:rPr>
                <w:sz w:val="20"/>
                <w:szCs w:val="20"/>
                <w:color w:val="auto"/>
              </w:rPr>
            </w:pPr>
            <w:r>
              <w:rPr>
                <w:rFonts w:ascii="Arial" w:cs="Arial" w:eastAsia="Arial" w:hAnsi="Arial"/>
                <w:sz w:val="15"/>
                <w:szCs w:val="15"/>
                <w:color w:val="auto"/>
              </w:rPr>
              <w:t>Trade debtors</w:t>
            </w:r>
          </w:p>
        </w:tc>
        <w:tc>
          <w:tcPr>
            <w:tcW w:w="282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33"/>
        </w:trPr>
        <w:tc>
          <w:tcPr>
            <w:tcW w:w="4480" w:type="dxa"/>
            <w:vAlign w:val="bottom"/>
            <w:tcBorders>
              <w:bottom w:val="single" w:sz="8" w:color="DADAE7"/>
            </w:tcBorders>
          </w:tcPr>
          <w:p>
            <w:pPr>
              <w:spacing w:after="0"/>
              <w:rPr>
                <w:sz w:val="2"/>
                <w:szCs w:val="2"/>
                <w:color w:val="auto"/>
              </w:rPr>
            </w:pPr>
          </w:p>
        </w:tc>
        <w:tc>
          <w:tcPr>
            <w:tcW w:w="2820" w:type="dxa"/>
            <w:vAlign w:val="bottom"/>
            <w:tcBorders>
              <w:bottom w:val="single" w:sz="8" w:color="DADAE7"/>
            </w:tcBorders>
          </w:tcPr>
          <w:p>
            <w:pPr>
              <w:spacing w:after="0"/>
              <w:rPr>
                <w:sz w:val="2"/>
                <w:szCs w:val="2"/>
                <w:color w:val="auto"/>
              </w:rPr>
            </w:pPr>
          </w:p>
        </w:tc>
      </w:tr>
      <w:tr>
        <w:trPr>
          <w:trHeight w:val="203"/>
        </w:trPr>
        <w:tc>
          <w:tcPr>
            <w:tcW w:w="4480" w:type="dxa"/>
            <w:vAlign w:val="bottom"/>
          </w:tcPr>
          <w:p>
            <w:pPr>
              <w:ind w:left="20"/>
              <w:spacing w:after="0"/>
              <w:rPr>
                <w:sz w:val="20"/>
                <w:szCs w:val="20"/>
                <w:color w:val="auto"/>
              </w:rPr>
            </w:pPr>
            <w:r>
              <w:rPr>
                <w:rFonts w:ascii="Arial" w:cs="Arial" w:eastAsia="Arial" w:hAnsi="Arial"/>
                <w:sz w:val="15"/>
                <w:szCs w:val="15"/>
                <w:color w:val="auto"/>
              </w:rPr>
              <w:t>Reverse repurchase agreements</w:t>
            </w:r>
          </w:p>
        </w:tc>
        <w:tc>
          <w:tcPr>
            <w:tcW w:w="282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33"/>
        </w:trPr>
        <w:tc>
          <w:tcPr>
            <w:tcW w:w="4480" w:type="dxa"/>
            <w:vAlign w:val="bottom"/>
            <w:tcBorders>
              <w:bottom w:val="single" w:sz="8" w:color="DADAE7"/>
            </w:tcBorders>
          </w:tcPr>
          <w:p>
            <w:pPr>
              <w:spacing w:after="0"/>
              <w:rPr>
                <w:sz w:val="2"/>
                <w:szCs w:val="2"/>
                <w:color w:val="auto"/>
              </w:rPr>
            </w:pPr>
          </w:p>
        </w:tc>
        <w:tc>
          <w:tcPr>
            <w:tcW w:w="2820" w:type="dxa"/>
            <w:vAlign w:val="bottom"/>
            <w:tcBorders>
              <w:bottom w:val="single" w:sz="8" w:color="DADAE7"/>
            </w:tcBorders>
          </w:tcPr>
          <w:p>
            <w:pPr>
              <w:spacing w:after="0"/>
              <w:rPr>
                <w:sz w:val="2"/>
                <w:szCs w:val="2"/>
                <w:color w:val="auto"/>
              </w:rPr>
            </w:pPr>
          </w:p>
        </w:tc>
      </w:tr>
      <w:tr>
        <w:trPr>
          <w:trHeight w:val="203"/>
        </w:trPr>
        <w:tc>
          <w:tcPr>
            <w:tcW w:w="4480" w:type="dxa"/>
            <w:vAlign w:val="bottom"/>
          </w:tcPr>
          <w:p>
            <w:pPr>
              <w:ind w:left="20"/>
              <w:spacing w:after="0"/>
              <w:rPr>
                <w:sz w:val="20"/>
                <w:szCs w:val="20"/>
                <w:color w:val="auto"/>
              </w:rPr>
            </w:pPr>
            <w:r>
              <w:rPr>
                <w:rFonts w:ascii="Arial" w:cs="Arial" w:eastAsia="Arial" w:hAnsi="Arial"/>
                <w:sz w:val="15"/>
                <w:szCs w:val="15"/>
                <w:color w:val="auto"/>
              </w:rPr>
              <w:t>Stock borrowing</w:t>
            </w:r>
          </w:p>
        </w:tc>
        <w:tc>
          <w:tcPr>
            <w:tcW w:w="2820" w:type="dxa"/>
            <w:vAlign w:val="bottom"/>
          </w:tcPr>
          <w:p>
            <w:pPr>
              <w:jc w:val="right"/>
              <w:ind w:right="4"/>
              <w:spacing w:after="0"/>
              <w:rPr>
                <w:sz w:val="20"/>
                <w:szCs w:val="20"/>
                <w:color w:val="auto"/>
              </w:rPr>
            </w:pPr>
            <w:r>
              <w:rPr>
                <w:rFonts w:ascii="Arial" w:cs="Arial" w:eastAsia="Arial" w:hAnsi="Arial"/>
                <w:sz w:val="15"/>
                <w:szCs w:val="15"/>
                <w:color w:val="auto"/>
              </w:rPr>
              <w:t>1,781.7</w:t>
            </w:r>
          </w:p>
        </w:tc>
      </w:tr>
      <w:tr>
        <w:trPr>
          <w:trHeight w:val="33"/>
        </w:trPr>
        <w:tc>
          <w:tcPr>
            <w:tcW w:w="4480" w:type="dxa"/>
            <w:vAlign w:val="bottom"/>
            <w:tcBorders>
              <w:bottom w:val="single" w:sz="8" w:color="DADAE7"/>
            </w:tcBorders>
          </w:tcPr>
          <w:p>
            <w:pPr>
              <w:spacing w:after="0"/>
              <w:rPr>
                <w:sz w:val="2"/>
                <w:szCs w:val="2"/>
                <w:color w:val="auto"/>
              </w:rPr>
            </w:pPr>
          </w:p>
        </w:tc>
        <w:tc>
          <w:tcPr>
            <w:tcW w:w="2820" w:type="dxa"/>
            <w:vAlign w:val="bottom"/>
            <w:tcBorders>
              <w:bottom w:val="single" w:sz="8" w:color="DADAE7"/>
            </w:tcBorders>
          </w:tcPr>
          <w:p>
            <w:pPr>
              <w:spacing w:after="0"/>
              <w:rPr>
                <w:sz w:val="2"/>
                <w:szCs w:val="2"/>
                <w:color w:val="auto"/>
              </w:rPr>
            </w:pPr>
          </w:p>
        </w:tc>
      </w:tr>
      <w:tr>
        <w:trPr>
          <w:trHeight w:val="212"/>
        </w:trPr>
        <w:tc>
          <w:tcPr>
            <w:tcW w:w="4480" w:type="dxa"/>
            <w:vAlign w:val="bottom"/>
          </w:tcPr>
          <w:p>
            <w:pPr>
              <w:ind w:left="20"/>
              <w:spacing w:after="0"/>
              <w:rPr>
                <w:sz w:val="20"/>
                <w:szCs w:val="20"/>
                <w:color w:val="auto"/>
              </w:rPr>
            </w:pPr>
            <w:r>
              <w:rPr>
                <w:rFonts w:ascii="Arial" w:cs="Arial" w:eastAsia="Arial" w:hAnsi="Arial"/>
                <w:sz w:val="15"/>
                <w:szCs w:val="15"/>
                <w:b w:val="1"/>
                <w:bCs w:val="1"/>
                <w:color w:val="auto"/>
              </w:rPr>
              <w:t>Financial assets – FVTOCI:</w:t>
            </w:r>
          </w:p>
        </w:tc>
        <w:tc>
          <w:tcPr>
            <w:tcW w:w="28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23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1680" w:type="dxa"/>
            <w:vAlign w:val="bottom"/>
          </w:tcPr>
          <w:p>
            <w:pPr>
              <w:jc w:val="right"/>
              <w:ind w:right="504"/>
              <w:spacing w:after="0"/>
              <w:rPr>
                <w:sz w:val="20"/>
                <w:szCs w:val="20"/>
                <w:color w:val="auto"/>
              </w:rPr>
            </w:pPr>
            <w:r>
              <w:rPr>
                <w:rFonts w:ascii="Arial" w:cs="Arial" w:eastAsia="Arial" w:hAnsi="Arial"/>
                <w:sz w:val="15"/>
                <w:szCs w:val="15"/>
                <w:color w:val="auto"/>
              </w:rPr>
              <w:t>108.7</w:t>
            </w:r>
          </w:p>
        </w:tc>
        <w:tc>
          <w:tcPr>
            <w:tcW w:w="1120" w:type="dxa"/>
            <w:vAlign w:val="bottom"/>
          </w:tcPr>
          <w:p>
            <w:pPr>
              <w:ind w:left="58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108.7</w:t>
            </w:r>
          </w:p>
        </w:tc>
      </w:tr>
      <w:tr>
        <w:trPr>
          <w:trHeight w:val="33"/>
        </w:trPr>
        <w:tc>
          <w:tcPr>
            <w:tcW w:w="1680" w:type="dxa"/>
            <w:vAlign w:val="bottom"/>
            <w:tcBorders>
              <w:bottom w:val="single" w:sz="8" w:color="DADAE7"/>
            </w:tcBorders>
          </w:tcPr>
          <w:p>
            <w:pPr>
              <w:spacing w:after="0"/>
              <w:rPr>
                <w:sz w:val="2"/>
                <w:szCs w:val="2"/>
                <w:color w:val="auto"/>
              </w:rPr>
            </w:pPr>
          </w:p>
        </w:tc>
        <w:tc>
          <w:tcPr>
            <w:tcW w:w="1120" w:type="dxa"/>
            <w:vAlign w:val="bottom"/>
            <w:tcBorders>
              <w:bottom w:val="single" w:sz="8" w:color="DADAE7"/>
            </w:tcBorders>
          </w:tcPr>
          <w:p>
            <w:pPr>
              <w:spacing w:after="0"/>
              <w:rPr>
                <w:sz w:val="2"/>
                <w:szCs w:val="2"/>
                <w:color w:val="auto"/>
              </w:rPr>
            </w:pPr>
          </w:p>
        </w:tc>
        <w:tc>
          <w:tcPr>
            <w:tcW w:w="980" w:type="dxa"/>
            <w:vAlign w:val="bottom"/>
            <w:tcBorders>
              <w:bottom w:val="single" w:sz="8" w:color="DADAE7"/>
            </w:tcBorders>
          </w:tcPr>
          <w:p>
            <w:pPr>
              <w:spacing w:after="0"/>
              <w:rPr>
                <w:sz w:val="2"/>
                <w:szCs w:val="2"/>
                <w:color w:val="auto"/>
              </w:rPr>
            </w:pPr>
          </w:p>
        </w:tc>
      </w:tr>
      <w:tr>
        <w:trPr>
          <w:trHeight w:val="203"/>
        </w:trPr>
        <w:tc>
          <w:tcPr>
            <w:tcW w:w="1680" w:type="dxa"/>
            <w:vAlign w:val="bottom"/>
          </w:tcPr>
          <w:p>
            <w:pPr>
              <w:jc w:val="right"/>
              <w:ind w:right="504"/>
              <w:spacing w:after="0"/>
              <w:rPr>
                <w:sz w:val="20"/>
                <w:szCs w:val="20"/>
                <w:color w:val="auto"/>
              </w:rPr>
            </w:pPr>
            <w:r>
              <w:rPr>
                <w:rFonts w:ascii="Arial" w:cs="Arial" w:eastAsia="Arial" w:hAnsi="Arial"/>
                <w:sz w:val="15"/>
                <w:szCs w:val="15"/>
                <w:color w:val="auto"/>
              </w:rPr>
              <w:t>2,490.4</w:t>
            </w:r>
          </w:p>
        </w:tc>
        <w:tc>
          <w:tcPr>
            <w:tcW w:w="1120" w:type="dxa"/>
            <w:vAlign w:val="bottom"/>
          </w:tcPr>
          <w:p>
            <w:pPr>
              <w:ind w:left="58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2,490.4</w:t>
            </w:r>
          </w:p>
        </w:tc>
      </w:tr>
      <w:tr>
        <w:trPr>
          <w:trHeight w:val="33"/>
        </w:trPr>
        <w:tc>
          <w:tcPr>
            <w:tcW w:w="1680" w:type="dxa"/>
            <w:vAlign w:val="bottom"/>
            <w:tcBorders>
              <w:bottom w:val="single" w:sz="8" w:color="DADAE7"/>
            </w:tcBorders>
          </w:tcPr>
          <w:p>
            <w:pPr>
              <w:spacing w:after="0"/>
              <w:rPr>
                <w:sz w:val="2"/>
                <w:szCs w:val="2"/>
                <w:color w:val="auto"/>
              </w:rPr>
            </w:pPr>
          </w:p>
        </w:tc>
        <w:tc>
          <w:tcPr>
            <w:tcW w:w="1120" w:type="dxa"/>
            <w:vAlign w:val="bottom"/>
            <w:tcBorders>
              <w:bottom w:val="single" w:sz="8" w:color="DADAE7"/>
            </w:tcBorders>
          </w:tcPr>
          <w:p>
            <w:pPr>
              <w:spacing w:after="0"/>
              <w:rPr>
                <w:sz w:val="2"/>
                <w:szCs w:val="2"/>
                <w:color w:val="auto"/>
              </w:rPr>
            </w:pPr>
          </w:p>
        </w:tc>
        <w:tc>
          <w:tcPr>
            <w:tcW w:w="980" w:type="dxa"/>
            <w:vAlign w:val="bottom"/>
            <w:tcBorders>
              <w:bottom w:val="single" w:sz="8" w:color="DADAE7"/>
            </w:tcBorders>
          </w:tcPr>
          <w:p>
            <w:pPr>
              <w:spacing w:after="0"/>
              <w:rPr>
                <w:sz w:val="2"/>
                <w:szCs w:val="2"/>
                <w:color w:val="auto"/>
              </w:rPr>
            </w:pPr>
          </w:p>
        </w:tc>
      </w:tr>
      <w:tr>
        <w:trPr>
          <w:trHeight w:val="203"/>
        </w:trPr>
        <w:tc>
          <w:tcPr>
            <w:tcW w:w="1680" w:type="dxa"/>
            <w:vAlign w:val="bottom"/>
          </w:tcPr>
          <w:p>
            <w:pPr>
              <w:jc w:val="right"/>
              <w:ind w:right="504"/>
              <w:spacing w:after="0"/>
              <w:rPr>
                <w:sz w:val="20"/>
                <w:szCs w:val="20"/>
                <w:color w:val="auto"/>
              </w:rPr>
            </w:pPr>
            <w:r>
              <w:rPr>
                <w:rFonts w:ascii="Arial" w:cs="Arial" w:eastAsia="Arial" w:hAnsi="Arial"/>
                <w:sz w:val="15"/>
                <w:szCs w:val="15"/>
                <w:color w:val="auto"/>
              </w:rPr>
              <w:t>—</w:t>
            </w:r>
          </w:p>
        </w:tc>
        <w:tc>
          <w:tcPr>
            <w:tcW w:w="1120" w:type="dxa"/>
            <w:vAlign w:val="bottom"/>
          </w:tcPr>
          <w:p>
            <w:pPr>
              <w:ind w:left="58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1,781.7</w:t>
            </w:r>
          </w:p>
        </w:tc>
      </w:tr>
      <w:tr>
        <w:trPr>
          <w:trHeight w:val="33"/>
        </w:trPr>
        <w:tc>
          <w:tcPr>
            <w:tcW w:w="1680" w:type="dxa"/>
            <w:vAlign w:val="bottom"/>
            <w:tcBorders>
              <w:bottom w:val="single" w:sz="8" w:color="DADAE7"/>
            </w:tcBorders>
          </w:tcPr>
          <w:p>
            <w:pPr>
              <w:spacing w:after="0"/>
              <w:rPr>
                <w:sz w:val="2"/>
                <w:szCs w:val="2"/>
                <w:color w:val="auto"/>
              </w:rPr>
            </w:pPr>
          </w:p>
        </w:tc>
        <w:tc>
          <w:tcPr>
            <w:tcW w:w="1120" w:type="dxa"/>
            <w:vAlign w:val="bottom"/>
            <w:tcBorders>
              <w:bottom w:val="single" w:sz="8" w:color="DADAE7"/>
            </w:tcBorders>
          </w:tcPr>
          <w:p>
            <w:pPr>
              <w:spacing w:after="0"/>
              <w:rPr>
                <w:sz w:val="2"/>
                <w:szCs w:val="2"/>
                <w:color w:val="auto"/>
              </w:rPr>
            </w:pPr>
          </w:p>
        </w:tc>
        <w:tc>
          <w:tcPr>
            <w:tcW w:w="980" w:type="dxa"/>
            <w:vAlign w:val="bottom"/>
            <w:tcBorders>
              <w:bottom w:val="single" w:sz="8" w:color="DADAE7"/>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-8255</wp:posOffset>
            </wp:positionV>
            <wp:extent cx="93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65" w:lineRule="exact"/>
        <w:rPr>
          <w:sz w:val="20"/>
          <w:szCs w:val="20"/>
          <w:color w:val="auto"/>
        </w:rPr>
      </w:pPr>
    </w:p>
    <w:p>
      <w:pPr>
        <w:sectPr>
          <w:pgSz w:w="11900" w:h="16838" w:orient="portrait"/>
          <w:cols w:equalWidth="0" w:num="2">
            <w:col w:w="7300" w:space="140"/>
            <w:col w:w="3780"/>
          </w:cols>
          <w:pgMar w:left="320" w:top="1353" w:right="35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4420" w:type="dxa"/>
            <w:vAlign w:val="bottom"/>
          </w:tcPr>
          <w:p>
            <w:pPr>
              <w:ind w:left="20"/>
              <w:spacing w:after="0"/>
              <w:rPr>
                <w:sz w:val="20"/>
                <w:szCs w:val="20"/>
                <w:color w:val="auto"/>
              </w:rPr>
            </w:pPr>
            <w:r>
              <w:rPr>
                <w:rFonts w:ascii="Arial" w:cs="Arial" w:eastAsia="Arial" w:hAnsi="Arial"/>
                <w:sz w:val="15"/>
                <w:szCs w:val="15"/>
                <w:color w:val="auto"/>
              </w:rPr>
              <w:t>Investments</w:t>
            </w:r>
          </w:p>
        </w:tc>
        <w:tc>
          <w:tcPr>
            <w:tcW w:w="2880" w:type="dxa"/>
            <w:vAlign w:val="bottom"/>
          </w:tcPr>
          <w:p>
            <w:pPr>
              <w:jc w:val="right"/>
              <w:ind w:right="4"/>
              <w:spacing w:after="0"/>
              <w:rPr>
                <w:sz w:val="20"/>
                <w:szCs w:val="20"/>
                <w:color w:val="auto"/>
              </w:rPr>
            </w:pPr>
            <w:r>
              <w:rPr>
                <w:rFonts w:ascii="Arial" w:cs="Arial" w:eastAsia="Arial" w:hAnsi="Arial"/>
                <w:sz w:val="15"/>
                <w:szCs w:val="15"/>
                <w:color w:val="auto"/>
              </w:rPr>
              <w:t>12.6</w:t>
            </w:r>
          </w:p>
        </w:tc>
        <w:tc>
          <w:tcPr>
            <w:tcW w:w="140" w:type="dxa"/>
            <w:vAlign w:val="bottom"/>
          </w:tcPr>
          <w:p>
            <w:pPr>
              <w:spacing w:after="0"/>
              <w:rPr>
                <w:sz w:val="17"/>
                <w:szCs w:val="17"/>
                <w:color w:val="auto"/>
              </w:rPr>
            </w:pPr>
          </w:p>
        </w:tc>
        <w:tc>
          <w:tcPr>
            <w:tcW w:w="1640" w:type="dxa"/>
            <w:vAlign w:val="bottom"/>
          </w:tcPr>
          <w:p>
            <w:pPr>
              <w:jc w:val="right"/>
              <w:ind w:right="464"/>
              <w:spacing w:after="0"/>
              <w:rPr>
                <w:sz w:val="20"/>
                <w:szCs w:val="20"/>
                <w:color w:val="auto"/>
              </w:rPr>
            </w:pPr>
            <w:r>
              <w:rPr>
                <w:rFonts w:ascii="Arial" w:cs="Arial" w:eastAsia="Arial" w:hAnsi="Arial"/>
                <w:sz w:val="15"/>
                <w:szCs w:val="15"/>
                <w:color w:val="auto"/>
              </w:rPr>
              <w:t>6.3</w:t>
            </w:r>
          </w:p>
        </w:tc>
        <w:tc>
          <w:tcPr>
            <w:tcW w:w="1160" w:type="dxa"/>
            <w:vAlign w:val="bottom"/>
          </w:tcPr>
          <w:p>
            <w:pPr>
              <w:jc w:val="right"/>
              <w:ind w:right="324"/>
              <w:spacing w:after="0"/>
              <w:rPr>
                <w:sz w:val="20"/>
                <w:szCs w:val="20"/>
                <w:color w:val="auto"/>
              </w:rPr>
            </w:pPr>
            <w:r>
              <w:rPr>
                <w:rFonts w:ascii="Arial" w:cs="Arial" w:eastAsia="Arial" w:hAnsi="Arial"/>
                <w:sz w:val="15"/>
                <w:szCs w:val="15"/>
                <w:color w:val="auto"/>
              </w:rPr>
              <w:t>5.1</w:t>
            </w:r>
          </w:p>
        </w:tc>
        <w:tc>
          <w:tcPr>
            <w:tcW w:w="980" w:type="dxa"/>
            <w:vAlign w:val="bottom"/>
          </w:tcPr>
          <w:p>
            <w:pPr>
              <w:jc w:val="right"/>
              <w:spacing w:after="0"/>
              <w:rPr>
                <w:sz w:val="20"/>
                <w:szCs w:val="20"/>
                <w:color w:val="auto"/>
              </w:rPr>
            </w:pPr>
            <w:r>
              <w:rPr>
                <w:rFonts w:ascii="Arial" w:cs="Arial" w:eastAsia="Arial" w:hAnsi="Arial"/>
                <w:sz w:val="15"/>
                <w:szCs w:val="15"/>
                <w:color w:val="auto"/>
              </w:rPr>
              <w:t>24.0</w:t>
            </w:r>
          </w:p>
        </w:tc>
      </w:tr>
      <w:tr>
        <w:trPr>
          <w:trHeight w:val="33"/>
        </w:trPr>
        <w:tc>
          <w:tcPr>
            <w:tcW w:w="4420" w:type="dxa"/>
            <w:vAlign w:val="bottom"/>
            <w:tcBorders>
              <w:bottom w:val="single" w:sz="8" w:color="DADAE7"/>
            </w:tcBorders>
          </w:tcPr>
          <w:p>
            <w:pPr>
              <w:spacing w:after="0"/>
              <w:rPr>
                <w:sz w:val="2"/>
                <w:szCs w:val="2"/>
                <w:color w:val="auto"/>
              </w:rPr>
            </w:pPr>
          </w:p>
        </w:tc>
        <w:tc>
          <w:tcPr>
            <w:tcW w:w="3020" w:type="dxa"/>
            <w:vAlign w:val="bottom"/>
            <w:tcBorders>
              <w:bottom w:val="single" w:sz="8" w:color="DADAE7"/>
            </w:tcBorders>
            <w:gridSpan w:val="2"/>
          </w:tcPr>
          <w:p>
            <w:pPr>
              <w:spacing w:after="0"/>
              <w:rPr>
                <w:sz w:val="2"/>
                <w:szCs w:val="2"/>
                <w:color w:val="auto"/>
              </w:rPr>
            </w:pPr>
          </w:p>
        </w:tc>
        <w:tc>
          <w:tcPr>
            <w:tcW w:w="164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tcPr>
          <w:p>
            <w:pPr>
              <w:spacing w:after="0"/>
              <w:rPr>
                <w:sz w:val="2"/>
                <w:szCs w:val="2"/>
                <w:color w:val="auto"/>
              </w:rPr>
            </w:pPr>
          </w:p>
        </w:tc>
        <w:tc>
          <w:tcPr>
            <w:tcW w:w="980" w:type="dxa"/>
            <w:vAlign w:val="bottom"/>
            <w:tcBorders>
              <w:bottom w:val="single" w:sz="8" w:color="DADAE7"/>
            </w:tcBorders>
          </w:tcPr>
          <w:p>
            <w:pPr>
              <w:spacing w:after="0"/>
              <w:rPr>
                <w:sz w:val="2"/>
                <w:szCs w:val="2"/>
                <w:color w:val="auto"/>
              </w:rPr>
            </w:pPr>
          </w:p>
        </w:tc>
      </w:tr>
      <w:tr>
        <w:trPr>
          <w:trHeight w:val="203"/>
        </w:trPr>
        <w:tc>
          <w:tcPr>
            <w:tcW w:w="4420" w:type="dxa"/>
            <w:vAlign w:val="bottom"/>
          </w:tcPr>
          <w:p>
            <w:pPr>
              <w:ind w:left="20"/>
              <w:spacing w:after="0"/>
              <w:rPr>
                <w:sz w:val="20"/>
                <w:szCs w:val="20"/>
                <w:color w:val="auto"/>
              </w:rPr>
            </w:pPr>
            <w:r>
              <w:rPr>
                <w:rFonts w:ascii="Arial" w:cs="Arial" w:eastAsia="Arial" w:hAnsi="Arial"/>
                <w:sz w:val="15"/>
                <w:szCs w:val="15"/>
                <w:color w:val="auto"/>
              </w:rPr>
              <w:t>Derivative instruments</w:t>
            </w:r>
          </w:p>
        </w:tc>
        <w:tc>
          <w:tcPr>
            <w:tcW w:w="3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464"/>
              <w:spacing w:after="0"/>
              <w:rPr>
                <w:sz w:val="20"/>
                <w:szCs w:val="20"/>
                <w:color w:val="auto"/>
              </w:rPr>
            </w:pPr>
            <w:r>
              <w:rPr>
                <w:rFonts w:ascii="Arial" w:cs="Arial" w:eastAsia="Arial" w:hAnsi="Arial"/>
                <w:sz w:val="15"/>
                <w:szCs w:val="15"/>
                <w:color w:val="auto"/>
              </w:rPr>
              <w:t>1.5</w:t>
            </w:r>
          </w:p>
        </w:tc>
        <w:tc>
          <w:tcPr>
            <w:tcW w:w="116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33"/>
        </w:trPr>
        <w:tc>
          <w:tcPr>
            <w:tcW w:w="4420" w:type="dxa"/>
            <w:vAlign w:val="bottom"/>
            <w:tcBorders>
              <w:bottom w:val="single" w:sz="8" w:color="DADAE7"/>
            </w:tcBorders>
          </w:tcPr>
          <w:p>
            <w:pPr>
              <w:spacing w:after="0"/>
              <w:rPr>
                <w:sz w:val="2"/>
                <w:szCs w:val="2"/>
                <w:color w:val="auto"/>
              </w:rPr>
            </w:pPr>
          </w:p>
        </w:tc>
        <w:tc>
          <w:tcPr>
            <w:tcW w:w="288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64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tcPr>
          <w:p>
            <w:pPr>
              <w:spacing w:after="0"/>
              <w:rPr>
                <w:sz w:val="2"/>
                <w:szCs w:val="2"/>
                <w:color w:val="auto"/>
              </w:rPr>
            </w:pPr>
          </w:p>
        </w:tc>
        <w:tc>
          <w:tcPr>
            <w:tcW w:w="980" w:type="dxa"/>
            <w:vAlign w:val="bottom"/>
            <w:tcBorders>
              <w:bottom w:val="single" w:sz="8" w:color="DADAE7"/>
            </w:tcBorders>
          </w:tcPr>
          <w:p>
            <w:pPr>
              <w:spacing w:after="0"/>
              <w:rPr>
                <w:sz w:val="2"/>
                <w:szCs w:val="2"/>
                <w:color w:val="auto"/>
              </w:rPr>
            </w:pPr>
          </w:p>
        </w:tc>
      </w:tr>
      <w:tr>
        <w:trPr>
          <w:trHeight w:val="211"/>
        </w:trPr>
        <w:tc>
          <w:tcPr>
            <w:tcW w:w="4420" w:type="dxa"/>
            <w:vAlign w:val="bottom"/>
          </w:tcPr>
          <w:p>
            <w:pPr>
              <w:ind w:left="20"/>
              <w:spacing w:after="0"/>
              <w:rPr>
                <w:sz w:val="20"/>
                <w:szCs w:val="20"/>
                <w:color w:val="auto"/>
              </w:rPr>
            </w:pPr>
            <w:r>
              <w:rPr>
                <w:rFonts w:ascii="Arial" w:cs="Arial" w:eastAsia="Arial" w:hAnsi="Arial"/>
                <w:sz w:val="15"/>
                <w:szCs w:val="15"/>
                <w:b w:val="1"/>
                <w:bCs w:val="1"/>
                <w:color w:val="auto"/>
              </w:rPr>
              <w:t>Financial liabilities – FVTOCI:</w:t>
            </w:r>
          </w:p>
        </w:tc>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
        </w:trPr>
        <w:tc>
          <w:tcPr>
            <w:tcW w:w="4420" w:type="dxa"/>
            <w:vAlign w:val="bottom"/>
            <w:tcBorders>
              <w:bottom w:val="single" w:sz="8" w:color="DADAE7"/>
            </w:tcBorders>
          </w:tcPr>
          <w:p>
            <w:pPr>
              <w:spacing w:after="0"/>
              <w:rPr>
                <w:sz w:val="2"/>
                <w:szCs w:val="2"/>
                <w:color w:val="auto"/>
              </w:rPr>
            </w:pPr>
          </w:p>
        </w:tc>
        <w:tc>
          <w:tcPr>
            <w:tcW w:w="2880" w:type="dxa"/>
            <w:vAlign w:val="bottom"/>
            <w:tcBorders>
              <w:bottom w:val="single" w:sz="8" w:color="DADAE7"/>
            </w:tcBorders>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tcPr>
          <w:p>
            <w:pPr>
              <w:spacing w:after="0"/>
              <w:rPr>
                <w:sz w:val="2"/>
                <w:szCs w:val="2"/>
                <w:color w:val="auto"/>
              </w:rPr>
            </w:pPr>
          </w:p>
        </w:tc>
        <w:tc>
          <w:tcPr>
            <w:tcW w:w="980" w:type="dxa"/>
            <w:vAlign w:val="bottom"/>
            <w:tcBorders>
              <w:bottom w:val="single" w:sz="8" w:color="DADAE7"/>
            </w:tcBorders>
          </w:tcPr>
          <w:p>
            <w:pPr>
              <w:spacing w:after="0"/>
              <w:rPr>
                <w:sz w:val="2"/>
                <w:szCs w:val="2"/>
                <w:color w:val="auto"/>
              </w:rPr>
            </w:pPr>
          </w:p>
        </w:tc>
      </w:tr>
      <w:tr>
        <w:trPr>
          <w:trHeight w:val="204"/>
        </w:trPr>
        <w:tc>
          <w:tcPr>
            <w:tcW w:w="4420" w:type="dxa"/>
            <w:vAlign w:val="bottom"/>
          </w:tcPr>
          <w:p>
            <w:pPr>
              <w:ind w:left="20"/>
              <w:spacing w:after="0"/>
              <w:rPr>
                <w:sz w:val="20"/>
                <w:szCs w:val="20"/>
                <w:color w:val="auto"/>
              </w:rPr>
            </w:pPr>
            <w:r>
              <w:rPr>
                <w:rFonts w:ascii="Arial" w:cs="Arial" w:eastAsia="Arial" w:hAnsi="Arial"/>
                <w:sz w:val="15"/>
                <w:szCs w:val="15"/>
                <w:color w:val="auto"/>
              </w:rPr>
              <w:t>Derivative instruments</w:t>
            </w:r>
          </w:p>
        </w:tc>
        <w:tc>
          <w:tcPr>
            <w:tcW w:w="3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424"/>
              <w:spacing w:after="0"/>
              <w:rPr>
                <w:sz w:val="20"/>
                <w:szCs w:val="20"/>
                <w:color w:val="auto"/>
              </w:rPr>
            </w:pPr>
            <w:r>
              <w:rPr>
                <w:rFonts w:ascii="Arial" w:cs="Arial" w:eastAsia="Arial" w:hAnsi="Arial"/>
                <w:sz w:val="15"/>
                <w:szCs w:val="15"/>
                <w:color w:val="auto"/>
              </w:rPr>
              <w:t>(27.5)</w:t>
            </w:r>
          </w:p>
        </w:tc>
        <w:tc>
          <w:tcPr>
            <w:tcW w:w="116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(27.5)</w:t>
            </w:r>
          </w:p>
        </w:tc>
      </w:tr>
      <w:tr>
        <w:trPr>
          <w:trHeight w:val="33"/>
        </w:trPr>
        <w:tc>
          <w:tcPr>
            <w:tcW w:w="4420" w:type="dxa"/>
            <w:vAlign w:val="bottom"/>
            <w:tcBorders>
              <w:bottom w:val="single" w:sz="8" w:color="DADAE7"/>
            </w:tcBorders>
          </w:tcPr>
          <w:p>
            <w:pPr>
              <w:spacing w:after="0"/>
              <w:rPr>
                <w:sz w:val="2"/>
                <w:szCs w:val="2"/>
                <w:color w:val="auto"/>
              </w:rPr>
            </w:pPr>
          </w:p>
        </w:tc>
        <w:tc>
          <w:tcPr>
            <w:tcW w:w="2880" w:type="dxa"/>
            <w:vAlign w:val="bottom"/>
            <w:tcBorders>
              <w:bottom w:val="single" w:sz="8" w:color="DADAE7"/>
            </w:tcBorders>
          </w:tcPr>
          <w:p>
            <w:pPr>
              <w:spacing w:after="0"/>
              <w:rPr>
                <w:sz w:val="2"/>
                <w:szCs w:val="2"/>
                <w:color w:val="auto"/>
              </w:rPr>
            </w:pPr>
          </w:p>
        </w:tc>
        <w:tc>
          <w:tcPr>
            <w:tcW w:w="140" w:type="dxa"/>
            <w:vAlign w:val="bottom"/>
            <w:tcBorders>
              <w:bottom w:val="single" w:sz="8" w:color="793690"/>
            </w:tcBorders>
          </w:tcPr>
          <w:p>
            <w:pPr>
              <w:spacing w:after="0"/>
              <w:rPr>
                <w:sz w:val="2"/>
                <w:szCs w:val="2"/>
                <w:color w:val="auto"/>
              </w:rPr>
            </w:pPr>
          </w:p>
        </w:tc>
        <w:tc>
          <w:tcPr>
            <w:tcW w:w="164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tcPr>
          <w:p>
            <w:pPr>
              <w:spacing w:after="0"/>
              <w:rPr>
                <w:sz w:val="2"/>
                <w:szCs w:val="2"/>
                <w:color w:val="auto"/>
              </w:rPr>
            </w:pPr>
          </w:p>
        </w:tc>
        <w:tc>
          <w:tcPr>
            <w:tcW w:w="980" w:type="dxa"/>
            <w:vAlign w:val="bottom"/>
            <w:tcBorders>
              <w:bottom w:val="single" w:sz="8" w:color="DADAE7"/>
            </w:tcBorders>
          </w:tcPr>
          <w:p>
            <w:pPr>
              <w:spacing w:after="0"/>
              <w:rPr>
                <w:sz w:val="2"/>
                <w:szCs w:val="2"/>
                <w:color w:val="auto"/>
              </w:rPr>
            </w:pPr>
          </w:p>
        </w:tc>
      </w:tr>
      <w:tr>
        <w:trPr>
          <w:trHeight w:val="212"/>
        </w:trPr>
        <w:tc>
          <w:tcPr>
            <w:tcW w:w="4420" w:type="dxa"/>
            <w:vAlign w:val="bottom"/>
          </w:tcPr>
          <w:p>
            <w:pPr>
              <w:ind w:left="20"/>
              <w:spacing w:after="0"/>
              <w:rPr>
                <w:sz w:val="20"/>
                <w:szCs w:val="20"/>
                <w:color w:val="auto"/>
              </w:rPr>
            </w:pPr>
            <w:r>
              <w:rPr>
                <w:rFonts w:ascii="Arial" w:cs="Arial" w:eastAsia="Arial" w:hAnsi="Arial"/>
                <w:sz w:val="15"/>
                <w:szCs w:val="15"/>
                <w:b w:val="1"/>
                <w:bCs w:val="1"/>
                <w:color w:val="auto"/>
              </w:rPr>
              <w:t>Financial liabilities – FVTPL:</w:t>
            </w:r>
          </w:p>
        </w:tc>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
        </w:trPr>
        <w:tc>
          <w:tcPr>
            <w:tcW w:w="4420" w:type="dxa"/>
            <w:vAlign w:val="bottom"/>
            <w:tcBorders>
              <w:bottom w:val="single" w:sz="8" w:color="DADAE7"/>
            </w:tcBorders>
          </w:tcPr>
          <w:p>
            <w:pPr>
              <w:spacing w:after="0"/>
              <w:rPr>
                <w:sz w:val="2"/>
                <w:szCs w:val="2"/>
                <w:color w:val="auto"/>
              </w:rPr>
            </w:pPr>
          </w:p>
        </w:tc>
        <w:tc>
          <w:tcPr>
            <w:tcW w:w="288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64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tcPr>
          <w:p>
            <w:pPr>
              <w:spacing w:after="0"/>
              <w:rPr>
                <w:sz w:val="2"/>
                <w:szCs w:val="2"/>
                <w:color w:val="auto"/>
              </w:rPr>
            </w:pPr>
          </w:p>
        </w:tc>
        <w:tc>
          <w:tcPr>
            <w:tcW w:w="980" w:type="dxa"/>
            <w:vAlign w:val="bottom"/>
            <w:tcBorders>
              <w:bottom w:val="single" w:sz="8" w:color="DADAE7"/>
            </w:tcBorders>
          </w:tcPr>
          <w:p>
            <w:pPr>
              <w:spacing w:after="0"/>
              <w:rPr>
                <w:sz w:val="2"/>
                <w:szCs w:val="2"/>
                <w:color w:val="auto"/>
              </w:rPr>
            </w:pPr>
          </w:p>
        </w:tc>
      </w:tr>
      <w:tr>
        <w:trPr>
          <w:trHeight w:val="203"/>
        </w:trPr>
        <w:tc>
          <w:tcPr>
            <w:tcW w:w="4420" w:type="dxa"/>
            <w:vAlign w:val="bottom"/>
          </w:tcPr>
          <w:p>
            <w:pPr>
              <w:ind w:left="20"/>
              <w:spacing w:after="0"/>
              <w:rPr>
                <w:sz w:val="20"/>
                <w:szCs w:val="20"/>
                <w:color w:val="auto"/>
              </w:rPr>
            </w:pPr>
            <w:r>
              <w:rPr>
                <w:rFonts w:ascii="Arial" w:cs="Arial" w:eastAsia="Arial" w:hAnsi="Arial"/>
                <w:sz w:val="15"/>
                <w:szCs w:val="15"/>
                <w:color w:val="auto"/>
              </w:rPr>
              <w:t>Derivative instruments</w:t>
            </w:r>
          </w:p>
        </w:tc>
        <w:tc>
          <w:tcPr>
            <w:tcW w:w="3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424"/>
              <w:spacing w:after="0"/>
              <w:rPr>
                <w:sz w:val="20"/>
                <w:szCs w:val="20"/>
                <w:color w:val="auto"/>
              </w:rPr>
            </w:pPr>
            <w:r>
              <w:rPr>
                <w:rFonts w:ascii="Arial" w:cs="Arial" w:eastAsia="Arial" w:hAnsi="Arial"/>
                <w:sz w:val="15"/>
                <w:szCs w:val="15"/>
                <w:color w:val="auto"/>
              </w:rPr>
              <w:t>(724.1)</w:t>
            </w:r>
          </w:p>
        </w:tc>
        <w:tc>
          <w:tcPr>
            <w:tcW w:w="1160" w:type="dxa"/>
            <w:vAlign w:val="bottom"/>
          </w:tcPr>
          <w:p>
            <w:pPr>
              <w:jc w:val="right"/>
              <w:ind w:right="264"/>
              <w:spacing w:after="0"/>
              <w:rPr>
                <w:sz w:val="20"/>
                <w:szCs w:val="20"/>
                <w:color w:val="auto"/>
              </w:rPr>
            </w:pPr>
            <w:r>
              <w:rPr>
                <w:rFonts w:ascii="Arial" w:cs="Arial" w:eastAsia="Arial" w:hAnsi="Arial"/>
                <w:sz w:val="15"/>
                <w:szCs w:val="15"/>
                <w:color w:val="auto"/>
              </w:rPr>
              <w:t>(0.1)</w:t>
            </w:r>
          </w:p>
        </w:tc>
        <w:tc>
          <w:tcPr>
            <w:tcW w:w="980" w:type="dxa"/>
            <w:vAlign w:val="bottom"/>
          </w:tcPr>
          <w:p>
            <w:pPr>
              <w:jc w:val="right"/>
              <w:spacing w:after="0"/>
              <w:rPr>
                <w:sz w:val="20"/>
                <w:szCs w:val="20"/>
                <w:color w:val="auto"/>
              </w:rPr>
            </w:pPr>
            <w:r>
              <w:rPr>
                <w:rFonts w:ascii="Arial" w:cs="Arial" w:eastAsia="Arial" w:hAnsi="Arial"/>
                <w:sz w:val="15"/>
                <w:szCs w:val="15"/>
                <w:color w:val="auto"/>
              </w:rPr>
              <w:t>(724.2)</w:t>
            </w:r>
          </w:p>
        </w:tc>
      </w:tr>
      <w:tr>
        <w:trPr>
          <w:trHeight w:val="33"/>
        </w:trPr>
        <w:tc>
          <w:tcPr>
            <w:tcW w:w="4420" w:type="dxa"/>
            <w:vAlign w:val="bottom"/>
            <w:tcBorders>
              <w:bottom w:val="single" w:sz="8" w:color="DADAE7"/>
            </w:tcBorders>
          </w:tcPr>
          <w:p>
            <w:pPr>
              <w:spacing w:after="0"/>
              <w:rPr>
                <w:sz w:val="2"/>
                <w:szCs w:val="2"/>
                <w:color w:val="auto"/>
              </w:rPr>
            </w:pPr>
          </w:p>
        </w:tc>
        <w:tc>
          <w:tcPr>
            <w:tcW w:w="288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64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tcPr>
          <w:p>
            <w:pPr>
              <w:spacing w:after="0"/>
              <w:rPr>
                <w:sz w:val="2"/>
                <w:szCs w:val="2"/>
                <w:color w:val="auto"/>
              </w:rPr>
            </w:pPr>
          </w:p>
        </w:tc>
        <w:tc>
          <w:tcPr>
            <w:tcW w:w="980" w:type="dxa"/>
            <w:vAlign w:val="bottom"/>
            <w:tcBorders>
              <w:bottom w:val="single" w:sz="8" w:color="DADAE7"/>
            </w:tcBorders>
          </w:tcPr>
          <w:p>
            <w:pPr>
              <w:spacing w:after="0"/>
              <w:rPr>
                <w:sz w:val="2"/>
                <w:szCs w:val="2"/>
                <w:color w:val="auto"/>
              </w:rPr>
            </w:pPr>
          </w:p>
        </w:tc>
      </w:tr>
      <w:tr>
        <w:trPr>
          <w:trHeight w:val="203"/>
        </w:trPr>
        <w:tc>
          <w:tcPr>
            <w:tcW w:w="4420" w:type="dxa"/>
            <w:vAlign w:val="bottom"/>
          </w:tcPr>
          <w:p>
            <w:pPr>
              <w:ind w:left="20"/>
              <w:spacing w:after="0"/>
              <w:rPr>
                <w:sz w:val="20"/>
                <w:szCs w:val="20"/>
                <w:color w:val="auto"/>
              </w:rPr>
            </w:pPr>
            <w:r>
              <w:rPr>
                <w:rFonts w:ascii="Arial" w:cs="Arial" w:eastAsia="Arial" w:hAnsi="Arial"/>
                <w:sz w:val="15"/>
                <w:szCs w:val="15"/>
                <w:color w:val="auto"/>
              </w:rPr>
              <w:t>Trade payables</w:t>
            </w:r>
          </w:p>
        </w:tc>
        <w:tc>
          <w:tcPr>
            <w:tcW w:w="2880" w:type="dxa"/>
            <w:vAlign w:val="bottom"/>
          </w:tcPr>
          <w:p>
            <w:pPr>
              <w:jc w:val="right"/>
              <w:spacing w:after="0"/>
              <w:rPr>
                <w:sz w:val="20"/>
                <w:szCs w:val="20"/>
                <w:color w:val="auto"/>
              </w:rPr>
            </w:pPr>
            <w:r>
              <w:rPr>
                <w:rFonts w:ascii="Arial" w:cs="Arial" w:eastAsia="Arial" w:hAnsi="Arial"/>
                <w:sz w:val="15"/>
                <w:szCs w:val="15"/>
                <w:color w:val="auto"/>
              </w:rPr>
              <w:t>(7.4)</w:t>
            </w:r>
          </w:p>
        </w:tc>
        <w:tc>
          <w:tcPr>
            <w:tcW w:w="140" w:type="dxa"/>
            <w:vAlign w:val="bottom"/>
          </w:tcPr>
          <w:p>
            <w:pPr>
              <w:spacing w:after="0"/>
              <w:rPr>
                <w:sz w:val="17"/>
                <w:szCs w:val="17"/>
                <w:color w:val="auto"/>
              </w:rPr>
            </w:pPr>
          </w:p>
        </w:tc>
        <w:tc>
          <w:tcPr>
            <w:tcW w:w="1640" w:type="dxa"/>
            <w:vAlign w:val="bottom"/>
          </w:tcPr>
          <w:p>
            <w:pPr>
              <w:jc w:val="right"/>
              <w:ind w:right="46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(7.4)</w:t>
            </w:r>
          </w:p>
        </w:tc>
      </w:tr>
      <w:tr>
        <w:trPr>
          <w:trHeight w:val="33"/>
        </w:trPr>
        <w:tc>
          <w:tcPr>
            <w:tcW w:w="4420" w:type="dxa"/>
            <w:vAlign w:val="bottom"/>
            <w:tcBorders>
              <w:bottom w:val="single" w:sz="8" w:color="DADAE7"/>
            </w:tcBorders>
          </w:tcPr>
          <w:p>
            <w:pPr>
              <w:spacing w:after="0"/>
              <w:rPr>
                <w:sz w:val="2"/>
                <w:szCs w:val="2"/>
                <w:color w:val="auto"/>
              </w:rPr>
            </w:pPr>
          </w:p>
        </w:tc>
        <w:tc>
          <w:tcPr>
            <w:tcW w:w="288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64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tcPr>
          <w:p>
            <w:pPr>
              <w:spacing w:after="0"/>
              <w:rPr>
                <w:sz w:val="2"/>
                <w:szCs w:val="2"/>
                <w:color w:val="auto"/>
              </w:rPr>
            </w:pPr>
          </w:p>
        </w:tc>
        <w:tc>
          <w:tcPr>
            <w:tcW w:w="980" w:type="dxa"/>
            <w:vAlign w:val="bottom"/>
            <w:tcBorders>
              <w:bottom w:val="single" w:sz="8" w:color="DADAE7"/>
            </w:tcBorders>
          </w:tcPr>
          <w:p>
            <w:pPr>
              <w:spacing w:after="0"/>
              <w:rPr>
                <w:sz w:val="2"/>
                <w:szCs w:val="2"/>
                <w:color w:val="auto"/>
              </w:rPr>
            </w:pPr>
          </w:p>
        </w:tc>
      </w:tr>
      <w:tr>
        <w:trPr>
          <w:trHeight w:val="203"/>
        </w:trPr>
        <w:tc>
          <w:tcPr>
            <w:tcW w:w="4420" w:type="dxa"/>
            <w:vAlign w:val="bottom"/>
          </w:tcPr>
          <w:p>
            <w:pPr>
              <w:ind w:left="20"/>
              <w:spacing w:after="0"/>
              <w:rPr>
                <w:sz w:val="20"/>
                <w:szCs w:val="20"/>
                <w:color w:val="auto"/>
              </w:rPr>
            </w:pPr>
            <w:r>
              <w:rPr>
                <w:rFonts w:ascii="Arial" w:cs="Arial" w:eastAsia="Arial" w:hAnsi="Arial"/>
                <w:sz w:val="15"/>
                <w:szCs w:val="15"/>
                <w:color w:val="auto"/>
              </w:rPr>
              <w:t>Amounts payable to clients</w:t>
            </w:r>
          </w:p>
        </w:tc>
        <w:tc>
          <w:tcPr>
            <w:tcW w:w="2880" w:type="dxa"/>
            <w:vAlign w:val="bottom"/>
          </w:tcPr>
          <w:p>
            <w:pPr>
              <w:jc w:val="right"/>
              <w:spacing w:after="0"/>
              <w:rPr>
                <w:sz w:val="20"/>
                <w:szCs w:val="20"/>
                <w:color w:val="auto"/>
              </w:rPr>
            </w:pPr>
            <w:r>
              <w:rPr>
                <w:rFonts w:ascii="Arial" w:cs="Arial" w:eastAsia="Arial" w:hAnsi="Arial"/>
                <w:sz w:val="15"/>
                <w:szCs w:val="15"/>
                <w:color w:val="auto"/>
              </w:rPr>
              <w:t>(65.1)</w:t>
            </w:r>
          </w:p>
        </w:tc>
        <w:tc>
          <w:tcPr>
            <w:tcW w:w="140" w:type="dxa"/>
            <w:vAlign w:val="bottom"/>
          </w:tcPr>
          <w:p>
            <w:pPr>
              <w:spacing w:after="0"/>
              <w:rPr>
                <w:sz w:val="17"/>
                <w:szCs w:val="17"/>
                <w:color w:val="auto"/>
              </w:rPr>
            </w:pPr>
          </w:p>
        </w:tc>
        <w:tc>
          <w:tcPr>
            <w:tcW w:w="1640" w:type="dxa"/>
            <w:vAlign w:val="bottom"/>
          </w:tcPr>
          <w:p>
            <w:pPr>
              <w:jc w:val="right"/>
              <w:ind w:right="46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(65.1)</w:t>
            </w:r>
          </w:p>
        </w:tc>
      </w:tr>
      <w:tr>
        <w:trPr>
          <w:trHeight w:val="33"/>
        </w:trPr>
        <w:tc>
          <w:tcPr>
            <w:tcW w:w="4420" w:type="dxa"/>
            <w:vAlign w:val="bottom"/>
            <w:tcBorders>
              <w:bottom w:val="single" w:sz="8" w:color="DADAE7"/>
            </w:tcBorders>
          </w:tcPr>
          <w:p>
            <w:pPr>
              <w:spacing w:after="0"/>
              <w:rPr>
                <w:sz w:val="2"/>
                <w:szCs w:val="2"/>
                <w:color w:val="auto"/>
              </w:rPr>
            </w:pPr>
          </w:p>
        </w:tc>
        <w:tc>
          <w:tcPr>
            <w:tcW w:w="288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64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tcPr>
          <w:p>
            <w:pPr>
              <w:spacing w:after="0"/>
              <w:rPr>
                <w:sz w:val="2"/>
                <w:szCs w:val="2"/>
                <w:color w:val="auto"/>
              </w:rPr>
            </w:pPr>
          </w:p>
        </w:tc>
        <w:tc>
          <w:tcPr>
            <w:tcW w:w="980" w:type="dxa"/>
            <w:vAlign w:val="bottom"/>
            <w:tcBorders>
              <w:bottom w:val="single" w:sz="8" w:color="DADAE7"/>
            </w:tcBorders>
          </w:tcPr>
          <w:p>
            <w:pPr>
              <w:spacing w:after="0"/>
              <w:rPr>
                <w:sz w:val="2"/>
                <w:szCs w:val="2"/>
                <w:color w:val="auto"/>
              </w:rPr>
            </w:pPr>
          </w:p>
        </w:tc>
      </w:tr>
      <w:tr>
        <w:trPr>
          <w:trHeight w:val="203"/>
        </w:trPr>
        <w:tc>
          <w:tcPr>
            <w:tcW w:w="4420" w:type="dxa"/>
            <w:vAlign w:val="bottom"/>
          </w:tcPr>
          <w:p>
            <w:pPr>
              <w:ind w:left="20"/>
              <w:spacing w:after="0"/>
              <w:rPr>
                <w:sz w:val="20"/>
                <w:szCs w:val="20"/>
                <w:color w:val="auto"/>
              </w:rPr>
            </w:pPr>
            <w:r>
              <w:rPr>
                <w:rFonts w:ascii="Arial" w:cs="Arial" w:eastAsia="Arial" w:hAnsi="Arial"/>
                <w:sz w:val="15"/>
                <w:szCs w:val="15"/>
                <w:color w:val="auto"/>
              </w:rPr>
              <w:t>Short securities</w:t>
            </w:r>
          </w:p>
        </w:tc>
        <w:tc>
          <w:tcPr>
            <w:tcW w:w="2880" w:type="dxa"/>
            <w:vAlign w:val="bottom"/>
          </w:tcPr>
          <w:p>
            <w:pPr>
              <w:jc w:val="right"/>
              <w:spacing w:after="0"/>
              <w:rPr>
                <w:sz w:val="20"/>
                <w:szCs w:val="20"/>
                <w:color w:val="auto"/>
              </w:rPr>
            </w:pPr>
            <w:r>
              <w:rPr>
                <w:rFonts w:ascii="Arial" w:cs="Arial" w:eastAsia="Arial" w:hAnsi="Arial"/>
                <w:sz w:val="15"/>
                <w:szCs w:val="15"/>
                <w:color w:val="auto"/>
              </w:rPr>
              <w:t>(1,644.8)</w:t>
            </w:r>
          </w:p>
        </w:tc>
        <w:tc>
          <w:tcPr>
            <w:tcW w:w="140" w:type="dxa"/>
            <w:vAlign w:val="bottom"/>
          </w:tcPr>
          <w:p>
            <w:pPr>
              <w:spacing w:after="0"/>
              <w:rPr>
                <w:sz w:val="17"/>
                <w:szCs w:val="17"/>
                <w:color w:val="auto"/>
              </w:rPr>
            </w:pPr>
          </w:p>
        </w:tc>
        <w:tc>
          <w:tcPr>
            <w:tcW w:w="1640" w:type="dxa"/>
            <w:vAlign w:val="bottom"/>
          </w:tcPr>
          <w:p>
            <w:pPr>
              <w:jc w:val="right"/>
              <w:ind w:right="424"/>
              <w:spacing w:after="0"/>
              <w:rPr>
                <w:sz w:val="20"/>
                <w:szCs w:val="20"/>
                <w:color w:val="auto"/>
              </w:rPr>
            </w:pPr>
            <w:r>
              <w:rPr>
                <w:rFonts w:ascii="Arial" w:cs="Arial" w:eastAsia="Arial" w:hAnsi="Arial"/>
                <w:sz w:val="15"/>
                <w:szCs w:val="15"/>
                <w:color w:val="auto"/>
              </w:rPr>
              <w:t>(59.8)</w:t>
            </w:r>
          </w:p>
        </w:tc>
        <w:tc>
          <w:tcPr>
            <w:tcW w:w="116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(1,704.6)</w:t>
            </w:r>
          </w:p>
        </w:tc>
      </w:tr>
      <w:tr>
        <w:trPr>
          <w:trHeight w:val="33"/>
        </w:trPr>
        <w:tc>
          <w:tcPr>
            <w:tcW w:w="4420" w:type="dxa"/>
            <w:vAlign w:val="bottom"/>
            <w:tcBorders>
              <w:bottom w:val="single" w:sz="8" w:color="DADAE7"/>
            </w:tcBorders>
          </w:tcPr>
          <w:p>
            <w:pPr>
              <w:spacing w:after="0"/>
              <w:rPr>
                <w:sz w:val="2"/>
                <w:szCs w:val="2"/>
                <w:color w:val="auto"/>
              </w:rPr>
            </w:pPr>
          </w:p>
        </w:tc>
        <w:tc>
          <w:tcPr>
            <w:tcW w:w="288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64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tcPr>
          <w:p>
            <w:pPr>
              <w:spacing w:after="0"/>
              <w:rPr>
                <w:sz w:val="2"/>
                <w:szCs w:val="2"/>
                <w:color w:val="auto"/>
              </w:rPr>
            </w:pPr>
          </w:p>
        </w:tc>
        <w:tc>
          <w:tcPr>
            <w:tcW w:w="980" w:type="dxa"/>
            <w:vAlign w:val="bottom"/>
            <w:tcBorders>
              <w:bottom w:val="single" w:sz="8" w:color="DADAE7"/>
            </w:tcBorders>
          </w:tcPr>
          <w:p>
            <w:pPr>
              <w:spacing w:after="0"/>
              <w:rPr>
                <w:sz w:val="2"/>
                <w:szCs w:val="2"/>
                <w:color w:val="auto"/>
              </w:rPr>
            </w:pPr>
          </w:p>
        </w:tc>
      </w:tr>
      <w:tr>
        <w:trPr>
          <w:trHeight w:val="203"/>
        </w:trPr>
        <w:tc>
          <w:tcPr>
            <w:tcW w:w="4420" w:type="dxa"/>
            <w:vAlign w:val="bottom"/>
          </w:tcPr>
          <w:p>
            <w:pPr>
              <w:ind w:left="20"/>
              <w:spacing w:after="0"/>
              <w:rPr>
                <w:sz w:val="20"/>
                <w:szCs w:val="20"/>
                <w:color w:val="auto"/>
              </w:rPr>
            </w:pPr>
            <w:r>
              <w:rPr>
                <w:rFonts w:ascii="Arial" w:cs="Arial" w:eastAsia="Arial" w:hAnsi="Arial"/>
                <w:sz w:val="15"/>
                <w:szCs w:val="15"/>
                <w:color w:val="auto"/>
              </w:rPr>
              <w:t>Debt securities</w:t>
            </w:r>
          </w:p>
        </w:tc>
        <w:tc>
          <w:tcPr>
            <w:tcW w:w="3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424"/>
              <w:spacing w:after="0"/>
              <w:rPr>
                <w:sz w:val="20"/>
                <w:szCs w:val="20"/>
                <w:color w:val="auto"/>
              </w:rPr>
            </w:pPr>
            <w:r>
              <w:rPr>
                <w:rFonts w:ascii="Arial" w:cs="Arial" w:eastAsia="Arial" w:hAnsi="Arial"/>
                <w:sz w:val="15"/>
                <w:szCs w:val="15"/>
                <w:color w:val="auto"/>
              </w:rPr>
              <w:t>(2,668.9)</w:t>
            </w:r>
          </w:p>
        </w:tc>
        <w:tc>
          <w:tcPr>
            <w:tcW w:w="1160" w:type="dxa"/>
            <w:vAlign w:val="bottom"/>
          </w:tcPr>
          <w:p>
            <w:pPr>
              <w:jc w:val="right"/>
              <w:ind w:right="264"/>
              <w:spacing w:after="0"/>
              <w:rPr>
                <w:sz w:val="20"/>
                <w:szCs w:val="20"/>
                <w:color w:val="auto"/>
              </w:rPr>
            </w:pPr>
            <w:r>
              <w:rPr>
                <w:rFonts w:ascii="Arial" w:cs="Arial" w:eastAsia="Arial" w:hAnsi="Arial"/>
                <w:sz w:val="15"/>
                <w:szCs w:val="15"/>
                <w:color w:val="auto"/>
              </w:rPr>
              <w:t>(5.7)</w:t>
            </w:r>
          </w:p>
        </w:tc>
        <w:tc>
          <w:tcPr>
            <w:tcW w:w="980" w:type="dxa"/>
            <w:vAlign w:val="bottom"/>
          </w:tcPr>
          <w:p>
            <w:pPr>
              <w:jc w:val="right"/>
              <w:spacing w:after="0"/>
              <w:rPr>
                <w:sz w:val="20"/>
                <w:szCs w:val="20"/>
                <w:color w:val="auto"/>
              </w:rPr>
            </w:pPr>
            <w:r>
              <w:rPr>
                <w:rFonts w:ascii="Arial" w:cs="Arial" w:eastAsia="Arial" w:hAnsi="Arial"/>
                <w:sz w:val="15"/>
                <w:szCs w:val="15"/>
                <w:color w:val="auto"/>
              </w:rPr>
              <w:t>(2,674.6)</w:t>
            </w:r>
          </w:p>
        </w:tc>
      </w:tr>
      <w:tr>
        <w:trPr>
          <w:trHeight w:val="33"/>
        </w:trPr>
        <w:tc>
          <w:tcPr>
            <w:tcW w:w="4420" w:type="dxa"/>
            <w:vAlign w:val="bottom"/>
            <w:tcBorders>
              <w:bottom w:val="single" w:sz="8" w:color="DADAE7"/>
            </w:tcBorders>
          </w:tcPr>
          <w:p>
            <w:pPr>
              <w:spacing w:after="0"/>
              <w:rPr>
                <w:sz w:val="2"/>
                <w:szCs w:val="2"/>
                <w:color w:val="auto"/>
              </w:rPr>
            </w:pPr>
          </w:p>
        </w:tc>
        <w:tc>
          <w:tcPr>
            <w:tcW w:w="288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64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tcPr>
          <w:p>
            <w:pPr>
              <w:spacing w:after="0"/>
              <w:rPr>
                <w:sz w:val="2"/>
                <w:szCs w:val="2"/>
                <w:color w:val="auto"/>
              </w:rPr>
            </w:pPr>
          </w:p>
        </w:tc>
        <w:tc>
          <w:tcPr>
            <w:tcW w:w="980" w:type="dxa"/>
            <w:vAlign w:val="bottom"/>
            <w:tcBorders>
              <w:bottom w:val="single" w:sz="8" w:color="DADAE7"/>
            </w:tcBorders>
          </w:tcPr>
          <w:p>
            <w:pPr>
              <w:spacing w:after="0"/>
              <w:rPr>
                <w:sz w:val="2"/>
                <w:szCs w:val="2"/>
                <w:color w:val="auto"/>
              </w:rPr>
            </w:pPr>
          </w:p>
        </w:tc>
      </w:tr>
      <w:tr>
        <w:trPr>
          <w:trHeight w:val="203"/>
        </w:trPr>
        <w:tc>
          <w:tcPr>
            <w:tcW w:w="4420" w:type="dxa"/>
            <w:vAlign w:val="bottom"/>
          </w:tcPr>
          <w:p>
            <w:pPr>
              <w:ind w:left="20"/>
              <w:spacing w:after="0"/>
              <w:rPr>
                <w:sz w:val="20"/>
                <w:szCs w:val="20"/>
                <w:color w:val="auto"/>
              </w:rPr>
            </w:pPr>
            <w:r>
              <w:rPr>
                <w:rFonts w:ascii="Arial" w:cs="Arial" w:eastAsia="Arial" w:hAnsi="Arial"/>
                <w:sz w:val="15"/>
                <w:szCs w:val="15"/>
                <w:color w:val="auto"/>
              </w:rPr>
              <w:t>Stock lending</w:t>
            </w:r>
          </w:p>
        </w:tc>
        <w:tc>
          <w:tcPr>
            <w:tcW w:w="2880" w:type="dxa"/>
            <w:vAlign w:val="bottom"/>
          </w:tcPr>
          <w:p>
            <w:pPr>
              <w:jc w:val="right"/>
              <w:spacing w:after="0"/>
              <w:rPr>
                <w:sz w:val="20"/>
                <w:szCs w:val="20"/>
                <w:color w:val="auto"/>
              </w:rPr>
            </w:pPr>
            <w:r>
              <w:rPr>
                <w:rFonts w:ascii="Arial" w:cs="Arial" w:eastAsia="Arial" w:hAnsi="Arial"/>
                <w:sz w:val="15"/>
                <w:szCs w:val="15"/>
                <w:color w:val="auto"/>
              </w:rPr>
              <w:t>(3,480.9)</w:t>
            </w:r>
          </w:p>
        </w:tc>
        <w:tc>
          <w:tcPr>
            <w:tcW w:w="140" w:type="dxa"/>
            <w:vAlign w:val="bottom"/>
          </w:tcPr>
          <w:p>
            <w:pPr>
              <w:spacing w:after="0"/>
              <w:rPr>
                <w:sz w:val="17"/>
                <w:szCs w:val="17"/>
                <w:color w:val="auto"/>
              </w:rPr>
            </w:pPr>
          </w:p>
        </w:tc>
        <w:tc>
          <w:tcPr>
            <w:tcW w:w="1640" w:type="dxa"/>
            <w:vAlign w:val="bottom"/>
          </w:tcPr>
          <w:p>
            <w:pPr>
              <w:jc w:val="right"/>
              <w:ind w:right="46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(3,480.9)</w:t>
            </w:r>
          </w:p>
        </w:tc>
      </w:tr>
      <w:tr>
        <w:trPr>
          <w:trHeight w:val="33"/>
        </w:trPr>
        <w:tc>
          <w:tcPr>
            <w:tcW w:w="4420" w:type="dxa"/>
            <w:vAlign w:val="bottom"/>
            <w:tcBorders>
              <w:bottom w:val="single" w:sz="8" w:color="DADAE7"/>
            </w:tcBorders>
          </w:tcPr>
          <w:p>
            <w:pPr>
              <w:spacing w:after="0"/>
              <w:rPr>
                <w:sz w:val="2"/>
                <w:szCs w:val="2"/>
                <w:color w:val="auto"/>
              </w:rPr>
            </w:pPr>
          </w:p>
        </w:tc>
        <w:tc>
          <w:tcPr>
            <w:tcW w:w="2880" w:type="dxa"/>
            <w:vAlign w:val="bottom"/>
            <w:tcBorders>
              <w:bottom w:val="single" w:sz="8" w:color="DADAE7"/>
            </w:tcBorders>
          </w:tcPr>
          <w:p>
            <w:pPr>
              <w:spacing w:after="0"/>
              <w:rPr>
                <w:sz w:val="2"/>
                <w:szCs w:val="2"/>
                <w:color w:val="auto"/>
              </w:rPr>
            </w:pPr>
          </w:p>
        </w:tc>
        <w:tc>
          <w:tcPr>
            <w:tcW w:w="140" w:type="dxa"/>
            <w:vAlign w:val="bottom"/>
            <w:tcBorders>
              <w:bottom w:val="single" w:sz="8" w:color="DADAE7"/>
            </w:tcBorders>
          </w:tcPr>
          <w:p>
            <w:pPr>
              <w:spacing w:after="0"/>
              <w:rPr>
                <w:sz w:val="2"/>
                <w:szCs w:val="2"/>
                <w:color w:val="auto"/>
              </w:rPr>
            </w:pPr>
          </w:p>
        </w:tc>
        <w:tc>
          <w:tcPr>
            <w:tcW w:w="1640" w:type="dxa"/>
            <w:vAlign w:val="bottom"/>
            <w:tcBorders>
              <w:bottom w:val="single" w:sz="8" w:color="DADAE7"/>
            </w:tcBorders>
          </w:tcPr>
          <w:p>
            <w:pPr>
              <w:spacing w:after="0"/>
              <w:rPr>
                <w:sz w:val="2"/>
                <w:szCs w:val="2"/>
                <w:color w:val="auto"/>
              </w:rPr>
            </w:pPr>
          </w:p>
        </w:tc>
        <w:tc>
          <w:tcPr>
            <w:tcW w:w="1160" w:type="dxa"/>
            <w:vAlign w:val="bottom"/>
            <w:tcBorders>
              <w:bottom w:val="single" w:sz="8" w:color="DADAE7"/>
            </w:tcBorders>
          </w:tcPr>
          <w:p>
            <w:pPr>
              <w:spacing w:after="0"/>
              <w:rPr>
                <w:sz w:val="2"/>
                <w:szCs w:val="2"/>
                <w:color w:val="auto"/>
              </w:rPr>
            </w:pPr>
          </w:p>
        </w:tc>
        <w:tc>
          <w:tcPr>
            <w:tcW w:w="980" w:type="dxa"/>
            <w:vAlign w:val="bottom"/>
            <w:tcBorders>
              <w:bottom w:val="single" w:sz="8" w:color="DADAE7"/>
            </w:tcBorders>
          </w:tcPr>
          <w:p>
            <w:pPr>
              <w:spacing w:after="0"/>
              <w:rPr>
                <w:sz w:val="2"/>
                <w:szCs w:val="2"/>
                <w:color w:val="auto"/>
              </w:rPr>
            </w:pPr>
          </w:p>
        </w:tc>
      </w:tr>
      <w:tr>
        <w:trPr>
          <w:trHeight w:val="204"/>
        </w:trPr>
        <w:tc>
          <w:tcPr>
            <w:tcW w:w="4420" w:type="dxa"/>
            <w:vAlign w:val="bottom"/>
          </w:tcPr>
          <w:p>
            <w:pPr>
              <w:ind w:left="20"/>
              <w:spacing w:after="0"/>
              <w:rPr>
                <w:sz w:val="20"/>
                <w:szCs w:val="20"/>
                <w:color w:val="auto"/>
              </w:rPr>
            </w:pPr>
            <w:r>
              <w:rPr>
                <w:rFonts w:ascii="Arial" w:cs="Arial" w:eastAsia="Arial" w:hAnsi="Arial"/>
                <w:sz w:val="15"/>
                <w:szCs w:val="15"/>
                <w:color w:val="auto"/>
              </w:rPr>
              <w:t>Repurchase agreements</w:t>
            </w:r>
          </w:p>
        </w:tc>
        <w:tc>
          <w:tcPr>
            <w:tcW w:w="3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424"/>
              <w:spacing w:after="0"/>
              <w:rPr>
                <w:sz w:val="20"/>
                <w:szCs w:val="20"/>
                <w:color w:val="auto"/>
              </w:rPr>
            </w:pPr>
            <w:r>
              <w:rPr>
                <w:rFonts w:ascii="Arial" w:cs="Arial" w:eastAsia="Arial" w:hAnsi="Arial"/>
                <w:sz w:val="15"/>
                <w:szCs w:val="15"/>
                <w:color w:val="auto"/>
              </w:rPr>
              <w:t>(2,305.8)</w:t>
            </w:r>
          </w:p>
        </w:tc>
        <w:tc>
          <w:tcPr>
            <w:tcW w:w="116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(2,305.8)</w:t>
            </w:r>
          </w:p>
        </w:tc>
      </w:tr>
      <w:tr>
        <w:trPr>
          <w:trHeight w:val="33"/>
        </w:trPr>
        <w:tc>
          <w:tcPr>
            <w:tcW w:w="4420" w:type="dxa"/>
            <w:vAlign w:val="bottom"/>
            <w:tcBorders>
              <w:bottom w:val="single" w:sz="8" w:color="793690"/>
            </w:tcBorders>
          </w:tcPr>
          <w:p>
            <w:pPr>
              <w:spacing w:after="0"/>
              <w:rPr>
                <w:sz w:val="2"/>
                <w:szCs w:val="2"/>
                <w:color w:val="auto"/>
              </w:rPr>
            </w:pPr>
          </w:p>
        </w:tc>
        <w:tc>
          <w:tcPr>
            <w:tcW w:w="2880" w:type="dxa"/>
            <w:vAlign w:val="bottom"/>
            <w:tcBorders>
              <w:bottom w:val="single" w:sz="8" w:color="793690"/>
            </w:tcBorders>
          </w:tcPr>
          <w:p>
            <w:pPr>
              <w:spacing w:after="0"/>
              <w:rPr>
                <w:sz w:val="2"/>
                <w:szCs w:val="2"/>
                <w:color w:val="auto"/>
              </w:rPr>
            </w:pPr>
          </w:p>
        </w:tc>
        <w:tc>
          <w:tcPr>
            <w:tcW w:w="140" w:type="dxa"/>
            <w:vAlign w:val="bottom"/>
            <w:tcBorders>
              <w:bottom w:val="single" w:sz="8" w:color="793690"/>
            </w:tcBorders>
          </w:tcPr>
          <w:p>
            <w:pPr>
              <w:spacing w:after="0"/>
              <w:rPr>
                <w:sz w:val="2"/>
                <w:szCs w:val="2"/>
                <w:color w:val="auto"/>
              </w:rPr>
            </w:pPr>
          </w:p>
        </w:tc>
        <w:tc>
          <w:tcPr>
            <w:tcW w:w="1640" w:type="dxa"/>
            <w:vAlign w:val="bottom"/>
            <w:tcBorders>
              <w:bottom w:val="single" w:sz="8" w:color="793690"/>
            </w:tcBorders>
          </w:tcPr>
          <w:p>
            <w:pPr>
              <w:spacing w:after="0"/>
              <w:rPr>
                <w:sz w:val="2"/>
                <w:szCs w:val="2"/>
                <w:color w:val="auto"/>
              </w:rPr>
            </w:pPr>
          </w:p>
        </w:tc>
        <w:tc>
          <w:tcPr>
            <w:tcW w:w="1160" w:type="dxa"/>
            <w:vAlign w:val="bottom"/>
            <w:tcBorders>
              <w:bottom w:val="single" w:sz="8" w:color="793690"/>
            </w:tcBorders>
          </w:tcPr>
          <w:p>
            <w:pPr>
              <w:spacing w:after="0"/>
              <w:rPr>
                <w:sz w:val="2"/>
                <w:szCs w:val="2"/>
                <w:color w:val="auto"/>
              </w:rPr>
            </w:pPr>
          </w:p>
        </w:tc>
        <w:tc>
          <w:tcPr>
            <w:tcW w:w="980" w:type="dxa"/>
            <w:vAlign w:val="bottom"/>
            <w:tcBorders>
              <w:bottom w:val="single" w:sz="8" w:color="793690"/>
            </w:tcBorders>
          </w:tcPr>
          <w:p>
            <w:pPr>
              <w:spacing w:after="0"/>
              <w:rPr>
                <w:sz w:val="2"/>
                <w:szCs w:val="2"/>
                <w:color w:val="auto"/>
              </w:rPr>
            </w:pPr>
          </w:p>
        </w:tc>
      </w:tr>
      <w:tr>
        <w:trPr>
          <w:trHeight w:val="203"/>
        </w:trPr>
        <w:tc>
          <w:tcPr>
            <w:tcW w:w="4420" w:type="dxa"/>
            <w:vAlign w:val="bottom"/>
          </w:tcPr>
          <w:p>
            <w:pPr>
              <w:spacing w:after="0"/>
              <w:rPr>
                <w:sz w:val="17"/>
                <w:szCs w:val="17"/>
                <w:color w:val="auto"/>
              </w:rPr>
            </w:pPr>
          </w:p>
        </w:tc>
        <w:tc>
          <w:tcPr>
            <w:tcW w:w="2880" w:type="dxa"/>
            <w:vAlign w:val="bottom"/>
          </w:tcPr>
          <w:p>
            <w:pPr>
              <w:jc w:val="right"/>
              <w:ind w:right="4"/>
              <w:spacing w:after="0"/>
              <w:rPr>
                <w:sz w:val="20"/>
                <w:szCs w:val="20"/>
                <w:color w:val="auto"/>
              </w:rPr>
            </w:pPr>
            <w:r>
              <w:rPr>
                <w:rFonts w:ascii="Arial" w:cs="Arial" w:eastAsia="Arial" w:hAnsi="Arial"/>
                <w:sz w:val="15"/>
                <w:szCs w:val="15"/>
                <w:color w:val="auto"/>
              </w:rPr>
              <w:t>1,217.1</w:t>
            </w:r>
          </w:p>
        </w:tc>
        <w:tc>
          <w:tcPr>
            <w:tcW w:w="140" w:type="dxa"/>
            <w:vAlign w:val="bottom"/>
          </w:tcPr>
          <w:p>
            <w:pPr>
              <w:spacing w:after="0"/>
              <w:rPr>
                <w:sz w:val="17"/>
                <w:szCs w:val="17"/>
                <w:color w:val="auto"/>
              </w:rPr>
            </w:pPr>
          </w:p>
        </w:tc>
        <w:tc>
          <w:tcPr>
            <w:tcW w:w="1640" w:type="dxa"/>
            <w:vAlign w:val="bottom"/>
          </w:tcPr>
          <w:p>
            <w:pPr>
              <w:jc w:val="right"/>
              <w:ind w:right="424"/>
              <w:spacing w:after="0"/>
              <w:rPr>
                <w:sz w:val="20"/>
                <w:szCs w:val="20"/>
                <w:color w:val="auto"/>
              </w:rPr>
            </w:pPr>
            <w:r>
              <w:rPr>
                <w:rFonts w:ascii="Arial" w:cs="Arial" w:eastAsia="Arial" w:hAnsi="Arial"/>
                <w:sz w:val="15"/>
                <w:szCs w:val="15"/>
                <w:color w:val="auto"/>
              </w:rPr>
              <w:t>(1,791.6)</w:t>
            </w:r>
          </w:p>
        </w:tc>
        <w:tc>
          <w:tcPr>
            <w:tcW w:w="116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(574.5)</w:t>
            </w:r>
          </w:p>
        </w:tc>
      </w:tr>
      <w:tr>
        <w:trPr>
          <w:trHeight w:val="33"/>
        </w:trPr>
        <w:tc>
          <w:tcPr>
            <w:tcW w:w="4420" w:type="dxa"/>
            <w:vAlign w:val="bottom"/>
            <w:tcBorders>
              <w:bottom w:val="single" w:sz="8" w:color="793690"/>
            </w:tcBorders>
          </w:tcPr>
          <w:p>
            <w:pPr>
              <w:spacing w:after="0"/>
              <w:rPr>
                <w:sz w:val="2"/>
                <w:szCs w:val="2"/>
                <w:color w:val="auto"/>
              </w:rPr>
            </w:pPr>
          </w:p>
        </w:tc>
        <w:tc>
          <w:tcPr>
            <w:tcW w:w="2880" w:type="dxa"/>
            <w:vAlign w:val="bottom"/>
            <w:tcBorders>
              <w:bottom w:val="single" w:sz="8" w:color="793690"/>
            </w:tcBorders>
          </w:tcPr>
          <w:p>
            <w:pPr>
              <w:spacing w:after="0"/>
              <w:rPr>
                <w:sz w:val="2"/>
                <w:szCs w:val="2"/>
                <w:color w:val="auto"/>
              </w:rPr>
            </w:pPr>
          </w:p>
        </w:tc>
        <w:tc>
          <w:tcPr>
            <w:tcW w:w="140" w:type="dxa"/>
            <w:vAlign w:val="bottom"/>
            <w:tcBorders>
              <w:bottom w:val="single" w:sz="8" w:color="793690"/>
            </w:tcBorders>
          </w:tcPr>
          <w:p>
            <w:pPr>
              <w:spacing w:after="0"/>
              <w:rPr>
                <w:sz w:val="2"/>
                <w:szCs w:val="2"/>
                <w:color w:val="auto"/>
              </w:rPr>
            </w:pPr>
          </w:p>
        </w:tc>
        <w:tc>
          <w:tcPr>
            <w:tcW w:w="1640" w:type="dxa"/>
            <w:vAlign w:val="bottom"/>
            <w:tcBorders>
              <w:bottom w:val="single" w:sz="8" w:color="793690"/>
            </w:tcBorders>
          </w:tcPr>
          <w:p>
            <w:pPr>
              <w:spacing w:after="0"/>
              <w:rPr>
                <w:sz w:val="2"/>
                <w:szCs w:val="2"/>
                <w:color w:val="auto"/>
              </w:rPr>
            </w:pPr>
          </w:p>
        </w:tc>
        <w:tc>
          <w:tcPr>
            <w:tcW w:w="1160" w:type="dxa"/>
            <w:vAlign w:val="bottom"/>
            <w:tcBorders>
              <w:bottom w:val="single" w:sz="8" w:color="793690"/>
            </w:tcBorders>
          </w:tcPr>
          <w:p>
            <w:pPr>
              <w:spacing w:after="0"/>
              <w:rPr>
                <w:sz w:val="2"/>
                <w:szCs w:val="2"/>
                <w:color w:val="auto"/>
              </w:rPr>
            </w:pPr>
          </w:p>
        </w:tc>
        <w:tc>
          <w:tcPr>
            <w:tcW w:w="980" w:type="dxa"/>
            <w:vAlign w:val="bottom"/>
            <w:tcBorders>
              <w:bottom w:val="single" w:sz="8" w:color="793690"/>
            </w:tcBorders>
          </w:tcPr>
          <w:p>
            <w:pPr>
              <w:spacing w:after="0"/>
              <w:rPr>
                <w:sz w:val="2"/>
                <w:szCs w:val="2"/>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auto"/>
        </w:rPr>
        <w:t>There were no material asset and liability transfers between any fair value hierarchy levels during the period (31 December 2024: no transfers).</w:t>
      </w:r>
    </w:p>
    <w:p>
      <w:pPr>
        <w:spacing w:after="0" w:line="111" w:lineRule="exact"/>
        <w:rPr>
          <w:sz w:val="20"/>
          <w:szCs w:val="20"/>
          <w:color w:val="auto"/>
        </w:rPr>
      </w:pPr>
    </w:p>
    <w:p>
      <w:pPr>
        <w:ind w:right="140"/>
        <w:spacing w:after="0" w:line="263" w:lineRule="auto"/>
        <w:rPr>
          <w:sz w:val="20"/>
          <w:szCs w:val="20"/>
          <w:color w:val="auto"/>
        </w:rPr>
      </w:pPr>
      <w:r>
        <w:rPr>
          <w:rFonts w:ascii="Arial" w:cs="Arial" w:eastAsia="Arial" w:hAnsi="Arial"/>
          <w:sz w:val="15"/>
          <w:szCs w:val="15"/>
          <w:color w:val="auto"/>
        </w:rPr>
        <w:t>The Group’s management believes, based on the valuation approach used for the calculation of fair values and the related controls, that the Level 3 fair values are appropriate. The impact of reasonably possible alternative assumptions from the unobservable input parameters shows no significant impact on the Group’s profit, comprehensive income or shareholders’ equity. The Group deems the total amount of Level 3 financial assets and liabilities to be immaterial and therefore any sensitivities calculated on these balances are also deemed to be immaterial. The Group defers day 1 gains/losses when the initial fair value of a financial instrument held at fair value through profit and loss relies on unobservable inputs. At 30 June 2025, the Group held a deferred day 1 gains/losses balance of $1.5m (31 December 2024 $5.3m).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26</w:t>
      </w:r>
    </w:p>
    <w:p>
      <w:pPr>
        <w:sectPr>
          <w:pgSz w:w="11900" w:h="16838" w:orient="portrait"/>
          <w:cols w:equalWidth="0" w:num="1">
            <w:col w:w="11220"/>
          </w:cols>
          <w:pgMar w:left="320" w:top="1353" w:right="359" w:bottom="1440" w:gutter="0" w:footer="0" w:header="0"/>
          <w:type w:val="continuous"/>
        </w:sectPr>
      </w:pPr>
    </w:p>
    <w:bookmarkStart w:id="48" w:name="page49"/>
    <w:bookmarkEnd w:id="48"/>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793690"/>
        </w:rPr>
        <w:t xml:space="preserve">Notes to the Unaudited Condensed Consolidated Financial Statements </w:t>
      </w:r>
      <w:r>
        <w:rPr>
          <w:rFonts w:ascii="Arial" w:cs="Arial" w:eastAsia="Arial" w:hAnsi="Arial"/>
          <w:sz w:val="22"/>
          <w:szCs w:val="22"/>
          <w:color w:val="793690"/>
        </w:rPr>
        <w:t>(continued)</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793690"/>
        </w:rPr>
        <w:t xml:space="preserve">13 Financial Instruments </w:t>
      </w:r>
      <w:r>
        <w:rPr>
          <w:rFonts w:ascii="Arial" w:cs="Arial" w:eastAsia="Arial" w:hAnsi="Arial"/>
          <w:sz w:val="18"/>
          <w:szCs w:val="18"/>
          <w:color w:val="793690"/>
        </w:rPr>
        <w:t>(continued)</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 Debt securities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6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31 December 2024</w:t>
            </w:r>
          </w:p>
        </w:tc>
      </w:tr>
      <w:tr>
        <w:trPr>
          <w:trHeight w:val="367"/>
        </w:trPr>
        <w:tc>
          <w:tcPr>
            <w:tcW w:w="7860" w:type="dxa"/>
            <w:vAlign w:val="bottom"/>
          </w:tcPr>
          <w:p>
            <w:pPr>
              <w:spacing w:after="0"/>
              <w:rPr>
                <w:sz w:val="24"/>
                <w:szCs w:val="24"/>
                <w:color w:val="auto"/>
              </w:rPr>
            </w:pPr>
          </w:p>
        </w:tc>
        <w:tc>
          <w:tcPr>
            <w:tcW w:w="16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$m</w:t>
            </w:r>
          </w:p>
        </w:tc>
      </w:tr>
      <w:tr>
        <w:trPr>
          <w:trHeight w:val="237"/>
        </w:trPr>
        <w:tc>
          <w:tcPr>
            <w:tcW w:w="786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Financial Products Program</w:t>
            </w:r>
          </w:p>
        </w:tc>
        <w:tc>
          <w:tcPr>
            <w:tcW w:w="1620" w:type="dxa"/>
            <w:vAlign w:val="bottom"/>
            <w:tcBorders>
              <w:top w:val="single" w:sz="8" w:color="793690"/>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3,763.6</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2,667.4</w:t>
            </w: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Tier 2 Program</w:t>
            </w:r>
          </w:p>
        </w:tc>
        <w:tc>
          <w:tcPr>
            <w:tcW w:w="1620" w:type="dxa"/>
            <w:vAlign w:val="bottom"/>
            <w:tcBorders>
              <w:top w:val="single" w:sz="8" w:color="DADAE7"/>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8.5</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7.2</w:t>
            </w: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EMTN Program</w:t>
            </w:r>
          </w:p>
        </w:tc>
        <w:tc>
          <w:tcPr>
            <w:tcW w:w="1620" w:type="dxa"/>
            <w:vAlign w:val="bottom"/>
            <w:tcBorders>
              <w:top w:val="single" w:sz="8" w:color="DADAE7"/>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372.4</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333.4</w:t>
            </w:r>
          </w:p>
        </w:tc>
      </w:tr>
      <w:tr>
        <w:trPr>
          <w:trHeight w:val="236"/>
        </w:trPr>
        <w:tc>
          <w:tcPr>
            <w:tcW w:w="7860" w:type="dxa"/>
            <w:vAlign w:val="bottom"/>
            <w:tcBorders>
              <w:top w:val="single" w:sz="8" w:color="E5E5EE"/>
            </w:tcBorders>
          </w:tcPr>
          <w:p>
            <w:pPr>
              <w:ind w:left="20"/>
              <w:spacing w:after="0"/>
              <w:rPr>
                <w:sz w:val="20"/>
                <w:szCs w:val="20"/>
                <w:color w:val="auto"/>
              </w:rPr>
            </w:pPr>
            <w:r>
              <w:rPr>
                <w:rFonts w:ascii="Arial" w:cs="Arial" w:eastAsia="Arial" w:hAnsi="Arial"/>
                <w:sz w:val="15"/>
                <w:szCs w:val="15"/>
                <w:color w:val="auto"/>
              </w:rPr>
              <w:t>Senior Note Program</w:t>
            </w:r>
          </w:p>
        </w:tc>
        <w:tc>
          <w:tcPr>
            <w:tcW w:w="1620" w:type="dxa"/>
            <w:vAlign w:val="bottom"/>
            <w:tcBorders>
              <w:top w:val="single" w:sz="8" w:color="E5E5EE"/>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1,113.3</w:t>
            </w:r>
          </w:p>
        </w:tc>
        <w:tc>
          <w:tcPr>
            <w:tcW w:w="1740" w:type="dxa"/>
            <w:vAlign w:val="bottom"/>
            <w:tcBorders>
              <w:top w:val="single" w:sz="8" w:color="E5E5EE"/>
            </w:tcBorders>
          </w:tcPr>
          <w:p>
            <w:pPr>
              <w:jc w:val="right"/>
              <w:spacing w:after="0"/>
              <w:rPr>
                <w:sz w:val="20"/>
                <w:szCs w:val="20"/>
                <w:color w:val="auto"/>
              </w:rPr>
            </w:pPr>
            <w:r>
              <w:rPr>
                <w:rFonts w:ascii="Arial" w:cs="Arial" w:eastAsia="Arial" w:hAnsi="Arial"/>
                <w:sz w:val="15"/>
                <w:szCs w:val="15"/>
                <w:color w:val="auto"/>
              </w:rPr>
              <w:t>596.5</w:t>
            </w:r>
          </w:p>
        </w:tc>
      </w:tr>
      <w:tr>
        <w:trPr>
          <w:trHeight w:val="325"/>
        </w:trPr>
        <w:tc>
          <w:tcPr>
            <w:tcW w:w="7860" w:type="dxa"/>
            <w:vAlign w:val="bottom"/>
            <w:tcBorders>
              <w:top w:val="single" w:sz="8" w:color="E5E5EE"/>
            </w:tcBorders>
          </w:tcPr>
          <w:p>
            <w:pPr>
              <w:spacing w:after="0"/>
              <w:rPr>
                <w:sz w:val="24"/>
                <w:szCs w:val="24"/>
                <w:color w:val="auto"/>
              </w:rPr>
            </w:pPr>
          </w:p>
        </w:tc>
        <w:tc>
          <w:tcPr>
            <w:tcW w:w="1620" w:type="dxa"/>
            <w:vAlign w:val="bottom"/>
            <w:tcBorders>
              <w:top w:val="single" w:sz="8" w:color="E5E5EE"/>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5,257.8</w:t>
            </w:r>
          </w:p>
        </w:tc>
        <w:tc>
          <w:tcPr>
            <w:tcW w:w="1740" w:type="dxa"/>
            <w:vAlign w:val="bottom"/>
            <w:tcBorders>
              <w:top w:val="single" w:sz="8" w:color="E5E5EE"/>
            </w:tcBorders>
          </w:tcPr>
          <w:p>
            <w:pPr>
              <w:jc w:val="right"/>
              <w:spacing w:after="0"/>
              <w:rPr>
                <w:sz w:val="20"/>
                <w:szCs w:val="20"/>
                <w:color w:val="auto"/>
              </w:rPr>
            </w:pPr>
            <w:r>
              <w:rPr>
                <w:rFonts w:ascii="Arial" w:cs="Arial" w:eastAsia="Arial" w:hAnsi="Arial"/>
                <w:sz w:val="15"/>
                <w:szCs w:val="15"/>
                <w:color w:val="auto"/>
              </w:rPr>
              <w:t>3,604.5</w:t>
            </w:r>
          </w:p>
        </w:tc>
      </w:tr>
      <w:tr>
        <w:trPr>
          <w:trHeight w:val="20"/>
        </w:trPr>
        <w:tc>
          <w:tcPr>
            <w:tcW w:w="7860" w:type="dxa"/>
            <w:vAlign w:val="bottom"/>
            <w:shd w:val="clear" w:color="auto" w:fill="793690"/>
          </w:tcPr>
          <w:p>
            <w:pPr>
              <w:spacing w:after="0" w:line="20" w:lineRule="exact"/>
              <w:rPr>
                <w:sz w:val="1"/>
                <w:szCs w:val="1"/>
                <w:color w:val="auto"/>
              </w:rPr>
            </w:pPr>
          </w:p>
        </w:tc>
        <w:tc>
          <w:tcPr>
            <w:tcW w:w="1620" w:type="dxa"/>
            <w:vAlign w:val="bottom"/>
            <w:shd w:val="clear" w:color="auto" w:fill="793690"/>
          </w:tcPr>
          <w:p>
            <w:pPr>
              <w:spacing w:after="0" w:line="20" w:lineRule="exact"/>
              <w:rPr>
                <w:sz w:val="1"/>
                <w:szCs w:val="1"/>
                <w:color w:val="auto"/>
              </w:rPr>
            </w:pPr>
          </w:p>
        </w:tc>
        <w:tc>
          <w:tcPr>
            <w:tcW w:w="1740" w:type="dxa"/>
            <w:vAlign w:val="bottom"/>
            <w:shd w:val="clear" w:color="auto" w:fill="793690"/>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Senior Note Program</w:t>
      </w:r>
    </w:p>
    <w:p>
      <w:pPr>
        <w:spacing w:after="0" w:line="260"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In addition to existing senior notes the Company completed an issuance of $500.0m unsecured senior 3-year notes during May 2025 under its Senior Note Program. The notes mature on 8 May 2028 and were issued for net proceeds of $498.3m at an interest rate of 5.829%. The senior notes represent direct, senior and unsecured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obligations and rank pari passu with other senior unsecured indebtedness, and the notes of a series will rank equally and without any preference among themselves.</w:t>
      </w:r>
    </w:p>
    <w:p>
      <w:pPr>
        <w:spacing w:after="0" w:line="3" w:lineRule="exact"/>
        <w:rPr>
          <w:sz w:val="20"/>
          <w:szCs w:val="20"/>
          <w:color w:val="auto"/>
        </w:rPr>
      </w:pPr>
    </w:p>
    <w:p>
      <w:pPr>
        <w:ind w:right="100"/>
        <w:spacing w:after="0" w:line="234" w:lineRule="auto"/>
        <w:rPr>
          <w:sz w:val="20"/>
          <w:szCs w:val="20"/>
          <w:color w:val="auto"/>
        </w:rPr>
      </w:pPr>
      <w:r>
        <w:rPr>
          <w:rFonts w:ascii="Arial" w:cs="Arial" w:eastAsia="Arial" w:hAnsi="Arial"/>
          <w:sz w:val="15"/>
          <w:szCs w:val="15"/>
          <w:color w:val="auto"/>
        </w:rPr>
        <w:t>The Senior Notes program contains certain customary events of default and optional redemption, and the Company has provided certain customary undertakings, such as restricting the creation of security over the Company’s and the Company’s subsidiaries’ assets. The Senior Note Program and the Senior Notes are listed on</w:t>
      </w:r>
    </w:p>
    <w:p>
      <w:pPr>
        <w:spacing w:after="0" w:line="1" w:lineRule="exact"/>
        <w:rPr>
          <w:sz w:val="20"/>
          <w:szCs w:val="20"/>
          <w:color w:val="auto"/>
        </w:rPr>
      </w:pPr>
    </w:p>
    <w:p>
      <w:pPr>
        <w:ind w:right="100"/>
        <w:spacing w:after="0" w:line="244" w:lineRule="auto"/>
        <w:rPr>
          <w:sz w:val="20"/>
          <w:szCs w:val="20"/>
          <w:color w:val="auto"/>
        </w:rPr>
      </w:pPr>
      <w:r>
        <w:rPr>
          <w:rFonts w:ascii="Arial" w:cs="Arial" w:eastAsia="Arial" w:hAnsi="Arial"/>
          <w:sz w:val="15"/>
          <w:szCs w:val="15"/>
          <w:color w:val="auto"/>
        </w:rPr>
        <w:t>the Vienna Multilateral Trading Facility of the Vienna Stock Exchange. As at 30 June 2025, the Group had $1,113.3m of debt securities issued under the Senior Note Program with an average maturity of 44 months and an average interest rate of 6.1% (31 December 2024: $596.5m with an average maturity of 58 months and an</w:t>
      </w:r>
    </w:p>
    <w:p>
      <w:pPr>
        <w:ind w:right="200"/>
        <w:spacing w:after="0" w:line="244" w:lineRule="auto"/>
        <w:rPr>
          <w:sz w:val="20"/>
          <w:szCs w:val="20"/>
          <w:color w:val="auto"/>
        </w:rPr>
      </w:pPr>
      <w:r>
        <w:rPr>
          <w:rFonts w:ascii="Arial" w:cs="Arial" w:eastAsia="Arial" w:hAnsi="Arial"/>
          <w:sz w:val="15"/>
          <w:szCs w:val="15"/>
          <w:color w:val="auto"/>
        </w:rPr>
        <w:t>average interest rate of 6.4%). These Senior Note Program notes are designated in a fair value hedging relationship for interest rate risk as described further under section (e) below.</w:t>
      </w: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Cashflow classification</w:t>
      </w:r>
    </w:p>
    <w:p>
      <w:pPr>
        <w:spacing w:after="0" w:line="260"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Cash flows from operations includes the movement of debt securities except for debt securities issued under the Tier 2 Program and are presented within the section labelled working capital. Debt securities have been split into those that represent revenue producing activities and are part of the ongoing operations of the Group which include Financial Products Program, EMTN Program and the Senior Notes Programs. Tier 2 securities qualify as Tier 2 Capital and therefore are presented as cash flows from financing activities given the nature of the instruments are capital in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27</w:t>
      </w:r>
    </w:p>
    <w:p>
      <w:pPr>
        <w:sectPr>
          <w:pgSz w:w="11900" w:h="16838" w:orient="portrait"/>
          <w:cols w:equalWidth="0" w:num="1">
            <w:col w:w="11220"/>
          </w:cols>
          <w:pgMar w:left="320" w:top="1440" w:right="359" w:bottom="1440" w:gutter="0" w:footer="0" w:header="0"/>
        </w:sectPr>
      </w:pPr>
    </w:p>
    <w:bookmarkStart w:id="49" w:name="page50"/>
    <w:bookmarkEnd w:id="49"/>
    <w:p>
      <w:pPr>
        <w:spacing w:after="0"/>
        <w:rPr>
          <w:sz w:val="20"/>
          <w:szCs w:val="20"/>
          <w:color w:val="auto"/>
        </w:rPr>
      </w:pPr>
      <w:r>
        <w:rPr>
          <w:rFonts w:ascii="Arial" w:cs="Arial" w:eastAsia="Arial" w:hAnsi="Arial"/>
          <w:sz w:val="22"/>
          <w:szCs w:val="22"/>
          <w:b w:val="1"/>
          <w:bCs w:val="1"/>
          <w:color w:val="793690"/>
        </w:rPr>
        <w:t xml:space="preserve">Notes to the Unaudited Condensed Consolidated Financial Statements </w:t>
      </w:r>
      <w:r>
        <w:rPr>
          <w:rFonts w:ascii="Arial" w:cs="Arial" w:eastAsia="Arial" w:hAnsi="Arial"/>
          <w:sz w:val="22"/>
          <w:szCs w:val="22"/>
          <w:color w:val="793690"/>
        </w:rPr>
        <w:t>(continued)</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793690"/>
        </w:rPr>
        <w:t xml:space="preserve">13 Financial Instruments </w:t>
      </w:r>
      <w:r>
        <w:rPr>
          <w:rFonts w:ascii="Arial" w:cs="Arial" w:eastAsia="Arial" w:hAnsi="Arial"/>
          <w:sz w:val="18"/>
          <w:szCs w:val="18"/>
          <w:color w:val="793690"/>
        </w:rPr>
        <w:t>(continued)</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 Financial risk management objectives</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Fair value hedges</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As part of the Group's risk management of market risk exposures, the following new fair value hedges were entered into during the period ended 30 June 2025:</w:t>
      </w:r>
    </w:p>
    <w:p>
      <w:pPr>
        <w:spacing w:after="0" w:line="100" w:lineRule="exact"/>
        <w:rPr>
          <w:sz w:val="20"/>
          <w:szCs w:val="20"/>
          <w:color w:val="auto"/>
        </w:rPr>
      </w:pPr>
    </w:p>
    <w:p>
      <w:pPr>
        <w:ind w:left="160" w:right="40" w:hanging="152"/>
        <w:spacing w:after="0" w:line="282" w:lineRule="auto"/>
        <w:tabs>
          <w:tab w:leader="none" w:pos="155" w:val="left"/>
        </w:tabs>
        <w:numPr>
          <w:ilvl w:val="0"/>
          <w:numId w:val="35"/>
        </w:numPr>
        <w:rPr>
          <w:rFonts w:ascii="Arial" w:cs="Arial" w:eastAsia="Arial" w:hAnsi="Arial"/>
          <w:sz w:val="15"/>
          <w:szCs w:val="15"/>
          <w:color w:val="505068"/>
        </w:rPr>
      </w:pPr>
      <w:r>
        <w:rPr>
          <w:rFonts w:ascii="Arial" w:cs="Arial" w:eastAsia="Arial" w:hAnsi="Arial"/>
          <w:sz w:val="15"/>
          <w:szCs w:val="15"/>
          <w:color w:val="auto"/>
        </w:rPr>
        <w:t>As part of the senior note issuance in May 2025, the Group entered into an interest rate swap with a notional amount of $500.0m whereby the Group receives the fixed rate of 5.829% and pays the floating rate of the Secured Overnight Financing Rate ("SOFR") + 2.4187%. The risk being hedged is the exposure to changes in the fair value of the fixed-rate senior bond issuance due to fluctuations in market interest rates.</w:t>
      </w:r>
    </w:p>
    <w:p>
      <w:pPr>
        <w:spacing w:after="0" w:line="53" w:lineRule="exact"/>
        <w:rPr>
          <w:rFonts w:ascii="Arial" w:cs="Arial" w:eastAsia="Arial" w:hAnsi="Arial"/>
          <w:sz w:val="15"/>
          <w:szCs w:val="15"/>
          <w:color w:val="505068"/>
        </w:rPr>
      </w:pPr>
    </w:p>
    <w:p>
      <w:pPr>
        <w:jc w:val="both"/>
        <w:ind w:left="160" w:hanging="152"/>
        <w:spacing w:after="0" w:line="273" w:lineRule="auto"/>
        <w:tabs>
          <w:tab w:leader="none" w:pos="155" w:val="left"/>
        </w:tabs>
        <w:numPr>
          <w:ilvl w:val="0"/>
          <w:numId w:val="35"/>
        </w:numPr>
        <w:rPr>
          <w:rFonts w:ascii="Arial" w:cs="Arial" w:eastAsia="Arial" w:hAnsi="Arial"/>
          <w:sz w:val="15"/>
          <w:szCs w:val="15"/>
          <w:color w:val="505068"/>
        </w:rPr>
      </w:pPr>
      <w:r>
        <w:rPr>
          <w:rFonts w:ascii="Arial" w:cs="Arial" w:eastAsia="Arial" w:hAnsi="Arial"/>
          <w:sz w:val="15"/>
          <w:szCs w:val="15"/>
          <w:color w:val="auto"/>
        </w:rPr>
        <w:t>At 30 June 2025, the Group entered into interest rate swap agreements with respect to certain US treasury instruments acquired during the period. The swaps have a cumulative notional amount of $250.0m whereby the Group receives the floating rate of SOFR and pays the fixed rate under each contract. The risk being hedged is the exposure to changes in the fair value of the entire portion of the fixed-rate US treasury due to fluctuations in market interest rates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There is an economic relationship between the hedged items and the hedging instruments as the terms of the interest rate swap match the terms of the fixed rate loan (i.e. notional amount, maturity, payment and reset dates). The Group has established a hedge ratio of 1:1 for the hedging relationships as the underlying risk of the interest rate swap is identical to the hedged risk component. To test the hedge effectiveness, the Group uses the hypothetical derivative method and compares the changes in the fair value of the hedging instrument against the changes in the fair value of the hedged item attributable to the hedged risk.</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color w:val="auto"/>
        </w:rPr>
        <w:t>Hedge ineffectiveness can arise from:</w:t>
      </w:r>
    </w:p>
    <w:p>
      <w:pPr>
        <w:spacing w:after="0" w:line="125" w:lineRule="exact"/>
        <w:rPr>
          <w:sz w:val="20"/>
          <w:szCs w:val="20"/>
          <w:color w:val="auto"/>
        </w:rPr>
      </w:pPr>
    </w:p>
    <w:p>
      <w:pPr>
        <w:ind w:left="160" w:hanging="152"/>
        <w:spacing w:after="0"/>
        <w:tabs>
          <w:tab w:leader="none" w:pos="160" w:val="left"/>
        </w:tabs>
        <w:numPr>
          <w:ilvl w:val="0"/>
          <w:numId w:val="36"/>
        </w:numPr>
        <w:rPr>
          <w:rFonts w:ascii="Arial" w:cs="Arial" w:eastAsia="Arial" w:hAnsi="Arial"/>
          <w:sz w:val="15"/>
          <w:szCs w:val="15"/>
          <w:color w:val="505068"/>
        </w:rPr>
      </w:pPr>
      <w:r>
        <w:rPr>
          <w:rFonts w:ascii="Arial" w:cs="Arial" w:eastAsia="Arial" w:hAnsi="Arial"/>
          <w:sz w:val="15"/>
          <w:szCs w:val="15"/>
          <w:color w:val="auto"/>
        </w:rPr>
        <w:t>different interest rate curve applied to discount the hedged item and hedging instrument;</w:t>
      </w:r>
    </w:p>
    <w:p>
      <w:pPr>
        <w:spacing w:after="0" w:line="124" w:lineRule="exact"/>
        <w:rPr>
          <w:rFonts w:ascii="Arial" w:cs="Arial" w:eastAsia="Arial" w:hAnsi="Arial"/>
          <w:sz w:val="15"/>
          <w:szCs w:val="15"/>
          <w:color w:val="505068"/>
        </w:rPr>
      </w:pPr>
    </w:p>
    <w:p>
      <w:pPr>
        <w:ind w:left="160" w:hanging="152"/>
        <w:spacing w:after="0"/>
        <w:tabs>
          <w:tab w:leader="none" w:pos="160" w:val="left"/>
        </w:tabs>
        <w:numPr>
          <w:ilvl w:val="0"/>
          <w:numId w:val="36"/>
        </w:numPr>
        <w:rPr>
          <w:rFonts w:ascii="Arial" w:cs="Arial" w:eastAsia="Arial" w:hAnsi="Arial"/>
          <w:sz w:val="15"/>
          <w:szCs w:val="15"/>
          <w:color w:val="505068"/>
        </w:rPr>
      </w:pPr>
      <w:r>
        <w:rPr>
          <w:rFonts w:ascii="Arial" w:cs="Arial" w:eastAsia="Arial" w:hAnsi="Arial"/>
          <w:sz w:val="15"/>
          <w:szCs w:val="15"/>
          <w:color w:val="auto"/>
        </w:rPr>
        <w:t>differences in timing of cash flows of the hedged item and hedging instrument;</w:t>
      </w:r>
    </w:p>
    <w:p>
      <w:pPr>
        <w:spacing w:after="0" w:line="111" w:lineRule="exact"/>
        <w:rPr>
          <w:rFonts w:ascii="Arial" w:cs="Arial" w:eastAsia="Arial" w:hAnsi="Arial"/>
          <w:sz w:val="15"/>
          <w:szCs w:val="15"/>
          <w:color w:val="505068"/>
        </w:rPr>
      </w:pPr>
    </w:p>
    <w:p>
      <w:pPr>
        <w:ind w:right="2960" w:firstLine="8"/>
        <w:spacing w:after="0" w:line="434" w:lineRule="auto"/>
        <w:tabs>
          <w:tab w:leader="none" w:pos="148" w:val="left"/>
        </w:tabs>
        <w:numPr>
          <w:ilvl w:val="0"/>
          <w:numId w:val="36"/>
        </w:numPr>
        <w:rPr>
          <w:rFonts w:ascii="Arial" w:cs="Arial" w:eastAsia="Arial" w:hAnsi="Arial"/>
          <w:sz w:val="15"/>
          <w:szCs w:val="15"/>
          <w:color w:val="505068"/>
        </w:rPr>
      </w:pPr>
      <w:r>
        <w:rPr>
          <w:rFonts w:ascii="Arial" w:cs="Arial" w:eastAsia="Arial" w:hAnsi="Arial"/>
          <w:sz w:val="15"/>
          <w:szCs w:val="15"/>
          <w:color w:val="auto"/>
        </w:rPr>
        <w:t>the counterparties’ credit risk differently impacting the fair value movements of the hedging instrument and hedged item. The impact of hedge accounting on the statement of financial position as at 30 June 2025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1660" w:type="dxa"/>
            <w:vAlign w:val="bottom"/>
            <w:shd w:val="clear" w:color="auto" w:fill="F4EFF6"/>
          </w:tcPr>
          <w:p>
            <w:pPr>
              <w:spacing w:after="0"/>
              <w:rPr>
                <w:sz w:val="14"/>
                <w:szCs w:val="14"/>
                <w:color w:val="auto"/>
              </w:rPr>
            </w:pPr>
          </w:p>
        </w:tc>
        <w:tc>
          <w:tcPr>
            <w:tcW w:w="1740" w:type="dxa"/>
            <w:vAlign w:val="bottom"/>
            <w:shd w:val="clear" w:color="auto" w:fill="F4EFF6"/>
          </w:tcPr>
          <w:p>
            <w:pPr>
              <w:spacing w:after="0"/>
              <w:rPr>
                <w:sz w:val="14"/>
                <w:szCs w:val="14"/>
                <w:color w:val="auto"/>
              </w:rPr>
            </w:pPr>
          </w:p>
        </w:tc>
        <w:tc>
          <w:tcPr>
            <w:tcW w:w="2620" w:type="dxa"/>
            <w:vAlign w:val="bottom"/>
            <w:shd w:val="clear" w:color="auto" w:fill="F4EFF6"/>
          </w:tcPr>
          <w:p>
            <w:pPr>
              <w:spacing w:after="0"/>
              <w:rPr>
                <w:sz w:val="14"/>
                <w:szCs w:val="14"/>
                <w:color w:val="auto"/>
              </w:rPr>
            </w:pPr>
          </w:p>
        </w:tc>
        <w:tc>
          <w:tcPr>
            <w:tcW w:w="24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Change in fair value used for</w:t>
            </w:r>
          </w:p>
        </w:tc>
      </w:tr>
      <w:tr>
        <w:trPr>
          <w:trHeight w:val="149"/>
        </w:trPr>
        <w:tc>
          <w:tcPr>
            <w:tcW w:w="2780" w:type="dxa"/>
            <w:vAlign w:val="bottom"/>
          </w:tcPr>
          <w:p>
            <w:pPr>
              <w:spacing w:after="0"/>
              <w:rPr>
                <w:sz w:val="12"/>
                <w:szCs w:val="12"/>
                <w:color w:val="auto"/>
              </w:rPr>
            </w:pPr>
          </w:p>
        </w:tc>
        <w:tc>
          <w:tcPr>
            <w:tcW w:w="1660" w:type="dxa"/>
            <w:vAlign w:val="bottom"/>
            <w:shd w:val="clear" w:color="auto" w:fill="F4EFF6"/>
          </w:tcPr>
          <w:p>
            <w:pPr>
              <w:spacing w:after="0"/>
              <w:rPr>
                <w:sz w:val="12"/>
                <w:szCs w:val="12"/>
                <w:color w:val="auto"/>
              </w:rPr>
            </w:pPr>
          </w:p>
        </w:tc>
        <w:tc>
          <w:tcPr>
            <w:tcW w:w="1740" w:type="dxa"/>
            <w:vAlign w:val="bottom"/>
            <w:shd w:val="clear" w:color="auto" w:fill="F4EFF6"/>
          </w:tcPr>
          <w:p>
            <w:pPr>
              <w:spacing w:after="0"/>
              <w:rPr>
                <w:sz w:val="12"/>
                <w:szCs w:val="12"/>
                <w:color w:val="auto"/>
              </w:rPr>
            </w:pPr>
          </w:p>
        </w:tc>
        <w:tc>
          <w:tcPr>
            <w:tcW w:w="2620" w:type="dxa"/>
            <w:vAlign w:val="bottom"/>
            <w:shd w:val="clear" w:color="auto" w:fill="F4EFF6"/>
          </w:tcPr>
          <w:p>
            <w:pPr>
              <w:ind w:left="100"/>
              <w:spacing w:after="0"/>
              <w:rPr>
                <w:sz w:val="20"/>
                <w:szCs w:val="20"/>
                <w:color w:val="auto"/>
              </w:rPr>
            </w:pPr>
            <w:r>
              <w:rPr>
                <w:rFonts w:ascii="Arial" w:cs="Arial" w:eastAsia="Arial" w:hAnsi="Arial"/>
                <w:sz w:val="13"/>
                <w:szCs w:val="13"/>
                <w:b w:val="1"/>
                <w:bCs w:val="1"/>
                <w:color w:val="auto"/>
              </w:rPr>
              <w:t>Line item in the</w:t>
            </w:r>
          </w:p>
        </w:tc>
        <w:tc>
          <w:tcPr>
            <w:tcW w:w="24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recognising ineffectiveness</w:t>
            </w:r>
          </w:p>
        </w:tc>
      </w:tr>
      <w:tr>
        <w:trPr>
          <w:trHeight w:val="185"/>
        </w:trPr>
        <w:tc>
          <w:tcPr>
            <w:tcW w:w="2780" w:type="dxa"/>
            <w:vAlign w:val="bottom"/>
          </w:tcPr>
          <w:p>
            <w:pPr>
              <w:spacing w:after="0"/>
              <w:rPr>
                <w:sz w:val="16"/>
                <w:szCs w:val="16"/>
                <w:color w:val="auto"/>
              </w:rPr>
            </w:pPr>
          </w:p>
        </w:tc>
        <w:tc>
          <w:tcPr>
            <w:tcW w:w="1660" w:type="dxa"/>
            <w:vAlign w:val="bottom"/>
            <w:shd w:val="clear" w:color="auto" w:fill="F4EFF6"/>
          </w:tcPr>
          <w:p>
            <w:pPr>
              <w:jc w:val="right"/>
              <w:ind w:right="8"/>
              <w:spacing w:after="0"/>
              <w:rPr>
                <w:sz w:val="20"/>
                <w:szCs w:val="20"/>
                <w:color w:val="auto"/>
              </w:rPr>
            </w:pPr>
            <w:r>
              <w:rPr>
                <w:rFonts w:ascii="Arial" w:cs="Arial" w:eastAsia="Arial" w:hAnsi="Arial"/>
                <w:sz w:val="13"/>
                <w:szCs w:val="13"/>
                <w:b w:val="1"/>
                <w:bCs w:val="1"/>
                <w:color w:val="auto"/>
              </w:rPr>
              <w:t>Notional Amount</w:t>
            </w:r>
          </w:p>
        </w:tc>
        <w:tc>
          <w:tcPr>
            <w:tcW w:w="1740" w:type="dxa"/>
            <w:vAlign w:val="bottom"/>
            <w:shd w:val="clear" w:color="auto" w:fill="F4EFF6"/>
          </w:tcPr>
          <w:p>
            <w:pPr>
              <w:jc w:val="right"/>
              <w:ind w:right="8"/>
              <w:spacing w:after="0"/>
              <w:rPr>
                <w:sz w:val="20"/>
                <w:szCs w:val="20"/>
                <w:color w:val="auto"/>
              </w:rPr>
            </w:pPr>
            <w:r>
              <w:rPr>
                <w:rFonts w:ascii="Arial" w:cs="Arial" w:eastAsia="Arial" w:hAnsi="Arial"/>
                <w:sz w:val="13"/>
                <w:szCs w:val="13"/>
                <w:b w:val="1"/>
                <w:bCs w:val="1"/>
                <w:color w:val="auto"/>
              </w:rPr>
              <w:t>Carrying Amount</w:t>
            </w:r>
          </w:p>
        </w:tc>
        <w:tc>
          <w:tcPr>
            <w:tcW w:w="2620" w:type="dxa"/>
            <w:vAlign w:val="bottom"/>
            <w:shd w:val="clear" w:color="auto" w:fill="F4EFF6"/>
          </w:tcPr>
          <w:p>
            <w:pPr>
              <w:ind w:left="140"/>
              <w:spacing w:after="0"/>
              <w:rPr>
                <w:sz w:val="20"/>
                <w:szCs w:val="20"/>
                <w:color w:val="auto"/>
              </w:rPr>
            </w:pPr>
            <w:r>
              <w:rPr>
                <w:rFonts w:ascii="Arial" w:cs="Arial" w:eastAsia="Arial" w:hAnsi="Arial"/>
                <w:sz w:val="13"/>
                <w:szCs w:val="13"/>
                <w:b w:val="1"/>
                <w:bCs w:val="1"/>
                <w:color w:val="auto"/>
              </w:rPr>
              <w:t>statement of financial position</w:t>
            </w:r>
          </w:p>
        </w:tc>
        <w:tc>
          <w:tcPr>
            <w:tcW w:w="24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for the period</w:t>
            </w:r>
          </w:p>
        </w:tc>
      </w:tr>
      <w:tr>
        <w:trPr>
          <w:trHeight w:val="211"/>
        </w:trPr>
        <w:tc>
          <w:tcPr>
            <w:tcW w:w="2780" w:type="dxa"/>
            <w:vAlign w:val="bottom"/>
          </w:tcPr>
          <w:p>
            <w:pPr>
              <w:spacing w:after="0"/>
              <w:rPr>
                <w:sz w:val="18"/>
                <w:szCs w:val="18"/>
                <w:color w:val="auto"/>
              </w:rPr>
            </w:pPr>
          </w:p>
        </w:tc>
        <w:tc>
          <w:tcPr>
            <w:tcW w:w="1660" w:type="dxa"/>
            <w:vAlign w:val="bottom"/>
            <w:tcBorders>
              <w:bottom w:val="single" w:sz="8" w:color="F4EFF6"/>
            </w:tcBorders>
            <w:shd w:val="clear" w:color="auto" w:fill="F4EFF6"/>
          </w:tcPr>
          <w:p>
            <w:pPr>
              <w:jc w:val="right"/>
              <w:ind w:right="8"/>
              <w:spacing w:after="0"/>
              <w:rPr>
                <w:sz w:val="20"/>
                <w:szCs w:val="20"/>
                <w:color w:val="auto"/>
              </w:rPr>
            </w:pPr>
            <w:r>
              <w:rPr>
                <w:rFonts w:ascii="Arial" w:cs="Arial" w:eastAsia="Arial" w:hAnsi="Arial"/>
                <w:sz w:val="13"/>
                <w:szCs w:val="13"/>
                <w:b w:val="1"/>
                <w:bCs w:val="1"/>
                <w:color w:val="auto"/>
              </w:rPr>
              <w:t>$m</w:t>
            </w:r>
          </w:p>
        </w:tc>
        <w:tc>
          <w:tcPr>
            <w:tcW w:w="1740" w:type="dxa"/>
            <w:vAlign w:val="bottom"/>
            <w:tcBorders>
              <w:bottom w:val="single" w:sz="8" w:color="F4EFF6"/>
            </w:tcBorders>
            <w:shd w:val="clear" w:color="auto" w:fill="F4EFF6"/>
          </w:tcPr>
          <w:p>
            <w:pPr>
              <w:jc w:val="right"/>
              <w:ind w:right="8"/>
              <w:spacing w:after="0"/>
              <w:rPr>
                <w:sz w:val="20"/>
                <w:szCs w:val="20"/>
                <w:color w:val="auto"/>
              </w:rPr>
            </w:pPr>
            <w:r>
              <w:rPr>
                <w:rFonts w:ascii="Arial" w:cs="Arial" w:eastAsia="Arial" w:hAnsi="Arial"/>
                <w:sz w:val="13"/>
                <w:szCs w:val="13"/>
                <w:b w:val="1"/>
                <w:bCs w:val="1"/>
                <w:color w:val="auto"/>
              </w:rPr>
              <w:t>$m</w:t>
            </w:r>
          </w:p>
        </w:tc>
        <w:tc>
          <w:tcPr>
            <w:tcW w:w="2620" w:type="dxa"/>
            <w:vAlign w:val="bottom"/>
            <w:tcBorders>
              <w:bottom w:val="single" w:sz="8" w:color="F4EFF6"/>
            </w:tcBorders>
            <w:shd w:val="clear" w:color="auto" w:fill="F4EFF6"/>
          </w:tcPr>
          <w:p>
            <w:pPr>
              <w:spacing w:after="0"/>
              <w:rPr>
                <w:sz w:val="18"/>
                <w:szCs w:val="18"/>
                <w:color w:val="auto"/>
              </w:rPr>
            </w:pPr>
          </w:p>
        </w:tc>
        <w:tc>
          <w:tcPr>
            <w:tcW w:w="24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r>
      <w:tr>
        <w:trPr>
          <w:trHeight w:val="236"/>
        </w:trPr>
        <w:tc>
          <w:tcPr>
            <w:tcW w:w="278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Interest rate swaps</w:t>
            </w:r>
          </w:p>
        </w:tc>
        <w:tc>
          <w:tcPr>
            <w:tcW w:w="1660" w:type="dxa"/>
            <w:vAlign w:val="bottom"/>
            <w:tcBorders>
              <w:top w:val="single" w:sz="8" w:color="793690"/>
              <w:bottom w:val="single" w:sz="8" w:color="F4EFF6"/>
            </w:tcBorders>
            <w:shd w:val="clear" w:color="auto" w:fill="F4EFF6"/>
          </w:tcPr>
          <w:p>
            <w:pPr>
              <w:jc w:val="right"/>
              <w:ind w:right="68"/>
              <w:spacing w:after="0"/>
              <w:rPr>
                <w:sz w:val="20"/>
                <w:szCs w:val="20"/>
                <w:color w:val="auto"/>
              </w:rPr>
            </w:pPr>
            <w:r>
              <w:rPr>
                <w:rFonts w:ascii="Arial" w:cs="Arial" w:eastAsia="Arial" w:hAnsi="Arial"/>
                <w:sz w:val="15"/>
                <w:szCs w:val="15"/>
                <w:color w:val="auto"/>
              </w:rPr>
              <w:t>1,677.3</w:t>
            </w:r>
          </w:p>
        </w:tc>
        <w:tc>
          <w:tcPr>
            <w:tcW w:w="1740" w:type="dxa"/>
            <w:vAlign w:val="bottom"/>
            <w:tcBorders>
              <w:top w:val="single" w:sz="8" w:color="793690"/>
              <w:bottom w:val="single" w:sz="8" w:color="F4EFF6"/>
            </w:tcBorders>
            <w:shd w:val="clear" w:color="auto" w:fill="F4EFF6"/>
          </w:tcPr>
          <w:p>
            <w:pPr>
              <w:jc w:val="right"/>
              <w:ind w:right="28"/>
              <w:spacing w:after="0"/>
              <w:rPr>
                <w:sz w:val="20"/>
                <w:szCs w:val="20"/>
                <w:color w:val="auto"/>
              </w:rPr>
            </w:pPr>
            <w:r>
              <w:rPr>
                <w:rFonts w:ascii="Arial" w:cs="Arial" w:eastAsia="Arial" w:hAnsi="Arial"/>
                <w:sz w:val="15"/>
                <w:szCs w:val="15"/>
                <w:color w:val="auto"/>
              </w:rPr>
              <w:t>(3.6)</w:t>
            </w:r>
          </w:p>
        </w:tc>
        <w:tc>
          <w:tcPr>
            <w:tcW w:w="2620" w:type="dxa"/>
            <w:vAlign w:val="bottom"/>
            <w:tcBorders>
              <w:top w:val="single" w:sz="8" w:color="793690"/>
              <w:bottom w:val="single" w:sz="8" w:color="F4EFF6"/>
            </w:tcBorders>
            <w:shd w:val="clear" w:color="auto" w:fill="F4EFF6"/>
          </w:tcPr>
          <w:p>
            <w:pPr>
              <w:ind w:left="100"/>
              <w:spacing w:after="0"/>
              <w:rPr>
                <w:sz w:val="20"/>
                <w:szCs w:val="20"/>
                <w:color w:val="auto"/>
              </w:rPr>
            </w:pPr>
            <w:r>
              <w:rPr>
                <w:rFonts w:ascii="Arial" w:cs="Arial" w:eastAsia="Arial" w:hAnsi="Arial"/>
                <w:sz w:val="15"/>
                <w:szCs w:val="15"/>
                <w:color w:val="auto"/>
              </w:rPr>
              <w:t>Derivative instruments</w:t>
            </w:r>
          </w:p>
        </w:tc>
        <w:tc>
          <w:tcPr>
            <w:tcW w:w="2420" w:type="dxa"/>
            <w:vAlign w:val="bottom"/>
            <w:tcBorders>
              <w:top w:val="single" w:sz="8" w:color="793690"/>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w:t>
            </w:r>
          </w:p>
        </w:tc>
      </w:tr>
      <w:tr>
        <w:trPr>
          <w:trHeight w:val="237"/>
        </w:trPr>
        <w:tc>
          <w:tcPr>
            <w:tcW w:w="27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Cross currency swap</w:t>
            </w:r>
          </w:p>
        </w:tc>
        <w:tc>
          <w:tcPr>
            <w:tcW w:w="1660" w:type="dxa"/>
            <w:vAlign w:val="bottom"/>
            <w:tcBorders>
              <w:top w:val="single" w:sz="8" w:color="DADAE7"/>
              <w:bottom w:val="single" w:sz="8" w:color="F4EFF6"/>
            </w:tcBorders>
            <w:shd w:val="clear" w:color="auto" w:fill="F4EFF6"/>
          </w:tcPr>
          <w:p>
            <w:pPr>
              <w:jc w:val="right"/>
              <w:ind w:right="68"/>
              <w:spacing w:after="0"/>
              <w:rPr>
                <w:sz w:val="20"/>
                <w:szCs w:val="20"/>
                <w:color w:val="auto"/>
              </w:rPr>
            </w:pPr>
            <w:r>
              <w:rPr>
                <w:rFonts w:ascii="Arial" w:cs="Arial" w:eastAsia="Arial" w:hAnsi="Arial"/>
                <w:sz w:val="15"/>
                <w:szCs w:val="15"/>
                <w:color w:val="auto"/>
              </w:rPr>
              <w:t>327.3</w:t>
            </w:r>
          </w:p>
        </w:tc>
        <w:tc>
          <w:tcPr>
            <w:tcW w:w="1740" w:type="dxa"/>
            <w:vAlign w:val="bottom"/>
            <w:tcBorders>
              <w:top w:val="single" w:sz="8" w:color="DADAE7"/>
              <w:bottom w:val="single" w:sz="8" w:color="F4EFF6"/>
            </w:tcBorders>
            <w:shd w:val="clear" w:color="auto" w:fill="F4EFF6"/>
          </w:tcPr>
          <w:p>
            <w:pPr>
              <w:jc w:val="right"/>
              <w:ind w:right="68"/>
              <w:spacing w:after="0"/>
              <w:rPr>
                <w:sz w:val="20"/>
                <w:szCs w:val="20"/>
                <w:color w:val="auto"/>
              </w:rPr>
            </w:pPr>
            <w:r>
              <w:rPr>
                <w:rFonts w:ascii="Arial" w:cs="Arial" w:eastAsia="Arial" w:hAnsi="Arial"/>
                <w:sz w:val="15"/>
                <w:szCs w:val="15"/>
                <w:color w:val="auto"/>
              </w:rPr>
              <w:t>23.1</w:t>
            </w:r>
          </w:p>
        </w:tc>
        <w:tc>
          <w:tcPr>
            <w:tcW w:w="2620" w:type="dxa"/>
            <w:vAlign w:val="bottom"/>
            <w:tcBorders>
              <w:top w:val="single" w:sz="8" w:color="DADAE7"/>
              <w:bottom w:val="single" w:sz="8" w:color="F4EFF6"/>
            </w:tcBorders>
            <w:shd w:val="clear" w:color="auto" w:fill="F4EFF6"/>
          </w:tcPr>
          <w:p>
            <w:pPr>
              <w:ind w:left="100"/>
              <w:spacing w:after="0"/>
              <w:rPr>
                <w:sz w:val="20"/>
                <w:szCs w:val="20"/>
                <w:color w:val="auto"/>
              </w:rPr>
            </w:pPr>
            <w:r>
              <w:rPr>
                <w:rFonts w:ascii="Arial" w:cs="Arial" w:eastAsia="Arial" w:hAnsi="Arial"/>
                <w:sz w:val="15"/>
                <w:szCs w:val="15"/>
                <w:color w:val="auto"/>
              </w:rPr>
              <w:t>Derivative instruments</w:t>
            </w:r>
          </w:p>
        </w:tc>
        <w:tc>
          <w:tcPr>
            <w:tcW w:w="24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w:t>
            </w:r>
          </w:p>
        </w:tc>
      </w:tr>
      <w:tr>
        <w:trPr>
          <w:trHeight w:val="236"/>
        </w:trPr>
        <w:tc>
          <w:tcPr>
            <w:tcW w:w="27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Fixed rate treasury instruments</w:t>
            </w:r>
          </w:p>
        </w:tc>
        <w:tc>
          <w:tcPr>
            <w:tcW w:w="1660" w:type="dxa"/>
            <w:vAlign w:val="bottom"/>
            <w:tcBorders>
              <w:top w:val="single" w:sz="8" w:color="DADAE7"/>
              <w:bottom w:val="single" w:sz="8" w:color="F4EFF6"/>
            </w:tcBorders>
            <w:shd w:val="clear" w:color="auto" w:fill="F4EFF6"/>
          </w:tcPr>
          <w:p>
            <w:pPr>
              <w:jc w:val="right"/>
              <w:ind w:right="68"/>
              <w:spacing w:after="0"/>
              <w:rPr>
                <w:sz w:val="20"/>
                <w:szCs w:val="20"/>
                <w:color w:val="auto"/>
              </w:rPr>
            </w:pPr>
            <w:r>
              <w:rPr>
                <w:rFonts w:ascii="Arial" w:cs="Arial" w:eastAsia="Arial" w:hAnsi="Arial"/>
                <w:sz w:val="15"/>
                <w:szCs w:val="15"/>
                <w:color w:val="auto"/>
              </w:rPr>
              <w:t>250.0</w:t>
            </w:r>
          </w:p>
        </w:tc>
        <w:tc>
          <w:tcPr>
            <w:tcW w:w="1740" w:type="dxa"/>
            <w:vAlign w:val="bottom"/>
            <w:tcBorders>
              <w:top w:val="single" w:sz="8" w:color="DADAE7"/>
              <w:bottom w:val="single" w:sz="8" w:color="F4EFF6"/>
            </w:tcBorders>
            <w:shd w:val="clear" w:color="auto" w:fill="F4EFF6"/>
          </w:tcPr>
          <w:p>
            <w:pPr>
              <w:jc w:val="right"/>
              <w:ind w:right="68"/>
              <w:spacing w:after="0"/>
              <w:rPr>
                <w:sz w:val="20"/>
                <w:szCs w:val="20"/>
                <w:color w:val="auto"/>
              </w:rPr>
            </w:pPr>
            <w:r>
              <w:rPr>
                <w:rFonts w:ascii="Arial" w:cs="Arial" w:eastAsia="Arial" w:hAnsi="Arial"/>
                <w:sz w:val="15"/>
                <w:szCs w:val="15"/>
                <w:color w:val="auto"/>
              </w:rPr>
              <w:t>251.6</w:t>
            </w:r>
          </w:p>
        </w:tc>
        <w:tc>
          <w:tcPr>
            <w:tcW w:w="2620" w:type="dxa"/>
            <w:vAlign w:val="bottom"/>
            <w:tcBorders>
              <w:top w:val="single" w:sz="8" w:color="DADAE7"/>
              <w:bottom w:val="single" w:sz="8" w:color="F4EFF6"/>
            </w:tcBorders>
            <w:shd w:val="clear" w:color="auto" w:fill="F4EFF6"/>
          </w:tcPr>
          <w:p>
            <w:pPr>
              <w:ind w:left="100"/>
              <w:spacing w:after="0"/>
              <w:rPr>
                <w:sz w:val="20"/>
                <w:szCs w:val="20"/>
                <w:color w:val="auto"/>
              </w:rPr>
            </w:pPr>
            <w:r>
              <w:rPr>
                <w:rFonts w:ascii="Arial" w:cs="Arial" w:eastAsia="Arial" w:hAnsi="Arial"/>
                <w:sz w:val="15"/>
                <w:szCs w:val="15"/>
                <w:color w:val="auto"/>
              </w:rPr>
              <w:t>Treasury instruments</w:t>
            </w:r>
          </w:p>
        </w:tc>
        <w:tc>
          <w:tcPr>
            <w:tcW w:w="24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w:t>
            </w:r>
          </w:p>
        </w:tc>
      </w:tr>
      <w:tr>
        <w:trPr>
          <w:trHeight w:val="217"/>
        </w:trPr>
        <w:tc>
          <w:tcPr>
            <w:tcW w:w="278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Fixed rate borrowing</w:t>
            </w:r>
          </w:p>
        </w:tc>
        <w:tc>
          <w:tcPr>
            <w:tcW w:w="1660" w:type="dxa"/>
            <w:vAlign w:val="bottom"/>
            <w:tcBorders>
              <w:top w:val="single" w:sz="8" w:color="DADAE7"/>
              <w:bottom w:val="single" w:sz="8" w:color="F4EFF6"/>
            </w:tcBorders>
            <w:shd w:val="clear" w:color="auto" w:fill="F4EFF6"/>
          </w:tcPr>
          <w:p>
            <w:pPr>
              <w:jc w:val="right"/>
              <w:ind w:right="68"/>
              <w:spacing w:after="0"/>
              <w:rPr>
                <w:sz w:val="20"/>
                <w:szCs w:val="20"/>
                <w:color w:val="auto"/>
              </w:rPr>
            </w:pPr>
            <w:r>
              <w:rPr>
                <w:rFonts w:ascii="Arial" w:cs="Arial" w:eastAsia="Arial" w:hAnsi="Arial"/>
                <w:sz w:val="15"/>
                <w:szCs w:val="15"/>
                <w:color w:val="auto"/>
              </w:rPr>
              <w:t>1,427.3</w:t>
            </w:r>
          </w:p>
        </w:tc>
        <w:tc>
          <w:tcPr>
            <w:tcW w:w="1740" w:type="dxa"/>
            <w:vAlign w:val="bottom"/>
            <w:tcBorders>
              <w:top w:val="single" w:sz="8" w:color="DADAE7"/>
              <w:bottom w:val="single" w:sz="8" w:color="F4EFF6"/>
            </w:tcBorders>
            <w:shd w:val="clear" w:color="auto" w:fill="F4EFF6"/>
          </w:tcPr>
          <w:p>
            <w:pPr>
              <w:jc w:val="right"/>
              <w:ind w:right="28"/>
              <w:spacing w:after="0"/>
              <w:rPr>
                <w:sz w:val="20"/>
                <w:szCs w:val="20"/>
                <w:color w:val="auto"/>
              </w:rPr>
            </w:pPr>
            <w:r>
              <w:rPr>
                <w:rFonts w:ascii="Arial" w:cs="Arial" w:eastAsia="Arial" w:hAnsi="Arial"/>
                <w:sz w:val="15"/>
                <w:szCs w:val="15"/>
                <w:color w:val="auto"/>
              </w:rPr>
              <w:t>(1,485.7)</w:t>
            </w:r>
          </w:p>
        </w:tc>
        <w:tc>
          <w:tcPr>
            <w:tcW w:w="2620" w:type="dxa"/>
            <w:vAlign w:val="bottom"/>
            <w:tcBorders>
              <w:top w:val="single" w:sz="8" w:color="DADAE7"/>
              <w:bottom w:val="single" w:sz="8" w:color="F4EFF6"/>
            </w:tcBorders>
            <w:shd w:val="clear" w:color="auto" w:fill="F4EFF6"/>
          </w:tcPr>
          <w:p>
            <w:pPr>
              <w:ind w:left="100"/>
              <w:spacing w:after="0"/>
              <w:rPr>
                <w:sz w:val="20"/>
                <w:szCs w:val="20"/>
                <w:color w:val="auto"/>
              </w:rPr>
            </w:pPr>
            <w:r>
              <w:rPr>
                <w:rFonts w:ascii="Arial" w:cs="Arial" w:eastAsia="Arial" w:hAnsi="Arial"/>
                <w:sz w:val="15"/>
                <w:szCs w:val="15"/>
                <w:color w:val="auto"/>
              </w:rPr>
              <w:t>Debt securities</w:t>
            </w:r>
          </w:p>
        </w:tc>
        <w:tc>
          <w:tcPr>
            <w:tcW w:w="24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color w:val="auto"/>
              </w:rPr>
              <w:t>—</w:t>
            </w:r>
          </w:p>
        </w:tc>
      </w:tr>
      <w:tr>
        <w:trPr>
          <w:trHeight w:val="20"/>
        </w:trPr>
        <w:tc>
          <w:tcPr>
            <w:tcW w:w="2780" w:type="dxa"/>
            <w:vAlign w:val="bottom"/>
            <w:shd w:val="clear" w:color="auto" w:fill="793690"/>
          </w:tcPr>
          <w:p>
            <w:pPr>
              <w:spacing w:after="0" w:line="20" w:lineRule="exact"/>
              <w:rPr>
                <w:sz w:val="1"/>
                <w:szCs w:val="1"/>
                <w:color w:val="auto"/>
              </w:rPr>
            </w:pPr>
          </w:p>
        </w:tc>
        <w:tc>
          <w:tcPr>
            <w:tcW w:w="1660" w:type="dxa"/>
            <w:vAlign w:val="bottom"/>
            <w:shd w:val="clear" w:color="auto" w:fill="793690"/>
          </w:tcPr>
          <w:p>
            <w:pPr>
              <w:spacing w:after="0" w:line="20" w:lineRule="exact"/>
              <w:rPr>
                <w:sz w:val="1"/>
                <w:szCs w:val="1"/>
                <w:color w:val="auto"/>
              </w:rPr>
            </w:pPr>
          </w:p>
        </w:tc>
        <w:tc>
          <w:tcPr>
            <w:tcW w:w="1740" w:type="dxa"/>
            <w:vAlign w:val="bottom"/>
            <w:shd w:val="clear" w:color="auto" w:fill="793690"/>
          </w:tcPr>
          <w:p>
            <w:pPr>
              <w:spacing w:after="0" w:line="20" w:lineRule="exact"/>
              <w:rPr>
                <w:sz w:val="1"/>
                <w:szCs w:val="1"/>
                <w:color w:val="auto"/>
              </w:rPr>
            </w:pPr>
          </w:p>
        </w:tc>
        <w:tc>
          <w:tcPr>
            <w:tcW w:w="2620" w:type="dxa"/>
            <w:vAlign w:val="bottom"/>
            <w:shd w:val="clear" w:color="auto" w:fill="793690"/>
          </w:tcPr>
          <w:p>
            <w:pPr>
              <w:spacing w:after="0" w:line="20" w:lineRule="exact"/>
              <w:rPr>
                <w:sz w:val="1"/>
                <w:szCs w:val="1"/>
                <w:color w:val="auto"/>
              </w:rPr>
            </w:pPr>
          </w:p>
        </w:tc>
        <w:tc>
          <w:tcPr>
            <w:tcW w:w="2420" w:type="dxa"/>
            <w:vAlign w:val="bottom"/>
            <w:shd w:val="clear" w:color="auto" w:fill="79369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28</w:t>
      </w:r>
    </w:p>
    <w:p>
      <w:pPr>
        <w:sectPr>
          <w:pgSz w:w="11900" w:h="16838" w:orient="portrait"/>
          <w:cols w:equalWidth="0" w:num="1">
            <w:col w:w="11220"/>
          </w:cols>
          <w:pgMar w:left="320" w:top="1353" w:right="359" w:bottom="1440" w:gutter="0" w:footer="0" w:header="0"/>
        </w:sectPr>
      </w:pPr>
    </w:p>
    <w:bookmarkStart w:id="50" w:name="page51"/>
    <w:bookmarkEnd w:id="50"/>
    <w:p>
      <w:pPr>
        <w:spacing w:after="0"/>
        <w:rPr>
          <w:sz w:val="20"/>
          <w:szCs w:val="20"/>
          <w:color w:val="auto"/>
        </w:rPr>
      </w:pPr>
      <w:r>
        <w:rPr>
          <w:rFonts w:ascii="Arial" w:cs="Arial" w:eastAsia="Arial" w:hAnsi="Arial"/>
          <w:sz w:val="22"/>
          <w:szCs w:val="22"/>
          <w:b w:val="1"/>
          <w:bCs w:val="1"/>
          <w:color w:val="793690"/>
        </w:rPr>
        <w:t xml:space="preserve">Notes to the Unaudited Condensed Consolidated Financial Statements </w:t>
      </w:r>
      <w:r>
        <w:rPr>
          <w:rFonts w:ascii="Arial" w:cs="Arial" w:eastAsia="Arial" w:hAnsi="Arial"/>
          <w:sz w:val="22"/>
          <w:szCs w:val="22"/>
          <w:color w:val="793690"/>
        </w:rPr>
        <w:t>(continued)</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793690"/>
        </w:rPr>
        <w:t>14 Client Money (segregated)</w:t>
      </w:r>
      <w:r>
        <w:rPr>
          <w:rFonts w:ascii="Arial" w:cs="Arial" w:eastAsia="Arial" w:hAnsi="Arial"/>
          <w:sz w:val="23"/>
          <w:szCs w:val="23"/>
          <w:b w:val="1"/>
          <w:bCs w:val="1"/>
          <w:color w:val="793690"/>
          <w:vertAlign w:val="superscript"/>
        </w:rPr>
        <w:t>1</w:t>
      </w:r>
    </w:p>
    <w:p>
      <w:pPr>
        <w:spacing w:after="0" w:line="79"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As required by the UK FCA’s Client Assets Sourcebook (‘CASS’) rules and the US Commodity Futures Trading Commission's ("CFTC’s") client money rules, the Group maintains certain balances on behalf of clients with banks, exchanges, clearing houses and brokers in segregated accounts. Segregated assets governed by the UK FCA's CASS rules and the related liabilities to clients, whose recourse is limited to segregated accounts, are not included in the Group’s statement of financial position where the Group is not beneficially entitled thereto and does not share any of the risks or rewards of the assets. Excess Group cash placed in US segregated accounts to satisfy US regulations and securities held in US segregated accounts are recognised on the Group’s statement of financial position.</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6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31 December 2024</w:t>
            </w:r>
          </w:p>
        </w:tc>
      </w:tr>
      <w:tr>
        <w:trPr>
          <w:trHeight w:val="375"/>
        </w:trPr>
        <w:tc>
          <w:tcPr>
            <w:tcW w:w="7860" w:type="dxa"/>
            <w:vAlign w:val="bottom"/>
          </w:tcPr>
          <w:p>
            <w:pPr>
              <w:spacing w:after="0"/>
              <w:rPr>
                <w:sz w:val="24"/>
                <w:szCs w:val="24"/>
                <w:color w:val="auto"/>
              </w:rPr>
            </w:pPr>
          </w:p>
        </w:tc>
        <w:tc>
          <w:tcPr>
            <w:tcW w:w="16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$m</w:t>
            </w:r>
          </w:p>
        </w:tc>
      </w:tr>
      <w:tr>
        <w:trPr>
          <w:trHeight w:val="237"/>
        </w:trPr>
        <w:tc>
          <w:tcPr>
            <w:tcW w:w="786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Segregated assets at banks (not recognised)</w:t>
            </w:r>
          </w:p>
        </w:tc>
        <w:tc>
          <w:tcPr>
            <w:tcW w:w="1620" w:type="dxa"/>
            <w:vAlign w:val="bottom"/>
            <w:tcBorders>
              <w:top w:val="single" w:sz="8" w:color="793690"/>
              <w:bottom w:val="single" w:sz="8" w:color="F4EFF6"/>
            </w:tcBorders>
            <w:shd w:val="clear" w:color="auto" w:fill="F4EFF6"/>
          </w:tcPr>
          <w:p>
            <w:pPr>
              <w:jc w:val="right"/>
              <w:ind w:right="8"/>
              <w:spacing w:after="0"/>
              <w:rPr>
                <w:sz w:val="20"/>
                <w:szCs w:val="20"/>
                <w:color w:val="auto"/>
              </w:rPr>
            </w:pPr>
            <w:r>
              <w:rPr>
                <w:rFonts w:ascii="Arial" w:cs="Arial" w:eastAsia="Arial" w:hAnsi="Arial"/>
                <w:sz w:val="15"/>
                <w:szCs w:val="15"/>
                <w:b w:val="1"/>
                <w:bCs w:val="1"/>
                <w:color w:val="auto"/>
              </w:rPr>
              <w:t>5,325.1</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4,982.4</w:t>
            </w: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Segregated assets at exchanges, clearing houses and other counterparties (not recognised)</w:t>
            </w:r>
          </w:p>
        </w:tc>
        <w:tc>
          <w:tcPr>
            <w:tcW w:w="1620" w:type="dxa"/>
            <w:vAlign w:val="bottom"/>
            <w:tcBorders>
              <w:top w:val="single" w:sz="8" w:color="DADAE7"/>
              <w:bottom w:val="single" w:sz="8" w:color="F4EFF6"/>
            </w:tcBorders>
            <w:shd w:val="clear" w:color="auto" w:fill="F4EFF6"/>
          </w:tcPr>
          <w:p>
            <w:pPr>
              <w:jc w:val="right"/>
              <w:ind w:right="8"/>
              <w:spacing w:after="0"/>
              <w:rPr>
                <w:sz w:val="20"/>
                <w:szCs w:val="20"/>
                <w:color w:val="auto"/>
              </w:rPr>
            </w:pPr>
            <w:r>
              <w:rPr>
                <w:rFonts w:ascii="Arial" w:cs="Arial" w:eastAsia="Arial" w:hAnsi="Arial"/>
                <w:sz w:val="15"/>
                <w:szCs w:val="15"/>
                <w:b w:val="1"/>
                <w:bCs w:val="1"/>
                <w:color w:val="auto"/>
              </w:rPr>
              <w:t>1,888.3</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1,101.2</w:t>
            </w: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Segregated assets at exchanges, clearing houses and other counterparties (recognised)</w:t>
            </w:r>
          </w:p>
        </w:tc>
        <w:tc>
          <w:tcPr>
            <w:tcW w:w="1620" w:type="dxa"/>
            <w:vAlign w:val="bottom"/>
            <w:tcBorders>
              <w:top w:val="single" w:sz="8" w:color="DADAE7"/>
              <w:bottom w:val="single" w:sz="8" w:color="F4EFF6"/>
            </w:tcBorders>
            <w:shd w:val="clear" w:color="auto" w:fill="F4EFF6"/>
          </w:tcPr>
          <w:p>
            <w:pPr>
              <w:jc w:val="right"/>
              <w:ind w:right="8"/>
              <w:spacing w:after="0"/>
              <w:rPr>
                <w:sz w:val="20"/>
                <w:szCs w:val="20"/>
                <w:color w:val="auto"/>
              </w:rPr>
            </w:pPr>
            <w:r>
              <w:rPr>
                <w:rFonts w:ascii="Arial" w:cs="Arial" w:eastAsia="Arial" w:hAnsi="Arial"/>
                <w:sz w:val="15"/>
                <w:szCs w:val="15"/>
                <w:b w:val="1"/>
                <w:bCs w:val="1"/>
                <w:color w:val="auto"/>
              </w:rPr>
              <w:t>2,808.8</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3,016.5</w:t>
            </w:r>
          </w:p>
        </w:tc>
      </w:tr>
      <w:tr>
        <w:trPr>
          <w:trHeight w:val="324"/>
        </w:trPr>
        <w:tc>
          <w:tcPr>
            <w:tcW w:w="7860" w:type="dxa"/>
            <w:vAlign w:val="bottom"/>
            <w:tcBorders>
              <w:top w:val="single" w:sz="8" w:color="793690"/>
            </w:tcBorders>
          </w:tcPr>
          <w:p>
            <w:pPr>
              <w:spacing w:after="0"/>
              <w:rPr>
                <w:sz w:val="24"/>
                <w:szCs w:val="24"/>
                <w:color w:val="auto"/>
              </w:rPr>
            </w:pPr>
          </w:p>
        </w:tc>
        <w:tc>
          <w:tcPr>
            <w:tcW w:w="1620" w:type="dxa"/>
            <w:vAlign w:val="bottom"/>
            <w:tcBorders>
              <w:top w:val="single" w:sz="8" w:color="793690"/>
              <w:bottom w:val="single" w:sz="8" w:color="F4EFF6"/>
            </w:tcBorders>
            <w:shd w:val="clear" w:color="auto" w:fill="F4EFF6"/>
          </w:tcPr>
          <w:p>
            <w:pPr>
              <w:jc w:val="right"/>
              <w:ind w:right="8"/>
              <w:spacing w:after="0"/>
              <w:rPr>
                <w:sz w:val="20"/>
                <w:szCs w:val="20"/>
                <w:color w:val="auto"/>
              </w:rPr>
            </w:pPr>
            <w:r>
              <w:rPr>
                <w:rFonts w:ascii="Arial" w:cs="Arial" w:eastAsia="Arial" w:hAnsi="Arial"/>
                <w:sz w:val="15"/>
                <w:szCs w:val="15"/>
                <w:b w:val="1"/>
                <w:bCs w:val="1"/>
                <w:color w:val="auto"/>
              </w:rPr>
              <w:t>10,022.2</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9,100.1</w:t>
            </w:r>
          </w:p>
        </w:tc>
      </w:tr>
      <w:tr>
        <w:trPr>
          <w:trHeight w:val="20"/>
        </w:trPr>
        <w:tc>
          <w:tcPr>
            <w:tcW w:w="7860" w:type="dxa"/>
            <w:vAlign w:val="bottom"/>
            <w:shd w:val="clear" w:color="auto" w:fill="793690"/>
          </w:tcPr>
          <w:p>
            <w:pPr>
              <w:spacing w:after="0" w:line="20" w:lineRule="exact"/>
              <w:rPr>
                <w:sz w:val="1"/>
                <w:szCs w:val="1"/>
                <w:color w:val="auto"/>
              </w:rPr>
            </w:pPr>
          </w:p>
        </w:tc>
        <w:tc>
          <w:tcPr>
            <w:tcW w:w="1620" w:type="dxa"/>
            <w:vAlign w:val="bottom"/>
            <w:shd w:val="clear" w:color="auto" w:fill="793690"/>
          </w:tcPr>
          <w:p>
            <w:pPr>
              <w:spacing w:after="0" w:line="20" w:lineRule="exact"/>
              <w:rPr>
                <w:sz w:val="1"/>
                <w:szCs w:val="1"/>
                <w:color w:val="auto"/>
              </w:rPr>
            </w:pPr>
          </w:p>
        </w:tc>
        <w:tc>
          <w:tcPr>
            <w:tcW w:w="1740" w:type="dxa"/>
            <w:vAlign w:val="bottom"/>
            <w:shd w:val="clear" w:color="auto" w:fill="793690"/>
          </w:tcPr>
          <w:p>
            <w:pPr>
              <w:spacing w:after="0" w:line="20" w:lineRule="exact"/>
              <w:rPr>
                <w:sz w:val="1"/>
                <w:szCs w:val="1"/>
                <w:color w:val="auto"/>
              </w:rPr>
            </w:pPr>
          </w:p>
        </w:tc>
      </w:tr>
    </w:tbl>
    <w:p>
      <w:pPr>
        <w:spacing w:after="0" w:line="284" w:lineRule="exact"/>
        <w:rPr>
          <w:sz w:val="20"/>
          <w:szCs w:val="20"/>
          <w:color w:val="auto"/>
        </w:rPr>
      </w:pPr>
    </w:p>
    <w:p>
      <w:pPr>
        <w:ind w:left="160" w:hanging="152"/>
        <w:spacing w:after="0" w:line="257" w:lineRule="auto"/>
        <w:tabs>
          <w:tab w:leader="none" w:pos="228" w:val="left"/>
        </w:tabs>
        <w:numPr>
          <w:ilvl w:val="0"/>
          <w:numId w:val="37"/>
        </w:numPr>
        <w:rPr>
          <w:rFonts w:ascii="Arial" w:cs="Arial" w:eastAsia="Arial" w:hAnsi="Arial"/>
          <w:sz w:val="11"/>
          <w:szCs w:val="11"/>
          <w:color w:val="auto"/>
        </w:rPr>
      </w:pPr>
      <w:r>
        <w:rPr>
          <w:rFonts w:ascii="Arial" w:cs="Arial" w:eastAsia="Arial" w:hAnsi="Arial"/>
          <w:sz w:val="11"/>
          <w:szCs w:val="11"/>
          <w:color w:val="auto"/>
        </w:rPr>
        <w:t>Under the UK FCA’s client money rules, certain monies are protected, segregating these monies from the Group’s own money. This applies to client money placed within segregated bank accounts but also for client money placed at exchanges where the money is held in segregated bank accounts. The same cannot be said to apply under the CFTC rules, thus driving the accounting treatment of derecognising segregated cash at exchanges in the UK compared to the US.</w:t>
      </w:r>
    </w:p>
    <w:p>
      <w:pPr>
        <w:spacing w:after="0" w:line="197"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As at 30 June 2025, $182.7m (31 December 2024: $173.9m) of excess Group cash placed in segregated accounts to satisfy US regulations has been recorded within cash and cash equivalents and client liabilities within trade and other payables in the statement of financial position.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15 Earnings Per Share</w:t>
      </w:r>
    </w:p>
    <w:p>
      <w:pPr>
        <w:spacing w:after="0" w:line="24" w:lineRule="exact"/>
        <w:rPr>
          <w:sz w:val="20"/>
          <w:szCs w:val="20"/>
          <w:color w:val="auto"/>
        </w:rPr>
      </w:pPr>
    </w:p>
    <w:p>
      <w:pPr>
        <w:ind w:right="200"/>
        <w:spacing w:after="0" w:line="282" w:lineRule="auto"/>
        <w:rPr>
          <w:sz w:val="20"/>
          <w:szCs w:val="20"/>
          <w:color w:val="auto"/>
        </w:rPr>
      </w:pPr>
      <w:r>
        <w:rPr>
          <w:rFonts w:ascii="Arial" w:cs="Arial" w:eastAsia="Arial" w:hAnsi="Arial"/>
          <w:sz w:val="15"/>
          <w:szCs w:val="15"/>
          <w:color w:val="auto"/>
        </w:rPr>
        <w:t>Basic earnings per share is calculated by dividing the profit attributable to the ordinary equity holders of the Group for the six month period by the weighted average number of ordinary shares outstanding during the period.</w:t>
      </w:r>
    </w:p>
    <w:p>
      <w:pPr>
        <w:spacing w:after="0" w:line="53" w:lineRule="exact"/>
        <w:rPr>
          <w:sz w:val="20"/>
          <w:szCs w:val="20"/>
          <w:color w:val="auto"/>
        </w:rPr>
      </w:pPr>
    </w:p>
    <w:p>
      <w:pPr>
        <w:ind w:right="280"/>
        <w:spacing w:after="0" w:line="301" w:lineRule="auto"/>
        <w:rPr>
          <w:sz w:val="20"/>
          <w:szCs w:val="20"/>
          <w:color w:val="auto"/>
        </w:rPr>
      </w:pPr>
      <w:r>
        <w:rPr>
          <w:rFonts w:ascii="Arial" w:cs="Arial" w:eastAsia="Arial" w:hAnsi="Arial"/>
          <w:sz w:val="15"/>
          <w:szCs w:val="15"/>
          <w:color w:val="auto"/>
        </w:rPr>
        <w:t>Diluted EPS is calculated by dividing the profit attributable to ordinary equity holders of the Group (after adjusting for the impact of AT1 securities dividends) by the weighted average number of ordinary shares that would be issued on conversion of all the dilutive potential ordinary shares into ordinary shares.</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reflects the income and share data used in the basic and diluted EPS calculations: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60" w:type="dxa"/>
            <w:vAlign w:val="bottom"/>
          </w:tcPr>
          <w:p>
            <w:pPr>
              <w:spacing w:after="0"/>
              <w:rPr>
                <w:sz w:val="13"/>
                <w:szCs w:val="13"/>
                <w:color w:val="auto"/>
              </w:rPr>
            </w:pPr>
          </w:p>
        </w:tc>
        <w:tc>
          <w:tcPr>
            <w:tcW w:w="16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Six months ended</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Six months ended</w:t>
            </w:r>
          </w:p>
        </w:tc>
      </w:tr>
      <w:tr>
        <w:trPr>
          <w:trHeight w:val="193"/>
        </w:trPr>
        <w:tc>
          <w:tcPr>
            <w:tcW w:w="7860" w:type="dxa"/>
            <w:vAlign w:val="bottom"/>
          </w:tcPr>
          <w:p>
            <w:pPr>
              <w:spacing w:after="0"/>
              <w:rPr>
                <w:sz w:val="16"/>
                <w:szCs w:val="16"/>
                <w:color w:val="auto"/>
              </w:rPr>
            </w:pPr>
          </w:p>
        </w:tc>
        <w:tc>
          <w:tcPr>
            <w:tcW w:w="16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30 June 2024</w:t>
            </w:r>
          </w:p>
        </w:tc>
      </w:tr>
      <w:tr>
        <w:trPr>
          <w:trHeight w:val="237"/>
        </w:trPr>
        <w:tc>
          <w:tcPr>
            <w:tcW w:w="786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Profit before tax ($m)</w:t>
            </w:r>
          </w:p>
        </w:tc>
        <w:tc>
          <w:tcPr>
            <w:tcW w:w="1620" w:type="dxa"/>
            <w:vAlign w:val="bottom"/>
            <w:tcBorders>
              <w:top w:val="single" w:sz="8" w:color="793690"/>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201.6</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139.0</w:t>
            </w:r>
          </w:p>
        </w:tc>
      </w:tr>
      <w:tr>
        <w:trPr>
          <w:trHeight w:val="236"/>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Tax ($m)</w:t>
            </w:r>
          </w:p>
        </w:tc>
        <w:tc>
          <w:tcPr>
            <w:tcW w:w="16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(52.4)</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(36.1)</w:t>
            </w:r>
          </w:p>
        </w:tc>
      </w:tr>
      <w:tr>
        <w:trPr>
          <w:trHeight w:val="237"/>
        </w:trPr>
        <w:tc>
          <w:tcPr>
            <w:tcW w:w="786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Profit after tax ($m)</w:t>
            </w:r>
          </w:p>
        </w:tc>
        <w:tc>
          <w:tcPr>
            <w:tcW w:w="1620" w:type="dxa"/>
            <w:vAlign w:val="bottom"/>
            <w:tcBorders>
              <w:top w:val="single" w:sz="8" w:color="793690"/>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149.2</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102.9</w:t>
            </w: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AT1 securities dividends paid ($m)</w:t>
            </w:r>
          </w:p>
        </w:tc>
        <w:tc>
          <w:tcPr>
            <w:tcW w:w="1620" w:type="dxa"/>
            <w:vAlign w:val="bottom"/>
            <w:tcBorders>
              <w:top w:val="single" w:sz="8" w:color="DADAE7"/>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(6.6)</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(6.6)</w:t>
            </w:r>
          </w:p>
        </w:tc>
      </w:tr>
      <w:tr>
        <w:trPr>
          <w:trHeight w:val="236"/>
        </w:trPr>
        <w:tc>
          <w:tcPr>
            <w:tcW w:w="786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Profit attributable to shareholders of the Group ($m)</w:t>
            </w:r>
          </w:p>
        </w:tc>
        <w:tc>
          <w:tcPr>
            <w:tcW w:w="1620" w:type="dxa"/>
            <w:vAlign w:val="bottom"/>
            <w:tcBorders>
              <w:top w:val="single" w:sz="8" w:color="793690"/>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142.6</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96.3</w:t>
            </w: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b w:val="1"/>
                <w:bCs w:val="1"/>
                <w:color w:val="auto"/>
              </w:rPr>
              <w:t>Weighted average number of Ordinary shares during the period</w:t>
            </w:r>
          </w:p>
        </w:tc>
        <w:tc>
          <w:tcPr>
            <w:tcW w:w="162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70,998,545</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68,160,724</w:t>
            </w:r>
          </w:p>
        </w:tc>
      </w:tr>
      <w:tr>
        <w:trPr>
          <w:trHeight w:val="236"/>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b w:val="1"/>
                <w:bCs w:val="1"/>
                <w:color w:val="auto"/>
              </w:rPr>
              <w:t>Basic earnings per share ($)</w:t>
            </w:r>
          </w:p>
        </w:tc>
        <w:tc>
          <w:tcPr>
            <w:tcW w:w="162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2.01</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1.41</w:t>
            </w:r>
          </w:p>
        </w:tc>
      </w:tr>
      <w:tr>
        <w:trPr>
          <w:trHeight w:val="237"/>
        </w:trPr>
        <w:tc>
          <w:tcPr>
            <w:tcW w:w="786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Weighted average number of Ordinary shares for basic EPS</w:t>
            </w:r>
          </w:p>
        </w:tc>
        <w:tc>
          <w:tcPr>
            <w:tcW w:w="1620" w:type="dxa"/>
            <w:vAlign w:val="bottom"/>
            <w:tcBorders>
              <w:top w:val="single" w:sz="8" w:color="793690"/>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70,998,545</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68,160,724</w:t>
            </w:r>
          </w:p>
        </w:tc>
      </w:tr>
      <w:tr>
        <w:trPr>
          <w:trHeight w:val="236"/>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Effect of dilution from:</w:t>
            </w:r>
          </w:p>
        </w:tc>
        <w:tc>
          <w:tcPr>
            <w:tcW w:w="1620" w:type="dxa"/>
            <w:vAlign w:val="bottom"/>
            <w:tcBorders>
              <w:top w:val="single" w:sz="8" w:color="DADAE7"/>
              <w:bottom w:val="single" w:sz="8" w:color="F4EFF6"/>
            </w:tcBorders>
            <w:shd w:val="clear" w:color="auto" w:fill="F4EFF6"/>
          </w:tcPr>
          <w:p>
            <w:pPr>
              <w:spacing w:after="0"/>
              <w:rPr>
                <w:sz w:val="20"/>
                <w:szCs w:val="20"/>
                <w:color w:val="auto"/>
              </w:rPr>
            </w:pPr>
          </w:p>
        </w:tc>
        <w:tc>
          <w:tcPr>
            <w:tcW w:w="1740" w:type="dxa"/>
            <w:vAlign w:val="bottom"/>
            <w:tcBorders>
              <w:top w:val="single" w:sz="8" w:color="DADAE7"/>
            </w:tcBorders>
          </w:tcPr>
          <w:p>
            <w:pPr>
              <w:spacing w:after="0"/>
              <w:rPr>
                <w:sz w:val="20"/>
                <w:szCs w:val="20"/>
                <w:color w:val="auto"/>
              </w:rPr>
            </w:pP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Share schemes</w:t>
            </w:r>
          </w:p>
        </w:tc>
        <w:tc>
          <w:tcPr>
            <w:tcW w:w="162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3,651,474</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4,733,499</w:t>
            </w:r>
          </w:p>
        </w:tc>
      </w:tr>
      <w:tr>
        <w:trPr>
          <w:trHeight w:val="236"/>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b w:val="1"/>
                <w:bCs w:val="1"/>
                <w:color w:val="auto"/>
              </w:rPr>
              <w:t>Weighted average number of Ordinary shares adjusted for the effect of dilution</w:t>
            </w:r>
          </w:p>
        </w:tc>
        <w:tc>
          <w:tcPr>
            <w:tcW w:w="162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74,650,019</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72,894,223</w:t>
            </w:r>
          </w:p>
        </w:tc>
      </w:tr>
      <w:tr>
        <w:trPr>
          <w:trHeight w:val="21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b w:val="1"/>
                <w:bCs w:val="1"/>
                <w:color w:val="auto"/>
              </w:rPr>
              <w:t>Diluted earnings per share ($)</w:t>
            </w:r>
          </w:p>
        </w:tc>
        <w:tc>
          <w:tcPr>
            <w:tcW w:w="1620" w:type="dxa"/>
            <w:vAlign w:val="bottom"/>
            <w:tcBorders>
              <w:top w:val="single" w:sz="8" w:color="DADAE7"/>
              <w:bottom w:val="single" w:sz="8" w:color="F4EFF6"/>
            </w:tcBorders>
            <w:shd w:val="clear" w:color="auto" w:fill="F4EFF6"/>
          </w:tcPr>
          <w:p>
            <w:pPr>
              <w:jc w:val="right"/>
              <w:ind w:right="6"/>
              <w:spacing w:after="0"/>
              <w:rPr>
                <w:sz w:val="20"/>
                <w:szCs w:val="20"/>
                <w:color w:val="auto"/>
              </w:rPr>
            </w:pPr>
            <w:r>
              <w:rPr>
                <w:rFonts w:ascii="Arial" w:cs="Arial" w:eastAsia="Arial" w:hAnsi="Arial"/>
                <w:sz w:val="15"/>
                <w:szCs w:val="15"/>
                <w:b w:val="1"/>
                <w:bCs w:val="1"/>
                <w:color w:val="auto"/>
              </w:rPr>
              <w:t>1.91</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1.32</w:t>
            </w:r>
          </w:p>
        </w:tc>
      </w:tr>
      <w:tr>
        <w:trPr>
          <w:trHeight w:val="20"/>
        </w:trPr>
        <w:tc>
          <w:tcPr>
            <w:tcW w:w="7860" w:type="dxa"/>
            <w:vAlign w:val="bottom"/>
            <w:shd w:val="clear" w:color="auto" w:fill="793690"/>
          </w:tcPr>
          <w:p>
            <w:pPr>
              <w:spacing w:after="0" w:line="20" w:lineRule="exact"/>
              <w:rPr>
                <w:sz w:val="1"/>
                <w:szCs w:val="1"/>
                <w:color w:val="auto"/>
              </w:rPr>
            </w:pPr>
          </w:p>
        </w:tc>
        <w:tc>
          <w:tcPr>
            <w:tcW w:w="1620" w:type="dxa"/>
            <w:vAlign w:val="bottom"/>
            <w:shd w:val="clear" w:color="auto" w:fill="793690"/>
          </w:tcPr>
          <w:p>
            <w:pPr>
              <w:spacing w:after="0" w:line="20" w:lineRule="exact"/>
              <w:rPr>
                <w:sz w:val="1"/>
                <w:szCs w:val="1"/>
                <w:color w:val="auto"/>
              </w:rPr>
            </w:pPr>
          </w:p>
        </w:tc>
        <w:tc>
          <w:tcPr>
            <w:tcW w:w="1740" w:type="dxa"/>
            <w:vAlign w:val="bottom"/>
            <w:shd w:val="clear" w:color="auto" w:fill="793690"/>
          </w:tcPr>
          <w:p>
            <w:pPr>
              <w:spacing w:after="0" w:line="20" w:lineRule="exact"/>
              <w:rPr>
                <w:sz w:val="1"/>
                <w:szCs w:val="1"/>
                <w:color w:val="auto"/>
              </w:rPr>
            </w:pPr>
          </w:p>
        </w:tc>
      </w:tr>
    </w:tbl>
    <w:p>
      <w:pPr>
        <w:spacing w:after="0" w:line="293" w:lineRule="exact"/>
        <w:rPr>
          <w:sz w:val="20"/>
          <w:szCs w:val="20"/>
          <w:color w:val="auto"/>
        </w:rPr>
      </w:pPr>
    </w:p>
    <w:p>
      <w:pPr>
        <w:ind w:right="540"/>
        <w:spacing w:after="0" w:line="283" w:lineRule="auto"/>
        <w:rPr>
          <w:sz w:val="20"/>
          <w:szCs w:val="20"/>
          <w:color w:val="auto"/>
        </w:rPr>
      </w:pPr>
      <w:r>
        <w:rPr>
          <w:rFonts w:ascii="Arial" w:cs="Arial" w:eastAsia="Arial" w:hAnsi="Arial"/>
          <w:sz w:val="15"/>
          <w:szCs w:val="15"/>
          <w:color w:val="auto"/>
        </w:rPr>
        <w:t>There have been no other transactions involving ordinary shares or potential ordinary shares between the reporting date and the date of authorisation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29</w:t>
      </w:r>
    </w:p>
    <w:p>
      <w:pPr>
        <w:sectPr>
          <w:pgSz w:w="11900" w:h="16838" w:orient="portrait"/>
          <w:cols w:equalWidth="0" w:num="1">
            <w:col w:w="11240"/>
          </w:cols>
          <w:pgMar w:left="320" w:top="1353" w:right="339" w:bottom="1440" w:gutter="0" w:footer="0" w:header="0"/>
        </w:sectPr>
      </w:pPr>
    </w:p>
    <w:bookmarkStart w:id="51" w:name="page52"/>
    <w:bookmarkEnd w:id="51"/>
    <w:p>
      <w:pPr>
        <w:spacing w:after="0"/>
        <w:rPr>
          <w:sz w:val="20"/>
          <w:szCs w:val="20"/>
          <w:color w:val="auto"/>
        </w:rPr>
      </w:pPr>
      <w:r>
        <w:rPr>
          <w:rFonts w:ascii="Arial" w:cs="Arial" w:eastAsia="Arial" w:hAnsi="Arial"/>
          <w:sz w:val="22"/>
          <w:szCs w:val="22"/>
          <w:b w:val="1"/>
          <w:bCs w:val="1"/>
          <w:color w:val="793690"/>
        </w:rPr>
        <w:t xml:space="preserve">Notes to the Unaudited Condensed Consolidated Financial Statements </w:t>
      </w:r>
      <w:r>
        <w:rPr>
          <w:rFonts w:ascii="Arial" w:cs="Arial" w:eastAsia="Arial" w:hAnsi="Arial"/>
          <w:sz w:val="22"/>
          <w:szCs w:val="22"/>
          <w:color w:val="793690"/>
        </w:rPr>
        <w:t>(continued)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16 Related Party Transactions</w:t>
      </w:r>
    </w:p>
    <w:p>
      <w:pPr>
        <w:spacing w:after="0" w:line="20" w:lineRule="exact"/>
        <w:rPr>
          <w:sz w:val="20"/>
          <w:szCs w:val="20"/>
          <w:color w:val="auto"/>
        </w:rPr>
      </w:pPr>
    </w:p>
    <w:p>
      <w:pPr>
        <w:ind w:right="220"/>
        <w:spacing w:after="0" w:line="263" w:lineRule="auto"/>
        <w:rPr>
          <w:sz w:val="20"/>
          <w:szCs w:val="20"/>
          <w:color w:val="auto"/>
        </w:rPr>
      </w:pPr>
      <w:r>
        <w:rPr>
          <w:rFonts w:ascii="Arial" w:cs="Arial" w:eastAsia="Arial" w:hAnsi="Arial"/>
          <w:sz w:val="15"/>
          <w:szCs w:val="15"/>
          <w:color w:val="auto"/>
        </w:rPr>
        <w:t>On 20 October 2020, the Company entered into a Shareholders’ Agreement with Amphitryon Limited, Ocean Ring Jersey Co. Limited and Ocean Trade Lux Co S.Á.R.L. (the '2020 Shareholders’ Agreement'). Pursuant to the terms of the 2020 Shareholders’ Agreement, the Group paid a management fee of 2.5% of EBITDA each year to a party associated with the ultimate parent company for services provided.</w:t>
      </w:r>
    </w:p>
    <w:p>
      <w:pPr>
        <w:spacing w:after="0" w:line="67" w:lineRule="exact"/>
        <w:rPr>
          <w:sz w:val="20"/>
          <w:szCs w:val="20"/>
          <w:color w:val="auto"/>
        </w:rPr>
      </w:pPr>
    </w:p>
    <w:p>
      <w:pPr>
        <w:ind w:right="100"/>
        <w:spacing w:after="0" w:line="269" w:lineRule="auto"/>
        <w:rPr>
          <w:sz w:val="20"/>
          <w:szCs w:val="20"/>
          <w:color w:val="auto"/>
        </w:rPr>
      </w:pPr>
      <w:r>
        <w:rPr>
          <w:rFonts w:ascii="Arial" w:cs="Arial" w:eastAsia="Arial" w:hAnsi="Arial"/>
          <w:sz w:val="15"/>
          <w:szCs w:val="15"/>
          <w:color w:val="auto"/>
        </w:rPr>
        <w:t>Following the Company's successful initial public offering on 25 April 2024, the 2020 Shareholders' Agreement was terminated and a new Shareholders Agreement came into effect between the Company, Amphitryon Limited, JRJ Investor 1 Limited Partnership and MASP Investor Limited Partnership (the '2024 Shareholders Agreement'). Amongst other matters, the 2024 Shareholders' Agreement afforded Amphitryon Limited the right to appoint up to two nominee directors to the Board of Marex Group plc, subject to certain shareholding thresholds being met.</w:t>
      </w:r>
    </w:p>
    <w:p>
      <w:pPr>
        <w:spacing w:after="0" w:line="77"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auto"/>
        </w:rPr>
        <w:t>The 2024 Shareholders Agreement did not include the payment of any management fees. For the six month period ending 30 June 2024 the Group paid $2.4m under the 2020 Shareholders Agreement, recorded within other expenses. This agreement ended once the Group became listed, however as the calculation is based on audited full year EBITDA, a payment of $0.4m was made during Q1 25 representing the final adjustments to the fees owed.</w:t>
      </w:r>
    </w:p>
    <w:p>
      <w:pPr>
        <w:spacing w:after="0" w:line="59" w:lineRule="exact"/>
        <w:rPr>
          <w:sz w:val="20"/>
          <w:szCs w:val="20"/>
          <w:color w:val="auto"/>
        </w:rPr>
      </w:pPr>
    </w:p>
    <w:p>
      <w:pPr>
        <w:ind w:right="60"/>
        <w:spacing w:after="0" w:line="301" w:lineRule="auto"/>
        <w:rPr>
          <w:sz w:val="20"/>
          <w:szCs w:val="20"/>
          <w:color w:val="auto"/>
        </w:rPr>
      </w:pPr>
      <w:r>
        <w:rPr>
          <w:rFonts w:ascii="Arial" w:cs="Arial" w:eastAsia="Arial" w:hAnsi="Arial"/>
          <w:sz w:val="15"/>
          <w:szCs w:val="15"/>
          <w:color w:val="auto"/>
        </w:rPr>
        <w:t>Amphitryon Limited and its holding or controlling entities are no longer considered related parties following a further sale of shares in May 2025 as their ownership fell below 10% and they no longer have Board representation.</w:t>
      </w:r>
    </w:p>
    <w:p>
      <w:pPr>
        <w:spacing w:after="0" w:line="53" w:lineRule="exact"/>
        <w:rPr>
          <w:sz w:val="20"/>
          <w:szCs w:val="20"/>
          <w:color w:val="auto"/>
        </w:rPr>
      </w:pPr>
    </w:p>
    <w:p>
      <w:pPr>
        <w:ind w:right="120"/>
        <w:spacing w:after="0" w:line="283" w:lineRule="auto"/>
        <w:rPr>
          <w:sz w:val="20"/>
          <w:szCs w:val="20"/>
          <w:color w:val="auto"/>
        </w:rPr>
      </w:pPr>
      <w:r>
        <w:rPr>
          <w:rFonts w:ascii="Arial" w:cs="Arial" w:eastAsia="Arial" w:hAnsi="Arial"/>
          <w:sz w:val="15"/>
          <w:szCs w:val="15"/>
          <w:color w:val="auto"/>
        </w:rPr>
        <w:t>With the exception of the above, there have been no changes in the nature of the related party transactions from those described in the Group's 2024 Annual Report and Accounts.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17 Share-based payments</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Share-based payments</w:t>
      </w:r>
    </w:p>
    <w:p>
      <w:pPr>
        <w:spacing w:after="0" w:line="19" w:lineRule="exact"/>
        <w:rPr>
          <w:sz w:val="20"/>
          <w:szCs w:val="20"/>
          <w:color w:val="auto"/>
        </w:rPr>
      </w:pPr>
    </w:p>
    <w:p>
      <w:pPr>
        <w:ind w:right="340"/>
        <w:spacing w:after="0" w:line="263" w:lineRule="auto"/>
        <w:rPr>
          <w:sz w:val="20"/>
          <w:szCs w:val="20"/>
          <w:color w:val="auto"/>
        </w:rPr>
      </w:pPr>
      <w:r>
        <w:rPr>
          <w:rFonts w:ascii="Arial" w:cs="Arial" w:eastAsia="Arial" w:hAnsi="Arial"/>
          <w:sz w:val="15"/>
          <w:szCs w:val="15"/>
          <w:color w:val="auto"/>
        </w:rPr>
        <w:t>In connection with the IPO, in April 2024, the Group adopted the Global Omnibus Plan, which provides for the grant of share options, including incentive share options, conditional awards, restricted shares, share appreciation rights or any other share or cash-based awards to eligible employees and non-employees. New awards are all granted within the terms of this plan.</w:t>
      </w:r>
    </w:p>
    <w:p>
      <w:pPr>
        <w:spacing w:after="0" w:line="80" w:lineRule="exact"/>
        <w:rPr>
          <w:sz w:val="20"/>
          <w:szCs w:val="20"/>
          <w:color w:val="auto"/>
        </w:rPr>
      </w:pPr>
    </w:p>
    <w:p>
      <w:pPr>
        <w:ind w:right="140"/>
        <w:spacing w:after="0" w:line="263" w:lineRule="auto"/>
        <w:rPr>
          <w:sz w:val="20"/>
          <w:szCs w:val="20"/>
          <w:color w:val="auto"/>
        </w:rPr>
      </w:pPr>
      <w:r>
        <w:rPr>
          <w:rFonts w:ascii="Arial" w:cs="Arial" w:eastAsia="Arial" w:hAnsi="Arial"/>
          <w:sz w:val="15"/>
          <w:szCs w:val="15"/>
          <w:color w:val="auto"/>
        </w:rPr>
        <w:t>During the period the Group operated six equity-settled share-based remuneration schemes for Executive Directors and senior management as listed and described below. All are United Kingdom tax authority unapproved schemes. The cost of the service is calculated by reference to the fair value of shares at the grant date, the number of shares expected to vest under the schemes and the probability that the performance and the service conditions will be met. The cost of the service is recognised in the income statement over the period that the recipient provides service and there is a shared understanding of the terms and conditions of the arrangement. The recipient to whom these awards were granted must not depart from the Group, and such an action would require a forfeiture of some or all of the award depending on the conditions under which the employee was to leave.</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Deferred Bonus Plan</w:t>
      </w:r>
    </w:p>
    <w:p>
      <w:pPr>
        <w:spacing w:after="0" w:line="33"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Members of the scheme are awarded a fixed number of ordinary shares vesting in three equal tranches over the three years following the date of grant. As the awards are based on the employees’ annual performance, the fair value has been expensed from the beginning of the year for which the bonus had been awarded. Prior to the IPO, the fair value of a share award at grant date was the final price approved by the Remuneration Committee and determined based on a multiple of earnings as at grant date with reference to comparable peer companies. Post IPO, the fair value of a share award is based on the Group's quoted share price at the date of the grant.</w:t>
      </w: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Retention Long Term Incentive Plan</w:t>
      </w:r>
    </w:p>
    <w:p>
      <w:pPr>
        <w:spacing w:after="0" w:line="33" w:lineRule="exact"/>
        <w:rPr>
          <w:sz w:val="20"/>
          <w:szCs w:val="20"/>
          <w:color w:val="auto"/>
        </w:rPr>
      </w:pPr>
    </w:p>
    <w:p>
      <w:pPr>
        <w:ind w:right="100"/>
        <w:spacing w:after="0" w:line="256" w:lineRule="auto"/>
        <w:rPr>
          <w:sz w:val="20"/>
          <w:szCs w:val="20"/>
          <w:color w:val="auto"/>
        </w:rPr>
      </w:pPr>
      <w:r>
        <w:rPr>
          <w:rFonts w:ascii="Arial" w:cs="Arial" w:eastAsia="Arial" w:hAnsi="Arial"/>
          <w:sz w:val="15"/>
          <w:szCs w:val="15"/>
          <w:color w:val="auto"/>
        </w:rPr>
        <w:t>Members of the scheme are awarded a variable number of ordinary shares three years after the grant date. The number of shares awarded is determined by reference to a hurdle return on equity of the Group and to growth targets for the profit after tax of the Group over the three-year period. Prior to the IPO, the fair value of a share award at grant date was the final price approved by the Remuneration Committee and determined based on a multiple of earnings as at grant date with reference to comparable peer companies. Post IPO, the fair value of a share award is based on the Group's quoted share price at the date of the grant.</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Annual Long Term Incentive Plan</w:t>
      </w:r>
    </w:p>
    <w:p>
      <w:pPr>
        <w:spacing w:after="0" w:line="33" w:lineRule="exact"/>
        <w:rPr>
          <w:sz w:val="20"/>
          <w:szCs w:val="20"/>
          <w:color w:val="auto"/>
        </w:rPr>
      </w:pPr>
    </w:p>
    <w:p>
      <w:pPr>
        <w:ind w:right="60"/>
        <w:spacing w:after="0" w:line="258" w:lineRule="auto"/>
        <w:rPr>
          <w:sz w:val="20"/>
          <w:szCs w:val="20"/>
          <w:color w:val="auto"/>
        </w:rPr>
      </w:pPr>
      <w:r>
        <w:rPr>
          <w:rFonts w:ascii="Arial" w:cs="Arial" w:eastAsia="Arial" w:hAnsi="Arial"/>
          <w:sz w:val="15"/>
          <w:szCs w:val="15"/>
          <w:color w:val="auto"/>
        </w:rPr>
        <w:t>Members of the scheme are awarded a variable number of ordinary shares three years after the grant date. The number of shares awarded is determined by reference to financial underpins; the first is a hurdle return on equity of the Group and the second underpin is growth targets for the adjusted profit before tax over the 3-year period. Prior to the IPO, the fair value of a share award at grant date was the final price approved by the Remuneration Committee and determined based on a multiple of earnings as at grant date with reference to comparable peer companies. Post IPO, the fair value of a share award is based on the Group's quoted share price at the date of the grant.</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All Employee Award</w:t>
      </w:r>
    </w:p>
    <w:p>
      <w:pPr>
        <w:spacing w:after="0" w:line="19" w:lineRule="exact"/>
        <w:rPr>
          <w:sz w:val="20"/>
          <w:szCs w:val="20"/>
          <w:color w:val="auto"/>
        </w:rPr>
      </w:pPr>
    </w:p>
    <w:p>
      <w:pPr>
        <w:ind w:right="380"/>
        <w:spacing w:after="0" w:line="282" w:lineRule="auto"/>
        <w:rPr>
          <w:sz w:val="20"/>
          <w:szCs w:val="20"/>
          <w:color w:val="auto"/>
        </w:rPr>
      </w:pPr>
      <w:r>
        <w:rPr>
          <w:rFonts w:ascii="Arial" w:cs="Arial" w:eastAsia="Arial" w:hAnsi="Arial"/>
          <w:sz w:val="15"/>
          <w:szCs w:val="15"/>
          <w:color w:val="auto"/>
        </w:rPr>
        <w:t>As part of the IPO, members of the scheme have been awarded a fixed number of ordinary shares which vest three years after the grant date. The fair value of a share award is based on the Group's quoted share price at grant date.</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Non-Executive Directors' Award</w:t>
      </w:r>
    </w:p>
    <w:p>
      <w:pPr>
        <w:spacing w:after="0" w:line="33" w:lineRule="exact"/>
        <w:rPr>
          <w:sz w:val="20"/>
          <w:szCs w:val="20"/>
          <w:color w:val="auto"/>
        </w:rPr>
      </w:pPr>
    </w:p>
    <w:p>
      <w:pPr>
        <w:ind w:right="380"/>
        <w:spacing w:after="0" w:line="282" w:lineRule="auto"/>
        <w:rPr>
          <w:sz w:val="20"/>
          <w:szCs w:val="20"/>
          <w:color w:val="auto"/>
        </w:rPr>
      </w:pPr>
      <w:r>
        <w:rPr>
          <w:rFonts w:ascii="Arial" w:cs="Arial" w:eastAsia="Arial" w:hAnsi="Arial"/>
          <w:sz w:val="15"/>
          <w:szCs w:val="15"/>
          <w:color w:val="auto"/>
        </w:rPr>
        <w:t>Members of the scheme are awarded a fixed number of ordinary shares which vest one year after the grant date. The fair value of a share award is based on the Group's quoted share price at grant date.</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Warrant Award</w:t>
      </w:r>
    </w:p>
    <w:p>
      <w:pPr>
        <w:spacing w:after="0" w:line="33" w:lineRule="exact"/>
        <w:rPr>
          <w:sz w:val="20"/>
          <w:szCs w:val="20"/>
          <w:color w:val="auto"/>
        </w:rPr>
      </w:pPr>
    </w:p>
    <w:p>
      <w:pPr>
        <w:ind w:right="480"/>
        <w:spacing w:after="0" w:line="263" w:lineRule="auto"/>
        <w:rPr>
          <w:sz w:val="20"/>
          <w:szCs w:val="20"/>
          <w:color w:val="auto"/>
        </w:rPr>
      </w:pPr>
      <w:r>
        <w:rPr>
          <w:rFonts w:ascii="Arial" w:cs="Arial" w:eastAsia="Arial" w:hAnsi="Arial"/>
          <w:sz w:val="15"/>
          <w:szCs w:val="15"/>
          <w:color w:val="auto"/>
        </w:rPr>
        <w:t>A warrant granted at the Group’s initial public offering, vested and settled following the twelve-month anniversary resulting in the settlement of 142,709 ordinary shares.</w:t>
      </w:r>
    </w:p>
    <w:p>
      <w:pPr>
        <w:sectPr>
          <w:pgSz w:w="11900" w:h="16838" w:orient="portrait"/>
          <w:cols w:equalWidth="0" w:num="1">
            <w:col w:w="11240"/>
          </w:cols>
          <w:pgMar w:left="320" w:top="13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30</w:t>
      </w:r>
    </w:p>
    <w:p>
      <w:pPr>
        <w:sectPr>
          <w:pgSz w:w="11900" w:h="16838" w:orient="portrait"/>
          <w:cols w:equalWidth="0" w:num="1">
            <w:col w:w="11240"/>
          </w:cols>
          <w:pgMar w:left="320" w:top="1353"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22"/>
          <w:szCs w:val="22"/>
          <w:b w:val="1"/>
          <w:bCs w:val="1"/>
          <w:color w:val="793690"/>
        </w:rPr>
        <w:t xml:space="preserve">Notes to the Unaudited Condensed Consolidated Financial Statements </w:t>
      </w:r>
      <w:r>
        <w:rPr>
          <w:rFonts w:ascii="Arial" w:cs="Arial" w:eastAsia="Arial" w:hAnsi="Arial"/>
          <w:sz w:val="22"/>
          <w:szCs w:val="22"/>
          <w:color w:val="793690"/>
        </w:rPr>
        <w:t>(continued)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 xml:space="preserve">17 Share-based payments </w:t>
      </w:r>
      <w:r>
        <w:rPr>
          <w:rFonts w:ascii="Arial" w:cs="Arial" w:eastAsia="Arial" w:hAnsi="Arial"/>
          <w:sz w:val="18"/>
          <w:szCs w:val="18"/>
          <w:color w:val="793690"/>
        </w:rPr>
        <w:t>(continued)</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The charge for the period arising from share-based payment schemes was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6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Six months ended</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Six months ended</w:t>
            </w:r>
          </w:p>
        </w:tc>
      </w:tr>
      <w:tr>
        <w:trPr>
          <w:trHeight w:val="192"/>
        </w:trPr>
        <w:tc>
          <w:tcPr>
            <w:tcW w:w="7860" w:type="dxa"/>
            <w:vAlign w:val="bottom"/>
          </w:tcPr>
          <w:p>
            <w:pPr>
              <w:spacing w:after="0"/>
              <w:rPr>
                <w:sz w:val="16"/>
                <w:szCs w:val="16"/>
                <w:color w:val="auto"/>
              </w:rPr>
            </w:pPr>
          </w:p>
        </w:tc>
        <w:tc>
          <w:tcPr>
            <w:tcW w:w="16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30 June 2024</w:t>
            </w:r>
          </w:p>
        </w:tc>
      </w:tr>
      <w:tr>
        <w:trPr>
          <w:trHeight w:val="224"/>
        </w:trPr>
        <w:tc>
          <w:tcPr>
            <w:tcW w:w="7860" w:type="dxa"/>
            <w:vAlign w:val="bottom"/>
          </w:tcPr>
          <w:p>
            <w:pPr>
              <w:spacing w:after="0"/>
              <w:rPr>
                <w:sz w:val="19"/>
                <w:szCs w:val="19"/>
                <w:color w:val="auto"/>
              </w:rPr>
            </w:pPr>
          </w:p>
        </w:tc>
        <w:tc>
          <w:tcPr>
            <w:tcW w:w="16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$m</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$m</w:t>
            </w:r>
          </w:p>
        </w:tc>
      </w:tr>
      <w:tr>
        <w:trPr>
          <w:trHeight w:val="237"/>
        </w:trPr>
        <w:tc>
          <w:tcPr>
            <w:tcW w:w="786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Deferred Bonus Plan</w:t>
            </w:r>
          </w:p>
        </w:tc>
        <w:tc>
          <w:tcPr>
            <w:tcW w:w="1620" w:type="dxa"/>
            <w:vAlign w:val="bottom"/>
            <w:tcBorders>
              <w:top w:val="single" w:sz="8" w:color="793690"/>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9.0</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4.3</w:t>
            </w:r>
          </w:p>
        </w:tc>
      </w:tr>
      <w:tr>
        <w:trPr>
          <w:trHeight w:val="236"/>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Retention Long Term Incentive Plan</w:t>
            </w:r>
          </w:p>
        </w:tc>
        <w:tc>
          <w:tcPr>
            <w:tcW w:w="1620" w:type="dxa"/>
            <w:vAlign w:val="bottom"/>
            <w:tcBorders>
              <w:top w:val="single" w:sz="8" w:color="DADAE7"/>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2.6</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0.7</w:t>
            </w: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Annual Long Term Incentive Plan</w:t>
            </w:r>
          </w:p>
        </w:tc>
        <w:tc>
          <w:tcPr>
            <w:tcW w:w="1620" w:type="dxa"/>
            <w:vAlign w:val="bottom"/>
            <w:tcBorders>
              <w:top w:val="single" w:sz="8" w:color="DADAE7"/>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1.5</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2.4</w:t>
            </w: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All Employee Plan</w:t>
            </w:r>
          </w:p>
        </w:tc>
        <w:tc>
          <w:tcPr>
            <w:tcW w:w="1620" w:type="dxa"/>
            <w:vAlign w:val="bottom"/>
            <w:tcBorders>
              <w:top w:val="single" w:sz="8" w:color="DADAE7"/>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0.5</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w:t>
            </w: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Non-Executive Directors' Plan</w:t>
            </w:r>
          </w:p>
        </w:tc>
        <w:tc>
          <w:tcPr>
            <w:tcW w:w="1620" w:type="dxa"/>
            <w:vAlign w:val="bottom"/>
            <w:tcBorders>
              <w:top w:val="single" w:sz="8" w:color="DADAE7"/>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0.2</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w:t>
            </w:r>
          </w:p>
        </w:tc>
      </w:tr>
      <w:tr>
        <w:trPr>
          <w:trHeight w:val="236"/>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Fair value of the cash settlement option on the growth shares</w:t>
            </w:r>
          </w:p>
        </w:tc>
        <w:tc>
          <w:tcPr>
            <w:tcW w:w="1620" w:type="dxa"/>
            <w:vAlign w:val="bottom"/>
            <w:tcBorders>
              <w:top w:val="single" w:sz="8" w:color="DADAE7"/>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2.3</w:t>
            </w: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Warrants</w:t>
            </w:r>
          </w:p>
        </w:tc>
        <w:tc>
          <w:tcPr>
            <w:tcW w:w="1620" w:type="dxa"/>
            <w:vAlign w:val="bottom"/>
            <w:tcBorders>
              <w:top w:val="single" w:sz="8" w:color="DADAE7"/>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2.7</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w:t>
            </w:r>
          </w:p>
        </w:tc>
      </w:tr>
      <w:tr>
        <w:trPr>
          <w:trHeight w:val="237"/>
        </w:trPr>
        <w:tc>
          <w:tcPr>
            <w:tcW w:w="786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Total equity-settled share-based payments</w:t>
            </w:r>
          </w:p>
        </w:tc>
        <w:tc>
          <w:tcPr>
            <w:tcW w:w="1620" w:type="dxa"/>
            <w:vAlign w:val="bottom"/>
            <w:tcBorders>
              <w:top w:val="single" w:sz="8" w:color="793690"/>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16.5</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9.7</w:t>
            </w:r>
          </w:p>
        </w:tc>
      </w:tr>
      <w:tr>
        <w:trPr>
          <w:trHeight w:val="495"/>
        </w:trPr>
        <w:tc>
          <w:tcPr>
            <w:tcW w:w="7860" w:type="dxa"/>
            <w:vAlign w:val="bottom"/>
            <w:tcBorders>
              <w:top w:val="single" w:sz="8" w:color="793690"/>
            </w:tcBorders>
          </w:tcPr>
          <w:p>
            <w:pPr>
              <w:spacing w:after="0"/>
              <w:rPr>
                <w:sz w:val="20"/>
                <w:szCs w:val="20"/>
                <w:color w:val="auto"/>
              </w:rPr>
            </w:pPr>
            <w:r>
              <w:rPr>
                <w:rFonts w:ascii="Arial" w:cs="Arial" w:eastAsia="Arial" w:hAnsi="Arial"/>
                <w:sz w:val="15"/>
                <w:szCs w:val="15"/>
                <w:b w:val="1"/>
                <w:bCs w:val="1"/>
                <w:color w:val="auto"/>
              </w:rPr>
              <w:t>Movement on share awards</w:t>
            </w:r>
          </w:p>
        </w:tc>
        <w:tc>
          <w:tcPr>
            <w:tcW w:w="1620" w:type="dxa"/>
            <w:vAlign w:val="bottom"/>
            <w:tcBorders>
              <w:top w:val="single" w:sz="8" w:color="793690"/>
            </w:tcBorders>
          </w:tcPr>
          <w:p>
            <w:pPr>
              <w:spacing w:after="0"/>
              <w:rPr>
                <w:sz w:val="24"/>
                <w:szCs w:val="24"/>
                <w:color w:val="auto"/>
              </w:rPr>
            </w:pPr>
          </w:p>
        </w:tc>
        <w:tc>
          <w:tcPr>
            <w:tcW w:w="1740" w:type="dxa"/>
            <w:vAlign w:val="bottom"/>
            <w:tcBorders>
              <w:top w:val="single" w:sz="8" w:color="793690"/>
            </w:tcBorders>
          </w:tcPr>
          <w:p>
            <w:pPr>
              <w:spacing w:after="0"/>
              <w:rPr>
                <w:sz w:val="24"/>
                <w:szCs w:val="24"/>
                <w:color w:val="auto"/>
              </w:rPr>
            </w:pPr>
          </w:p>
        </w:tc>
      </w:tr>
      <w:tr>
        <w:trPr>
          <w:trHeight w:val="193"/>
        </w:trPr>
        <w:tc>
          <w:tcPr>
            <w:tcW w:w="7860" w:type="dxa"/>
            <w:vAlign w:val="bottom"/>
          </w:tcPr>
          <w:p>
            <w:pPr>
              <w:spacing w:after="0"/>
              <w:rPr>
                <w:sz w:val="16"/>
                <w:szCs w:val="16"/>
                <w:color w:val="auto"/>
              </w:rPr>
            </w:pPr>
          </w:p>
        </w:tc>
        <w:tc>
          <w:tcPr>
            <w:tcW w:w="1620" w:type="dxa"/>
            <w:vAlign w:val="bottom"/>
            <w:shd w:val="clear" w:color="auto" w:fill="F4EFF6"/>
          </w:tcPr>
          <w:p>
            <w:pPr>
              <w:jc w:val="right"/>
              <w:spacing w:after="0"/>
              <w:rPr>
                <w:sz w:val="20"/>
                <w:szCs w:val="20"/>
                <w:color w:val="auto"/>
              </w:rPr>
            </w:pPr>
            <w:r>
              <w:rPr>
                <w:rFonts w:ascii="Arial" w:cs="Arial" w:eastAsia="Arial" w:hAnsi="Arial"/>
                <w:sz w:val="13"/>
                <w:szCs w:val="13"/>
                <w:b w:val="1"/>
                <w:bCs w:val="1"/>
                <w:color w:val="auto"/>
              </w:rPr>
              <w:t>30 June 2025</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31 December 2024</w:t>
            </w:r>
          </w:p>
        </w:tc>
      </w:tr>
      <w:tr>
        <w:trPr>
          <w:trHeight w:val="224"/>
        </w:trPr>
        <w:tc>
          <w:tcPr>
            <w:tcW w:w="7860" w:type="dxa"/>
            <w:vAlign w:val="bottom"/>
          </w:tcPr>
          <w:p>
            <w:pPr>
              <w:spacing w:after="0"/>
              <w:rPr>
                <w:sz w:val="19"/>
                <w:szCs w:val="19"/>
                <w:color w:val="auto"/>
              </w:rPr>
            </w:pPr>
          </w:p>
        </w:tc>
        <w:tc>
          <w:tcPr>
            <w:tcW w:w="16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3"/>
                <w:szCs w:val="13"/>
                <w:b w:val="1"/>
                <w:bCs w:val="1"/>
                <w:color w:val="auto"/>
              </w:rPr>
              <w:t>Number</w:t>
            </w:r>
          </w:p>
        </w:tc>
        <w:tc>
          <w:tcPr>
            <w:tcW w:w="1740" w:type="dxa"/>
            <w:vAlign w:val="bottom"/>
          </w:tcPr>
          <w:p>
            <w:pPr>
              <w:jc w:val="right"/>
              <w:spacing w:after="0"/>
              <w:rPr>
                <w:sz w:val="20"/>
                <w:szCs w:val="20"/>
                <w:color w:val="auto"/>
              </w:rPr>
            </w:pPr>
            <w:r>
              <w:rPr>
                <w:rFonts w:ascii="Arial" w:cs="Arial" w:eastAsia="Arial" w:hAnsi="Arial"/>
                <w:sz w:val="13"/>
                <w:szCs w:val="13"/>
                <w:b w:val="1"/>
                <w:bCs w:val="1"/>
                <w:color w:val="auto"/>
              </w:rPr>
              <w:t>Number</w:t>
            </w:r>
          </w:p>
        </w:tc>
      </w:tr>
      <w:tr>
        <w:trPr>
          <w:trHeight w:val="236"/>
        </w:trPr>
        <w:tc>
          <w:tcPr>
            <w:tcW w:w="786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Outstanding at the beginning of the period</w:t>
            </w:r>
          </w:p>
        </w:tc>
        <w:tc>
          <w:tcPr>
            <w:tcW w:w="1620" w:type="dxa"/>
            <w:vAlign w:val="bottom"/>
            <w:tcBorders>
              <w:top w:val="single" w:sz="8" w:color="793690"/>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6,047,829</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8,621,240</w:t>
            </w:r>
          </w:p>
        </w:tc>
      </w:tr>
      <w:tr>
        <w:trPr>
          <w:trHeight w:val="237"/>
        </w:trPr>
        <w:tc>
          <w:tcPr>
            <w:tcW w:w="7860" w:type="dxa"/>
            <w:vAlign w:val="bottom"/>
            <w:tcBorders>
              <w:top w:val="single" w:sz="8" w:color="DADAE7"/>
            </w:tcBorders>
          </w:tcPr>
          <w:p>
            <w:pPr>
              <w:ind w:left="20"/>
              <w:spacing w:after="0"/>
              <w:rPr>
                <w:sz w:val="20"/>
                <w:szCs w:val="20"/>
                <w:color w:val="auto"/>
              </w:rPr>
            </w:pPr>
            <w:r>
              <w:rPr>
                <w:rFonts w:ascii="Arial" w:cs="Arial" w:eastAsia="Arial" w:hAnsi="Arial"/>
                <w:sz w:val="15"/>
                <w:szCs w:val="15"/>
                <w:color w:val="auto"/>
              </w:rPr>
              <w:t>Reverse share split</w:t>
            </w:r>
          </w:p>
        </w:tc>
        <w:tc>
          <w:tcPr>
            <w:tcW w:w="1620" w:type="dxa"/>
            <w:vAlign w:val="bottom"/>
            <w:tcBorders>
              <w:top w:val="single" w:sz="8" w:color="DADAE7"/>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w:t>
            </w:r>
          </w:p>
        </w:tc>
        <w:tc>
          <w:tcPr>
            <w:tcW w:w="1740" w:type="dxa"/>
            <w:vAlign w:val="bottom"/>
            <w:tcBorders>
              <w:top w:val="single" w:sz="8" w:color="DADAE7"/>
            </w:tcBorders>
          </w:tcPr>
          <w:p>
            <w:pPr>
              <w:jc w:val="right"/>
              <w:spacing w:after="0"/>
              <w:rPr>
                <w:sz w:val="20"/>
                <w:szCs w:val="20"/>
                <w:color w:val="auto"/>
              </w:rPr>
            </w:pPr>
            <w:r>
              <w:rPr>
                <w:rFonts w:ascii="Arial" w:cs="Arial" w:eastAsia="Arial" w:hAnsi="Arial"/>
                <w:sz w:val="15"/>
                <w:szCs w:val="15"/>
                <w:color w:val="auto"/>
              </w:rPr>
              <w:t>(4,316,287)</w:t>
            </w:r>
          </w:p>
        </w:tc>
      </w:tr>
      <w:tr>
        <w:trPr>
          <w:trHeight w:val="237"/>
        </w:trPr>
        <w:tc>
          <w:tcPr>
            <w:tcW w:w="7860" w:type="dxa"/>
            <w:vAlign w:val="bottom"/>
            <w:tcBorders>
              <w:top w:val="single" w:sz="8" w:color="DADAE7"/>
              <w:bottom w:val="single" w:sz="8" w:color="DADAE7"/>
            </w:tcBorders>
          </w:tcPr>
          <w:p>
            <w:pPr>
              <w:ind w:left="20"/>
              <w:spacing w:after="0"/>
              <w:rPr>
                <w:sz w:val="20"/>
                <w:szCs w:val="20"/>
                <w:color w:val="auto"/>
              </w:rPr>
            </w:pPr>
            <w:r>
              <w:rPr>
                <w:rFonts w:ascii="Arial" w:cs="Arial" w:eastAsia="Arial" w:hAnsi="Arial"/>
                <w:sz w:val="15"/>
                <w:szCs w:val="15"/>
                <w:color w:val="auto"/>
              </w:rPr>
              <w:t>Granted during the period</w:t>
            </w:r>
            <w:r>
              <w:rPr>
                <w:rFonts w:ascii="Arial" w:cs="Arial" w:eastAsia="Arial" w:hAnsi="Arial"/>
                <w:sz w:val="19"/>
                <w:szCs w:val="19"/>
                <w:color w:val="auto"/>
                <w:vertAlign w:val="superscript"/>
              </w:rPr>
              <w:t>1</w:t>
            </w:r>
          </w:p>
        </w:tc>
        <w:tc>
          <w:tcPr>
            <w:tcW w:w="1620" w:type="dxa"/>
            <w:vAlign w:val="bottom"/>
            <w:tcBorders>
              <w:top w:val="single" w:sz="8" w:color="DADAE7"/>
              <w:bottom w:val="single" w:sz="8" w:color="DADAE7"/>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266,058</w:t>
            </w:r>
          </w:p>
        </w:tc>
        <w:tc>
          <w:tcPr>
            <w:tcW w:w="1740" w:type="dxa"/>
            <w:vAlign w:val="bottom"/>
            <w:tcBorders>
              <w:top w:val="single" w:sz="8" w:color="DADAE7"/>
              <w:bottom w:val="single" w:sz="8" w:color="DADAE7"/>
            </w:tcBorders>
          </w:tcPr>
          <w:p>
            <w:pPr>
              <w:jc w:val="right"/>
              <w:spacing w:after="0"/>
              <w:rPr>
                <w:sz w:val="20"/>
                <w:szCs w:val="20"/>
                <w:color w:val="auto"/>
              </w:rPr>
            </w:pPr>
            <w:r>
              <w:rPr>
                <w:rFonts w:ascii="Arial" w:cs="Arial" w:eastAsia="Arial" w:hAnsi="Arial"/>
                <w:sz w:val="15"/>
                <w:szCs w:val="15"/>
                <w:color w:val="auto"/>
              </w:rPr>
              <w:t>2,256,357</w:t>
            </w:r>
          </w:p>
        </w:tc>
      </w:tr>
      <w:tr>
        <w:trPr>
          <w:trHeight w:val="237"/>
        </w:trPr>
        <w:tc>
          <w:tcPr>
            <w:tcW w:w="7860" w:type="dxa"/>
            <w:vAlign w:val="bottom"/>
            <w:tcBorders>
              <w:bottom w:val="single" w:sz="8" w:color="DADAE7"/>
            </w:tcBorders>
          </w:tcPr>
          <w:p>
            <w:pPr>
              <w:ind w:left="20"/>
              <w:spacing w:after="0"/>
              <w:rPr>
                <w:sz w:val="20"/>
                <w:szCs w:val="20"/>
                <w:color w:val="auto"/>
              </w:rPr>
            </w:pPr>
            <w:r>
              <w:rPr>
                <w:rFonts w:ascii="Arial" w:cs="Arial" w:eastAsia="Arial" w:hAnsi="Arial"/>
                <w:sz w:val="15"/>
                <w:szCs w:val="15"/>
                <w:color w:val="auto"/>
              </w:rPr>
              <w:t>Vested during the period</w:t>
            </w:r>
            <w:r>
              <w:rPr>
                <w:rFonts w:ascii="Arial" w:cs="Arial" w:eastAsia="Arial" w:hAnsi="Arial"/>
                <w:sz w:val="19"/>
                <w:szCs w:val="19"/>
                <w:color w:val="auto"/>
                <w:vertAlign w:val="superscript"/>
              </w:rPr>
              <w:t>2,3</w:t>
            </w:r>
          </w:p>
        </w:tc>
        <w:tc>
          <w:tcPr>
            <w:tcW w:w="1620" w:type="dxa"/>
            <w:vAlign w:val="bottom"/>
            <w:tcBorders>
              <w:bottom w:val="single" w:sz="8" w:color="DADAE7"/>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(2,620,902)</w:t>
            </w:r>
          </w:p>
        </w:tc>
        <w:tc>
          <w:tcPr>
            <w:tcW w:w="1740" w:type="dxa"/>
            <w:vAlign w:val="bottom"/>
            <w:tcBorders>
              <w:bottom w:val="single" w:sz="8" w:color="DADAE7"/>
            </w:tcBorders>
          </w:tcPr>
          <w:p>
            <w:pPr>
              <w:jc w:val="right"/>
              <w:spacing w:after="0"/>
              <w:rPr>
                <w:sz w:val="20"/>
                <w:szCs w:val="20"/>
                <w:color w:val="auto"/>
              </w:rPr>
            </w:pPr>
            <w:r>
              <w:rPr>
                <w:rFonts w:ascii="Arial" w:cs="Arial" w:eastAsia="Arial" w:hAnsi="Arial"/>
                <w:sz w:val="15"/>
                <w:szCs w:val="15"/>
                <w:color w:val="auto"/>
              </w:rPr>
              <w:t>(496,240)</w:t>
            </w:r>
          </w:p>
        </w:tc>
      </w:tr>
      <w:tr>
        <w:trPr>
          <w:trHeight w:val="236"/>
        </w:trPr>
        <w:tc>
          <w:tcPr>
            <w:tcW w:w="7860" w:type="dxa"/>
            <w:vAlign w:val="bottom"/>
          </w:tcPr>
          <w:p>
            <w:pPr>
              <w:ind w:left="20"/>
              <w:spacing w:after="0"/>
              <w:rPr>
                <w:sz w:val="20"/>
                <w:szCs w:val="20"/>
                <w:color w:val="auto"/>
              </w:rPr>
            </w:pPr>
            <w:r>
              <w:rPr>
                <w:rFonts w:ascii="Arial" w:cs="Arial" w:eastAsia="Arial" w:hAnsi="Arial"/>
                <w:sz w:val="15"/>
                <w:szCs w:val="15"/>
                <w:color w:val="auto"/>
              </w:rPr>
              <w:t>Forfeited during the period</w:t>
            </w:r>
          </w:p>
        </w:tc>
        <w:tc>
          <w:tcPr>
            <w:tcW w:w="1620" w:type="dxa"/>
            <w:vAlign w:val="bottom"/>
            <w:tcBorders>
              <w:bottom w:val="single" w:sz="8" w:color="F4EFF6"/>
            </w:tcBorders>
            <w:shd w:val="clear" w:color="auto" w:fill="F4EFF6"/>
          </w:tcPr>
          <w:p>
            <w:pPr>
              <w:jc w:val="right"/>
              <w:spacing w:after="0"/>
              <w:rPr>
                <w:sz w:val="20"/>
                <w:szCs w:val="20"/>
                <w:color w:val="auto"/>
              </w:rPr>
            </w:pPr>
            <w:r>
              <w:rPr>
                <w:rFonts w:ascii="Arial" w:cs="Arial" w:eastAsia="Arial" w:hAnsi="Arial"/>
                <w:sz w:val="15"/>
                <w:szCs w:val="15"/>
                <w:b w:val="1"/>
                <w:bCs w:val="1"/>
                <w:color w:val="auto"/>
              </w:rPr>
              <w:t>(41,511)</w:t>
            </w:r>
          </w:p>
        </w:tc>
        <w:tc>
          <w:tcPr>
            <w:tcW w:w="1740" w:type="dxa"/>
            <w:vAlign w:val="bottom"/>
          </w:tcPr>
          <w:p>
            <w:pPr>
              <w:jc w:val="right"/>
              <w:spacing w:after="0"/>
              <w:rPr>
                <w:sz w:val="20"/>
                <w:szCs w:val="20"/>
                <w:color w:val="auto"/>
              </w:rPr>
            </w:pPr>
            <w:r>
              <w:rPr>
                <w:rFonts w:ascii="Arial" w:cs="Arial" w:eastAsia="Arial" w:hAnsi="Arial"/>
                <w:sz w:val="15"/>
                <w:szCs w:val="15"/>
                <w:color w:val="auto"/>
              </w:rPr>
              <w:t>(17,241)</w:t>
            </w:r>
          </w:p>
        </w:tc>
      </w:tr>
      <w:tr>
        <w:trPr>
          <w:trHeight w:val="237"/>
        </w:trPr>
        <w:tc>
          <w:tcPr>
            <w:tcW w:w="7860" w:type="dxa"/>
            <w:vAlign w:val="bottom"/>
            <w:tcBorders>
              <w:top w:val="single" w:sz="8" w:color="793690"/>
            </w:tcBorders>
          </w:tcPr>
          <w:p>
            <w:pPr>
              <w:ind w:left="20"/>
              <w:spacing w:after="0"/>
              <w:rPr>
                <w:sz w:val="20"/>
                <w:szCs w:val="20"/>
                <w:color w:val="auto"/>
              </w:rPr>
            </w:pPr>
            <w:r>
              <w:rPr>
                <w:rFonts w:ascii="Arial" w:cs="Arial" w:eastAsia="Arial" w:hAnsi="Arial"/>
                <w:sz w:val="15"/>
                <w:szCs w:val="15"/>
                <w:b w:val="1"/>
                <w:bCs w:val="1"/>
                <w:color w:val="auto"/>
              </w:rPr>
              <w:t>Outstanding at the end of the period</w:t>
            </w:r>
          </w:p>
        </w:tc>
        <w:tc>
          <w:tcPr>
            <w:tcW w:w="1620" w:type="dxa"/>
            <w:vAlign w:val="bottom"/>
            <w:tcBorders>
              <w:top w:val="single" w:sz="8" w:color="793690"/>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3,651,474</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6,047,829</w:t>
            </w:r>
          </w:p>
        </w:tc>
      </w:tr>
      <w:tr>
        <w:trPr>
          <w:trHeight w:val="216"/>
        </w:trPr>
        <w:tc>
          <w:tcPr>
            <w:tcW w:w="7860" w:type="dxa"/>
            <w:vAlign w:val="bottom"/>
            <w:tcBorders>
              <w:top w:val="single" w:sz="8" w:color="793690"/>
            </w:tcBorders>
          </w:tcPr>
          <w:p>
            <w:pPr>
              <w:ind w:left="20"/>
              <w:spacing w:after="0"/>
              <w:rPr>
                <w:sz w:val="20"/>
                <w:szCs w:val="20"/>
                <w:color w:val="auto"/>
              </w:rPr>
            </w:pPr>
            <w:r>
              <w:rPr>
                <w:rFonts w:ascii="Arial" w:cs="Arial" w:eastAsia="Arial" w:hAnsi="Arial"/>
                <w:sz w:val="15"/>
                <w:szCs w:val="15"/>
                <w:color w:val="auto"/>
              </w:rPr>
              <w:t>Weighted average fair value of awards granted ($)</w:t>
            </w:r>
          </w:p>
        </w:tc>
        <w:tc>
          <w:tcPr>
            <w:tcW w:w="1620" w:type="dxa"/>
            <w:vAlign w:val="bottom"/>
            <w:tcBorders>
              <w:top w:val="single" w:sz="8" w:color="793690"/>
              <w:bottom w:val="single" w:sz="8" w:color="F4EFF6"/>
            </w:tcBorders>
            <w:shd w:val="clear" w:color="auto" w:fill="F4EFF6"/>
          </w:tcPr>
          <w:p>
            <w:pPr>
              <w:jc w:val="right"/>
              <w:ind w:right="7"/>
              <w:spacing w:after="0"/>
              <w:rPr>
                <w:sz w:val="20"/>
                <w:szCs w:val="20"/>
                <w:color w:val="auto"/>
              </w:rPr>
            </w:pPr>
            <w:r>
              <w:rPr>
                <w:rFonts w:ascii="Arial" w:cs="Arial" w:eastAsia="Arial" w:hAnsi="Arial"/>
                <w:sz w:val="15"/>
                <w:szCs w:val="15"/>
                <w:b w:val="1"/>
                <w:bCs w:val="1"/>
                <w:color w:val="auto"/>
              </w:rPr>
              <w:t>22.7</w:t>
            </w:r>
          </w:p>
        </w:tc>
        <w:tc>
          <w:tcPr>
            <w:tcW w:w="1740" w:type="dxa"/>
            <w:vAlign w:val="bottom"/>
            <w:tcBorders>
              <w:top w:val="single" w:sz="8" w:color="793690"/>
            </w:tcBorders>
          </w:tcPr>
          <w:p>
            <w:pPr>
              <w:jc w:val="right"/>
              <w:spacing w:after="0"/>
              <w:rPr>
                <w:sz w:val="20"/>
                <w:szCs w:val="20"/>
                <w:color w:val="auto"/>
              </w:rPr>
            </w:pPr>
            <w:r>
              <w:rPr>
                <w:rFonts w:ascii="Arial" w:cs="Arial" w:eastAsia="Arial" w:hAnsi="Arial"/>
                <w:sz w:val="15"/>
                <w:szCs w:val="15"/>
                <w:color w:val="auto"/>
              </w:rPr>
              <w:t>18.5</w:t>
            </w:r>
          </w:p>
        </w:tc>
      </w:tr>
      <w:tr>
        <w:trPr>
          <w:trHeight w:val="20"/>
        </w:trPr>
        <w:tc>
          <w:tcPr>
            <w:tcW w:w="7860" w:type="dxa"/>
            <w:vAlign w:val="bottom"/>
            <w:shd w:val="clear" w:color="auto" w:fill="793690"/>
          </w:tcPr>
          <w:p>
            <w:pPr>
              <w:spacing w:after="0" w:line="20" w:lineRule="exact"/>
              <w:rPr>
                <w:sz w:val="1"/>
                <w:szCs w:val="1"/>
                <w:color w:val="auto"/>
              </w:rPr>
            </w:pPr>
          </w:p>
        </w:tc>
        <w:tc>
          <w:tcPr>
            <w:tcW w:w="1620" w:type="dxa"/>
            <w:vAlign w:val="bottom"/>
            <w:shd w:val="clear" w:color="auto" w:fill="793690"/>
          </w:tcPr>
          <w:p>
            <w:pPr>
              <w:spacing w:after="0" w:line="20" w:lineRule="exact"/>
              <w:rPr>
                <w:sz w:val="1"/>
                <w:szCs w:val="1"/>
                <w:color w:val="auto"/>
              </w:rPr>
            </w:pPr>
          </w:p>
        </w:tc>
        <w:tc>
          <w:tcPr>
            <w:tcW w:w="1740" w:type="dxa"/>
            <w:vAlign w:val="bottom"/>
            <w:shd w:val="clear" w:color="auto" w:fill="793690"/>
          </w:tcPr>
          <w:p>
            <w:pPr>
              <w:spacing w:after="0" w:line="20" w:lineRule="exact"/>
              <w:rPr>
                <w:sz w:val="1"/>
                <w:szCs w:val="1"/>
                <w:color w:val="auto"/>
              </w:rPr>
            </w:pPr>
          </w:p>
        </w:tc>
      </w:tr>
    </w:tbl>
    <w:p>
      <w:pPr>
        <w:spacing w:after="0" w:line="297" w:lineRule="exact"/>
        <w:rPr>
          <w:sz w:val="20"/>
          <w:szCs w:val="20"/>
          <w:color w:val="auto"/>
        </w:rPr>
      </w:pPr>
    </w:p>
    <w:p>
      <w:pPr>
        <w:ind w:left="220" w:hanging="212"/>
        <w:spacing w:after="0"/>
        <w:tabs>
          <w:tab w:leader="none" w:pos="220" w:val="left"/>
        </w:tabs>
        <w:numPr>
          <w:ilvl w:val="0"/>
          <w:numId w:val="38"/>
        </w:numPr>
        <w:rPr>
          <w:rFonts w:ascii="Arial" w:cs="Arial" w:eastAsia="Arial" w:hAnsi="Arial"/>
          <w:sz w:val="11"/>
          <w:szCs w:val="11"/>
          <w:color w:val="auto"/>
        </w:rPr>
      </w:pPr>
      <w:r>
        <w:rPr>
          <w:rFonts w:ascii="Arial" w:cs="Arial" w:eastAsia="Arial" w:hAnsi="Arial"/>
          <w:sz w:val="11"/>
          <w:szCs w:val="11"/>
          <w:color w:val="auto"/>
        </w:rPr>
        <w:t>This represents two new grants which form part of the Group's deferred bonus and annual long term incentive plans.</w:t>
      </w:r>
    </w:p>
    <w:p>
      <w:pPr>
        <w:spacing w:after="0" w:line="62" w:lineRule="exact"/>
        <w:rPr>
          <w:rFonts w:ascii="Arial" w:cs="Arial" w:eastAsia="Arial" w:hAnsi="Arial"/>
          <w:sz w:val="11"/>
          <w:szCs w:val="11"/>
          <w:color w:val="auto"/>
        </w:rPr>
      </w:pPr>
    </w:p>
    <w:p>
      <w:pPr>
        <w:ind w:left="220" w:hanging="212"/>
        <w:spacing w:after="0"/>
        <w:tabs>
          <w:tab w:leader="none" w:pos="220" w:val="left"/>
        </w:tabs>
        <w:numPr>
          <w:ilvl w:val="0"/>
          <w:numId w:val="38"/>
        </w:numPr>
        <w:rPr>
          <w:rFonts w:ascii="Arial" w:cs="Arial" w:eastAsia="Arial" w:hAnsi="Arial"/>
          <w:sz w:val="11"/>
          <w:szCs w:val="11"/>
          <w:color w:val="auto"/>
        </w:rPr>
      </w:pPr>
      <w:r>
        <w:rPr>
          <w:rFonts w:ascii="Arial" w:cs="Arial" w:eastAsia="Arial" w:hAnsi="Arial"/>
          <w:sz w:val="11"/>
          <w:szCs w:val="11"/>
          <w:color w:val="auto"/>
        </w:rPr>
        <w:t>This represents amounts vested during the period under the retention long term incentive and deferred bonus plans.</w:t>
      </w:r>
    </w:p>
    <w:p>
      <w:pPr>
        <w:spacing w:after="0" w:line="49" w:lineRule="exact"/>
        <w:rPr>
          <w:rFonts w:ascii="Arial" w:cs="Arial" w:eastAsia="Arial" w:hAnsi="Arial"/>
          <w:sz w:val="11"/>
          <w:szCs w:val="11"/>
          <w:color w:val="auto"/>
        </w:rPr>
      </w:pPr>
    </w:p>
    <w:p>
      <w:pPr>
        <w:ind w:left="160" w:right="240" w:hanging="152"/>
        <w:spacing w:after="0" w:line="285" w:lineRule="auto"/>
        <w:tabs>
          <w:tab w:leader="none" w:pos="226" w:val="left"/>
        </w:tabs>
        <w:numPr>
          <w:ilvl w:val="0"/>
          <w:numId w:val="38"/>
        </w:numPr>
        <w:rPr>
          <w:rFonts w:ascii="Arial" w:cs="Arial" w:eastAsia="Arial" w:hAnsi="Arial"/>
          <w:sz w:val="11"/>
          <w:szCs w:val="11"/>
          <w:color w:val="auto"/>
        </w:rPr>
      </w:pPr>
      <w:r>
        <w:rPr>
          <w:rFonts w:ascii="Arial" w:cs="Arial" w:eastAsia="Arial" w:hAnsi="Arial"/>
          <w:sz w:val="11"/>
          <w:szCs w:val="11"/>
          <w:color w:val="auto"/>
        </w:rPr>
        <w:t>The Group is obliged to withhold the amount for the employee's tax obligation associated with the Group's share-based payment schemes. The employee's tax obligation relating to the 2021 Retention Long Term Incentive Plan vesting applied the net settlement method whereby the Group cash settled the employee's tax obligation.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793690"/>
        </w:rPr>
        <w:t>18 Events after Condensed Consolidated Statement of Financial Position Date</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Dividends</w:t>
      </w:r>
    </w:p>
    <w:p>
      <w:pPr>
        <w:spacing w:after="0" w:line="33" w:lineRule="exact"/>
        <w:rPr>
          <w:sz w:val="20"/>
          <w:szCs w:val="20"/>
          <w:color w:val="auto"/>
        </w:rPr>
      </w:pPr>
    </w:p>
    <w:p>
      <w:pPr>
        <w:ind w:right="520"/>
        <w:spacing w:after="0" w:line="263" w:lineRule="auto"/>
        <w:rPr>
          <w:sz w:val="20"/>
          <w:szCs w:val="20"/>
          <w:color w:val="auto"/>
        </w:rPr>
      </w:pPr>
      <w:r>
        <w:rPr>
          <w:rFonts w:ascii="Arial" w:cs="Arial" w:eastAsia="Arial" w:hAnsi="Arial"/>
          <w:sz w:val="15"/>
          <w:szCs w:val="15"/>
          <w:color w:val="auto"/>
        </w:rPr>
        <w:t>The Group approved the payment of a dividend of $0.15 per share to be paid on 11 September 2025 to the shareholders on record at the close of business on 26 August 2025.</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 Acquisition of Hamilton Court Group</w:t>
      </w:r>
    </w:p>
    <w:p>
      <w:pPr>
        <w:spacing w:after="0" w:line="19" w:lineRule="exact"/>
        <w:rPr>
          <w:sz w:val="20"/>
          <w:szCs w:val="20"/>
          <w:color w:val="auto"/>
        </w:rPr>
      </w:pPr>
    </w:p>
    <w:p>
      <w:pPr>
        <w:ind w:right="80"/>
        <w:spacing w:after="0" w:line="250" w:lineRule="auto"/>
        <w:rPr>
          <w:sz w:val="20"/>
          <w:szCs w:val="20"/>
          <w:color w:val="auto"/>
        </w:rPr>
      </w:pPr>
      <w:r>
        <w:rPr>
          <w:rFonts w:ascii="Arial" w:cs="Arial" w:eastAsia="Arial" w:hAnsi="Arial"/>
          <w:sz w:val="15"/>
          <w:szCs w:val="15"/>
          <w:color w:val="auto"/>
        </w:rPr>
        <w:t>On 1 July 2025, the Group finalised the acquisition of the fully issued share capital of Hamilton Court Group Limited. This acquisition enhances the Group's FX offering by integrating new capabilities onto the platform. The initial consideration includes £15 million plus the tangible net asset value, resulting in an initial consideration payment of £45.5m. The Group is still determining the total net assets of the consolidated Hamilton Court Group Limited. Provisional accounting will be applied until the purchase price allocation and the tangible net asset value calculation are finalised, with the premium being recorded as goodwill.</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 Acquisition of Agrinvest Commodities</w:t>
      </w:r>
    </w:p>
    <w:p>
      <w:pPr>
        <w:spacing w:after="0" w:line="33" w:lineRule="exact"/>
        <w:rPr>
          <w:sz w:val="20"/>
          <w:szCs w:val="20"/>
          <w:color w:val="auto"/>
        </w:rPr>
      </w:pPr>
    </w:p>
    <w:p>
      <w:pPr>
        <w:ind w:right="60"/>
        <w:spacing w:after="0" w:line="259" w:lineRule="auto"/>
        <w:rPr>
          <w:sz w:val="20"/>
          <w:szCs w:val="20"/>
          <w:color w:val="auto"/>
        </w:rPr>
      </w:pPr>
      <w:r>
        <w:rPr>
          <w:rFonts w:ascii="Arial" w:cs="Arial" w:eastAsia="Arial" w:hAnsi="Arial"/>
          <w:sz w:val="15"/>
          <w:szCs w:val="15"/>
          <w:color w:val="auto"/>
        </w:rPr>
        <w:t>On 1 July 2025, the Group completed the acquisition of the fully issued share capital of Agrinvest Commodities, a Brazilian agricultural commodities business. This acquisition broadens the Group's operations in the Americas and introduces new capabilities and clients. Agrinvest Commodities connects buyers and sellers in physical agricultural markets, such as corn and soybeans, and provides consulting support to help clients understand their hedging options and commercial strategies. The initial consideration for this acquisition is $16.5 million plus the tangible net asset value, totalling an initial payment of $16.7 million. Similar to the Hamilton Court acquisition, provisional accounting will be applied until the purchase price allocation and the tangible net asset value calculation are finalised, with the premium being recorded as goodwill.</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 Acquisition of Winterflood Securities</w:t>
      </w:r>
    </w:p>
    <w:p>
      <w:pPr>
        <w:spacing w:after="0" w:line="33" w:lineRule="exact"/>
        <w:rPr>
          <w:sz w:val="20"/>
          <w:szCs w:val="20"/>
          <w:color w:val="auto"/>
        </w:rPr>
      </w:pPr>
    </w:p>
    <w:p>
      <w:pPr>
        <w:jc w:val="both"/>
        <w:ind w:right="600"/>
        <w:spacing w:after="0" w:line="263" w:lineRule="auto"/>
        <w:rPr>
          <w:sz w:val="20"/>
          <w:szCs w:val="20"/>
          <w:color w:val="auto"/>
        </w:rPr>
      </w:pPr>
      <w:r>
        <w:rPr>
          <w:rFonts w:ascii="Arial" w:cs="Arial" w:eastAsia="Arial" w:hAnsi="Arial"/>
          <w:sz w:val="15"/>
          <w:szCs w:val="15"/>
          <w:color w:val="auto"/>
        </w:rPr>
        <w:t>On 25 July 2025, the Group announced that it had agreed terms to acquire Winterflood Securities to expand the Group's equity market making business. The acquisition is consistent with the Group's strategy to bring in new clients and new capabilities onto its platform. The acquisition is progressing, with regulatory approvals being completed and is expected to complete in early 2026.</w:t>
      </w:r>
    </w:p>
    <w:p>
      <w:pPr>
        <w:sectPr>
          <w:pgSz w:w="11900" w:h="16838" w:orient="portrait"/>
          <w:cols w:equalWidth="0" w:num="1">
            <w:col w:w="11220"/>
          </w:cols>
          <w:pgMar w:left="320" w:top="135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31</w:t>
      </w:r>
    </w:p>
    <w:sectPr>
      <w:pgSz w:w="11900" w:h="16838" w:orient="portrait"/>
      <w:cols w:equalWidth="0" w:num="1">
        <w:col w:w="11220"/>
      </w:cols>
      <w:pgMar w:left="320" w:top="135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
      <w:numFmt w:val="bullet"/>
      <w:start w:val="1"/>
    </w:lvl>
    <w:lvl w:ilvl="1">
      <w:lvlJc w:val="left"/>
      <w:lvlText w:val="\endash "/>
      <w:numFmt w:val="bullet"/>
      <w:start w:val="1"/>
    </w:lvl>
  </w:abstractNum>
  <w:abstractNum w:abstractNumId="2">
    <w:nsid w:val="436C6125"/>
    <w:multiLevelType w:val="hybridMultilevel"/>
    <w:lvl w:ilvl="0">
      <w:lvlJc w:val="left"/>
      <w:lvlText w:val="•"/>
      <w:numFmt w:val="bullet"/>
      <w:start w:val="1"/>
    </w:lvl>
    <w:lvl w:ilvl="1">
      <w:lvlJc w:val="left"/>
      <w:lvlText w:val="\endash "/>
      <w:numFmt w:val="bullet"/>
      <w:start w:val="1"/>
    </w:lvl>
  </w:abstractNum>
  <w:abstractNum w:abstractNumId="3">
    <w:nsid w:val="628C895D"/>
    <w:multiLevelType w:val="hybridMultilevel"/>
    <w:lvl w:ilvl="0">
      <w:lvlJc w:val="left"/>
      <w:lvlText w:val="•"/>
      <w:numFmt w:val="bullet"/>
      <w:start w:val="1"/>
    </w:lvl>
    <w:lvl w:ilvl="1">
      <w:lvlJc w:val="left"/>
      <w:lvlText w:val="\endash "/>
      <w:numFmt w:val="bullet"/>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lowerLetter"/>
      <w:start w:val="2"/>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2025-08-13T06:11:28Z</dcterms:created>
  <dcterms:modified xsi:type="dcterms:W3CDTF">2025-08-13T06:11:28Z</dcterms:modified>
</cp:coreProperties>
</file>